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A6E1" w14:textId="77777777" w:rsidR="0098409A" w:rsidRPr="003611D2" w:rsidRDefault="0098409A" w:rsidP="0098409A">
      <w:pPr>
        <w:pStyle w:val="Overskrift1"/>
      </w:pPr>
      <w:r w:rsidRPr="003611D2">
        <w:t xml:space="preserve">Supplemental Table Distribution of ICD-8 and ICD-10 codes among 5,053 patients in the Motor Neuron Diseases Cohort according to diagnoses qualifying for the cohort membership </w:t>
      </w:r>
    </w:p>
    <w:p w14:paraId="512CF142" w14:textId="77777777" w:rsidR="0098409A" w:rsidRPr="003611D2" w:rsidRDefault="0098409A" w:rsidP="0098409A">
      <w:pPr>
        <w:rPr>
          <w:b/>
          <w:bCs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6511"/>
        <w:gridCol w:w="654"/>
      </w:tblGrid>
      <w:tr w:rsidR="0098409A" w:rsidRPr="003611D2" w14:paraId="2CB1ED9C" w14:textId="77777777" w:rsidTr="008F76A1">
        <w:trPr>
          <w:cantSplit/>
          <w:tblHeader/>
          <w:jc w:val="center"/>
        </w:trPr>
        <w:tc>
          <w:tcPr>
            <w:tcW w:w="1080" w:type="dxa"/>
            <w:shd w:val="clear" w:color="auto" w:fill="auto"/>
          </w:tcPr>
          <w:p w14:paraId="443063EB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75FA47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Diagnosis description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C0F2958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</w:tr>
      <w:tr w:rsidR="0098409A" w:rsidRPr="003611D2" w14:paraId="740018CA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40F54EF1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ICD-8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1DE24227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34809 Amyotrophic lateral sclerosis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0C109A67" w14:textId="77777777" w:rsidR="0098409A" w:rsidRPr="003611D2" w:rsidRDefault="0098409A" w:rsidP="008F76A1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Pr="003611D2">
              <w:rPr>
                <w:color w:val="000000"/>
                <w:sz w:val="22"/>
                <w:szCs w:val="22"/>
                <w:lang w:val="en-US"/>
              </w:rPr>
              <w:t>146</w:t>
            </w:r>
          </w:p>
        </w:tc>
      </w:tr>
      <w:tr w:rsidR="0098409A" w:rsidRPr="003611D2" w14:paraId="192613C7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42C3E023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ICD-8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6F7A8823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34819 Progressive bulbar palsy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AC5965C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94</w:t>
            </w:r>
          </w:p>
        </w:tc>
      </w:tr>
      <w:tr w:rsidR="0098409A" w:rsidRPr="003611D2" w14:paraId="689FFCFA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64D1704A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ICD-8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51CDAD29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34820 Progressive spinal paralysis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5A78D569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111</w:t>
            </w:r>
          </w:p>
        </w:tc>
      </w:tr>
      <w:tr w:rsidR="0098409A" w:rsidRPr="003611D2" w14:paraId="770FA3F3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5CB8E8DF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ICD-8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3CCA9BFD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34829 Progressive muscular atrophy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3CEFEBE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48</w:t>
            </w:r>
          </w:p>
        </w:tc>
      </w:tr>
      <w:tr w:rsidR="0098409A" w:rsidRPr="003611D2" w14:paraId="0E3A5CAB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2E1194D1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ICD-8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7386F35C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34899 Motor neuron disease other and unspecified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1B32FDAB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266</w:t>
            </w:r>
          </w:p>
        </w:tc>
      </w:tr>
      <w:tr w:rsidR="0098409A" w:rsidRPr="003611D2" w14:paraId="78CC4868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7001D3E6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112B1F36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G12.2 Motor neuron diseases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E590973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Pr="003611D2">
              <w:rPr>
                <w:color w:val="000000"/>
                <w:sz w:val="22"/>
                <w:szCs w:val="22"/>
                <w:lang w:val="en-US"/>
              </w:rPr>
              <w:t>925</w:t>
            </w:r>
          </w:p>
        </w:tc>
      </w:tr>
      <w:tr w:rsidR="0098409A" w:rsidRPr="003611D2" w14:paraId="0DF9D6EB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5002B07F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1239D593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 xml:space="preserve">G12.2A Progressive spinal muscular atrophy or G12.2B Progressive myelopathic </w:t>
            </w:r>
            <w:proofErr w:type="spellStart"/>
            <w:r w:rsidRPr="003611D2">
              <w:rPr>
                <w:sz w:val="22"/>
                <w:szCs w:val="22"/>
                <w:lang w:val="en-US"/>
              </w:rPr>
              <w:t>atrophy</w:t>
            </w:r>
            <w:r w:rsidRPr="003611D2">
              <w:rPr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FC32F49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98409A" w:rsidRPr="003611D2" w14:paraId="50D9B113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44B6AF37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2F6CB383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G12.2C Duchenne-Aran’s atrophy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782F7CF5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37</w:t>
            </w:r>
          </w:p>
        </w:tc>
      </w:tr>
      <w:tr w:rsidR="0098409A" w:rsidRPr="003611D2" w14:paraId="7807B8DF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4A6AF94C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04EAB8D2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G12.2D Progressive muscular atrophy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BC10C75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98409A" w:rsidRPr="003611D2" w14:paraId="7DA51C7E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5B4C3114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1503C607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G12.2E Progressive spinal paralysis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CD0B463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98409A" w:rsidRPr="003611D2" w14:paraId="2D3FC677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42430882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20AA2B16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G12.2F Progressive bulbar palsy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B43A5E3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98409A" w:rsidRPr="003611D2" w14:paraId="1071C0D8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02AD8446" w14:textId="77777777" w:rsidR="0098409A" w:rsidRPr="003611D2" w:rsidRDefault="0098409A" w:rsidP="008F76A1">
            <w:pPr>
              <w:adjustRightInd w:val="0"/>
              <w:spacing w:before="60" w:after="60"/>
              <w:rPr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ICD-10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55B81804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sz w:val="22"/>
                <w:szCs w:val="22"/>
                <w:lang w:val="en-US"/>
              </w:rPr>
              <w:t>G12.2G Amyotrophic lateral sclerosis</w:t>
            </w: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127E4034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396</w:t>
            </w:r>
          </w:p>
        </w:tc>
      </w:tr>
      <w:tr w:rsidR="0098409A" w:rsidRPr="003611D2" w14:paraId="764A0E5B" w14:textId="77777777" w:rsidTr="008F76A1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76FFC98D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6511" w:type="dxa"/>
            <w:shd w:val="clear" w:color="auto" w:fill="auto"/>
            <w:tcMar>
              <w:left w:w="60" w:type="dxa"/>
              <w:right w:w="60" w:type="dxa"/>
            </w:tcMar>
          </w:tcPr>
          <w:p w14:paraId="4DE41112" w14:textId="77777777" w:rsidR="0098409A" w:rsidRPr="003611D2" w:rsidRDefault="0098409A" w:rsidP="008F76A1">
            <w:pPr>
              <w:adjustRightInd w:val="0"/>
              <w:spacing w:before="60" w:after="6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54" w:type="dxa"/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16FBA47" w14:textId="77777777" w:rsidR="0098409A" w:rsidRPr="003611D2" w:rsidRDefault="0098409A" w:rsidP="008F76A1">
            <w:pPr>
              <w:adjustRightInd w:val="0"/>
              <w:spacing w:before="60" w:after="6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611D2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Pr="003611D2">
              <w:rPr>
                <w:color w:val="000000"/>
                <w:sz w:val="22"/>
                <w:szCs w:val="22"/>
                <w:lang w:val="en-US"/>
              </w:rPr>
              <w:t>053</w:t>
            </w:r>
          </w:p>
        </w:tc>
      </w:tr>
    </w:tbl>
    <w:p w14:paraId="1215ADBA" w14:textId="77777777" w:rsidR="0098409A" w:rsidRPr="003611D2" w:rsidRDefault="0098409A" w:rsidP="0098409A">
      <w:pPr>
        <w:rPr>
          <w:b/>
          <w:bCs/>
          <w:sz w:val="22"/>
          <w:szCs w:val="22"/>
          <w:lang w:val="en-US"/>
        </w:rPr>
      </w:pPr>
    </w:p>
    <w:p w14:paraId="64B66500" w14:textId="77777777" w:rsidR="0098409A" w:rsidRPr="003611D2" w:rsidRDefault="0098409A" w:rsidP="0098409A">
      <w:pPr>
        <w:pStyle w:val="Ingenafstand"/>
        <w:rPr>
          <w:sz w:val="22"/>
          <w:szCs w:val="22"/>
          <w:lang w:val="en-US"/>
        </w:rPr>
      </w:pPr>
      <w:r w:rsidRPr="003611D2">
        <w:rPr>
          <w:sz w:val="22"/>
          <w:szCs w:val="22"/>
          <w:lang w:val="en-US"/>
        </w:rPr>
        <w:t xml:space="preserve">Abbreviations:  </w:t>
      </w:r>
      <w:r w:rsidRPr="003611D2">
        <w:rPr>
          <w:bCs/>
          <w:sz w:val="22"/>
          <w:szCs w:val="22"/>
          <w:lang w:val="en-US"/>
        </w:rPr>
        <w:t xml:space="preserve">ICD-8: The International Classification of Diseases 8th </w:t>
      </w:r>
      <w:r>
        <w:rPr>
          <w:bCs/>
          <w:sz w:val="22"/>
          <w:szCs w:val="22"/>
          <w:lang w:val="en-US"/>
        </w:rPr>
        <w:t>R</w:t>
      </w:r>
      <w:r w:rsidRPr="003611D2">
        <w:rPr>
          <w:bCs/>
          <w:sz w:val="22"/>
          <w:szCs w:val="22"/>
          <w:lang w:val="en-US"/>
        </w:rPr>
        <w:t>evision, ICD-10: The International C</w:t>
      </w:r>
      <w:r>
        <w:rPr>
          <w:bCs/>
          <w:sz w:val="22"/>
          <w:szCs w:val="22"/>
          <w:lang w:val="en-US"/>
        </w:rPr>
        <w:t>lassification of Diseases 10th R</w:t>
      </w:r>
      <w:r w:rsidRPr="003611D2">
        <w:rPr>
          <w:bCs/>
          <w:sz w:val="22"/>
          <w:szCs w:val="22"/>
          <w:lang w:val="en-US"/>
        </w:rPr>
        <w:t>evision</w:t>
      </w:r>
    </w:p>
    <w:p w14:paraId="444DA630" w14:textId="77777777" w:rsidR="0098409A" w:rsidRPr="003611D2" w:rsidRDefault="0098409A" w:rsidP="0098409A">
      <w:pPr>
        <w:pStyle w:val="Ingenafstand"/>
        <w:rPr>
          <w:sz w:val="22"/>
          <w:szCs w:val="22"/>
          <w:lang w:val="en-US"/>
        </w:rPr>
      </w:pPr>
      <w:r w:rsidRPr="003611D2">
        <w:rPr>
          <w:sz w:val="22"/>
          <w:szCs w:val="22"/>
          <w:vertAlign w:val="superscript"/>
          <w:lang w:val="en-US"/>
        </w:rPr>
        <w:t>a</w:t>
      </w:r>
      <w:r w:rsidRPr="003611D2">
        <w:rPr>
          <w:sz w:val="22"/>
          <w:szCs w:val="22"/>
          <w:lang w:val="en-US"/>
        </w:rPr>
        <w:t xml:space="preserve"> Categories combined as individual counts are too small to report.</w:t>
      </w:r>
    </w:p>
    <w:p w14:paraId="71ED5C92" w14:textId="77777777" w:rsidR="0098409A" w:rsidRPr="003611D2" w:rsidRDefault="0098409A" w:rsidP="0098409A">
      <w:pPr>
        <w:rPr>
          <w:bCs/>
          <w:sz w:val="22"/>
          <w:szCs w:val="22"/>
          <w:lang w:val="en-US"/>
        </w:rPr>
      </w:pPr>
    </w:p>
    <w:p w14:paraId="3A0544C6" w14:textId="77777777" w:rsidR="0098409A" w:rsidRPr="0098409A" w:rsidRDefault="0098409A">
      <w:pPr>
        <w:rPr>
          <w:lang w:val="en-US"/>
        </w:rPr>
      </w:pPr>
    </w:p>
    <w:sectPr w:rsidR="0098409A" w:rsidRPr="0098409A" w:rsidSect="00C231B0">
      <w:pgSz w:w="12240" w:h="15840"/>
      <w:pgMar w:top="1440" w:right="1140" w:bottom="1440" w:left="11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9A"/>
    <w:rsid w:val="0098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743F1"/>
  <w15:chartTrackingRefBased/>
  <w15:docId w15:val="{A6A7F93E-35CB-A045-AB0E-C417E230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9A"/>
    <w:rPr>
      <w:rFonts w:ascii="Times New Roman" w:eastAsia="Times New Roman" w:hAnsi="Times New Roman" w:cs="Times New Roman"/>
      <w:lang w:val="da-DK" w:eastAsia="da-DK"/>
    </w:rPr>
  </w:style>
  <w:style w:type="paragraph" w:styleId="Overskrift1">
    <w:name w:val="heading 1"/>
    <w:basedOn w:val="Normal"/>
    <w:link w:val="Overskrift1Tegn"/>
    <w:uiPriority w:val="9"/>
    <w:qFormat/>
    <w:rsid w:val="0098409A"/>
    <w:pPr>
      <w:spacing w:before="100" w:beforeAutospacing="1" w:after="100" w:afterAutospacing="1"/>
      <w:outlineLvl w:val="0"/>
    </w:pPr>
    <w:rPr>
      <w:b/>
      <w:bCs/>
      <w:kern w:val="36"/>
      <w:sz w:val="32"/>
      <w:szCs w:val="48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409A"/>
    <w:rPr>
      <w:rFonts w:ascii="Times New Roman" w:eastAsia="Times New Roman" w:hAnsi="Times New Roman" w:cs="Times New Roman"/>
      <w:b/>
      <w:bCs/>
      <w:kern w:val="36"/>
      <w:sz w:val="32"/>
      <w:szCs w:val="48"/>
      <w:lang w:val="en-US" w:eastAsia="da-DK"/>
    </w:rPr>
  </w:style>
  <w:style w:type="paragraph" w:styleId="Ingenafstand">
    <w:name w:val="No Spacing"/>
    <w:uiPriority w:val="1"/>
    <w:qFormat/>
    <w:rsid w:val="0098409A"/>
    <w:rPr>
      <w:rFonts w:ascii="Times New Roman" w:eastAsia="Times New Roman" w:hAnsi="Times New Roman" w:cs="Times New Roman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Toft Sørensen</dc:creator>
  <cp:keywords/>
  <dc:description/>
  <cp:lastModifiedBy>Trine Toft Sørensen</cp:lastModifiedBy>
  <cp:revision>1</cp:revision>
  <dcterms:created xsi:type="dcterms:W3CDTF">2020-10-19T16:05:00Z</dcterms:created>
  <dcterms:modified xsi:type="dcterms:W3CDTF">2020-10-19T16:06:00Z</dcterms:modified>
</cp:coreProperties>
</file>