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4A783" w14:textId="3ABC1950" w:rsidR="00D5288C" w:rsidRPr="007D20AF" w:rsidRDefault="00D5288C" w:rsidP="00357869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drawing>
          <wp:inline distT="0" distB="0" distL="0" distR="0" wp14:anchorId="5D23F112" wp14:editId="556658EE">
            <wp:extent cx="5240192" cy="3474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 figure 1-cmr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43" cy="349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891A" w14:textId="366B2C8F" w:rsidR="00357869" w:rsidRDefault="00357869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D20AF">
        <w:rPr>
          <w:rFonts w:ascii="Times New Roman" w:hAnsi="Times New Roman" w:cs="Times New Roman"/>
          <w:b/>
          <w:sz w:val="20"/>
          <w:szCs w:val="20"/>
        </w:rPr>
        <w:t>Supplementary Figure 1.</w:t>
      </w:r>
      <w:bookmarkStart w:id="0" w:name="_Hlk50303619"/>
      <w:r w:rsidRPr="007D20AF">
        <w:rPr>
          <w:rFonts w:ascii="Times New Roman" w:hAnsi="Times New Roman" w:cs="Times New Roman"/>
          <w:sz w:val="20"/>
          <w:szCs w:val="20"/>
        </w:rPr>
        <w:t xml:space="preserve"> </w:t>
      </w:r>
      <w:bookmarkStart w:id="1" w:name="_Hlk50303685"/>
      <w:r w:rsidRPr="007D20AF">
        <w:rPr>
          <w:rFonts w:ascii="Times New Roman" w:hAnsi="Times New Roman" w:cs="Times New Roman"/>
          <w:sz w:val="20"/>
          <w:szCs w:val="20"/>
        </w:rPr>
        <w:t xml:space="preserve">The pie of the first recurrence site of </w:t>
      </w:r>
      <w:bookmarkEnd w:id="0"/>
      <w:bookmarkEnd w:id="1"/>
      <w:r w:rsidRPr="007D20AF">
        <w:rPr>
          <w:rFonts w:ascii="Times New Roman" w:hAnsi="Times New Roman" w:cs="Times New Roman"/>
          <w:sz w:val="20"/>
          <w:szCs w:val="20"/>
        </w:rPr>
        <w:t xml:space="preserve">all patients (A) </w:t>
      </w:r>
    </w:p>
    <w:p w14:paraId="48994536" w14:textId="348A0252" w:rsidR="00D5288C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D87C966" w14:textId="77777777" w:rsidR="00D5288C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06471C09" w14:textId="287806AB" w:rsidR="00D5288C" w:rsidRPr="007D20AF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</w:rPr>
        <w:drawing>
          <wp:inline distT="0" distB="0" distL="0" distR="0" wp14:anchorId="1FA4887E" wp14:editId="5F34118E">
            <wp:extent cx="5274310" cy="33534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 figure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6317" w14:textId="3A7B9484" w:rsidR="00357869" w:rsidRDefault="00357869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D20AF">
        <w:rPr>
          <w:rFonts w:ascii="Times New Roman" w:hAnsi="Times New Roman" w:cs="Times New Roman"/>
          <w:b/>
          <w:sz w:val="20"/>
          <w:szCs w:val="20"/>
        </w:rPr>
        <w:t xml:space="preserve">Supplementary Figure 2. </w:t>
      </w:r>
      <w:r w:rsidRPr="007D20AF">
        <w:rPr>
          <w:rFonts w:ascii="Times New Roman" w:hAnsi="Times New Roman" w:cs="Times New Roman"/>
          <w:sz w:val="20"/>
          <w:szCs w:val="20"/>
        </w:rPr>
        <w:t xml:space="preserve">The ROC curve of logistic regression model on the risk of </w:t>
      </w:r>
      <w:r>
        <w:rPr>
          <w:rFonts w:ascii="Times New Roman" w:hAnsi="Times New Roman" w:cs="Times New Roman"/>
          <w:sz w:val="20"/>
          <w:szCs w:val="20"/>
        </w:rPr>
        <w:t>LN enlargement</w:t>
      </w:r>
      <w:r w:rsidRPr="007D20AF">
        <w:rPr>
          <w:rFonts w:ascii="Times New Roman" w:hAnsi="Times New Roman" w:cs="Times New Roman"/>
          <w:sz w:val="20"/>
          <w:szCs w:val="20"/>
        </w:rPr>
        <w:t xml:space="preserve"> (A), the nomogram of the nomogram of the competing risk model after multivariate analysis (B), and the </w:t>
      </w:r>
      <w:r w:rsidRPr="007D20AF">
        <w:rPr>
          <w:rFonts w:ascii="Times New Roman" w:hAnsi="Times New Roman" w:cs="Times New Roman"/>
          <w:sz w:val="20"/>
          <w:szCs w:val="20"/>
        </w:rPr>
        <w:lastRenderedPageBreak/>
        <w:t xml:space="preserve">cumulative survival of NSCLC </w:t>
      </w:r>
      <w:r>
        <w:rPr>
          <w:rFonts w:ascii="Times New Roman" w:hAnsi="Times New Roman" w:cs="Times New Roman"/>
          <w:sz w:val="20"/>
          <w:szCs w:val="20"/>
        </w:rPr>
        <w:t>LN enlargement</w:t>
      </w:r>
      <w:r w:rsidRPr="007D20AF">
        <w:rPr>
          <w:rFonts w:ascii="Times New Roman" w:hAnsi="Times New Roman" w:cs="Times New Roman"/>
          <w:sz w:val="20"/>
          <w:szCs w:val="20"/>
        </w:rPr>
        <w:t xml:space="preserve"> patients with adjuvant therapy (C) or not (D).</w:t>
      </w:r>
      <w:r w:rsidR="00CA29A9" w:rsidRPr="00CA29A9">
        <w:rPr>
          <w:rFonts w:ascii="Times New Roman" w:hAnsi="Times New Roman" w:cs="Times New Roman"/>
          <w:sz w:val="20"/>
          <w:szCs w:val="20"/>
        </w:rPr>
        <w:t xml:space="preserve"> </w:t>
      </w:r>
      <w:r w:rsidR="00CA29A9" w:rsidRPr="00C4224C">
        <w:rPr>
          <w:rFonts w:ascii="Times New Roman" w:hAnsi="Times New Roman" w:cs="Times New Roman"/>
          <w:sz w:val="20"/>
          <w:szCs w:val="20"/>
        </w:rPr>
        <w:t>*, p&lt;0.05; **, p&lt;0.01; ***, p&lt;0.001</w:t>
      </w:r>
    </w:p>
    <w:p w14:paraId="31FD516A" w14:textId="6FA12605" w:rsidR="00D5288C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43C7A64" w14:textId="020656B5" w:rsidR="00D5288C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7009452" w14:textId="77777777" w:rsidR="00D5288C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49A20B3" w14:textId="2E886DC5" w:rsidR="00D5288C" w:rsidRPr="007D20AF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</w:rPr>
        <w:drawing>
          <wp:inline distT="0" distB="0" distL="0" distR="0" wp14:anchorId="42E7DDE2" wp14:editId="6B3E22FA">
            <wp:extent cx="5274310" cy="33534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 figur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4F7B" w14:textId="7E177A65" w:rsidR="00357869" w:rsidRDefault="00357869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D20AF">
        <w:rPr>
          <w:rFonts w:ascii="Times New Roman" w:hAnsi="Times New Roman" w:cs="Times New Roman"/>
          <w:b/>
          <w:sz w:val="20"/>
          <w:szCs w:val="20"/>
        </w:rPr>
        <w:t xml:space="preserve">Supplementary Figure 3. </w:t>
      </w:r>
      <w:r w:rsidRPr="007D20AF">
        <w:rPr>
          <w:rFonts w:ascii="Times New Roman" w:hAnsi="Times New Roman" w:cs="Times New Roman"/>
          <w:sz w:val="20"/>
          <w:szCs w:val="20"/>
        </w:rPr>
        <w:t>The cumulative survival of NSCLC patients with other risk factors including age group (A), family history of NSCLC (B), relapse (C) and adjuvant therapy (D).</w:t>
      </w:r>
    </w:p>
    <w:p w14:paraId="65BF69CD" w14:textId="792290B7" w:rsidR="00D5288C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E16A5FB" w14:textId="7D579534" w:rsidR="00D5288C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403E234" w14:textId="00B74FE0" w:rsidR="00D5288C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37FFE99" w14:textId="231E484A" w:rsidR="00D5288C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BC81739" w14:textId="4C074580" w:rsidR="00D5288C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4E021598" w14:textId="7A452C20" w:rsidR="00D5288C" w:rsidRDefault="00D5288C" w:rsidP="00357869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0181410A" w14:textId="77777777" w:rsidR="00CA29A9" w:rsidRDefault="00CA29A9" w:rsidP="00357869">
      <w:pPr>
        <w:jc w:val="center"/>
        <w:rPr>
          <w:rFonts w:ascii="Times New Roman" w:hAnsi="Times New Roman" w:cs="Times New Roman"/>
          <w:b/>
          <w:bCs/>
          <w:sz w:val="24"/>
        </w:rPr>
      </w:pPr>
    </w:p>
    <w:p w14:paraId="56A8BF06" w14:textId="77777777" w:rsidR="00357869" w:rsidRPr="009461BA" w:rsidRDefault="00357869" w:rsidP="00357869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Supplement </w:t>
      </w:r>
      <w:r w:rsidRPr="009461BA">
        <w:rPr>
          <w:rFonts w:ascii="Times New Roman" w:hAnsi="Times New Roman" w:cs="Times New Roman"/>
          <w:b/>
          <w:bCs/>
          <w:sz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</w:rPr>
        <w:t>1</w:t>
      </w:r>
      <w:r w:rsidRPr="009461BA">
        <w:rPr>
          <w:rFonts w:ascii="Times New Roman" w:hAnsi="Times New Roman" w:cs="Times New Roman"/>
          <w:b/>
          <w:bCs/>
          <w:sz w:val="24"/>
        </w:rPr>
        <w:t xml:space="preserve">. Multivariable Analysis of Predictors of </w:t>
      </w:r>
      <w:r>
        <w:rPr>
          <w:rFonts w:ascii="Times New Roman" w:hAnsi="Times New Roman" w:cs="Times New Roman"/>
          <w:b/>
          <w:bCs/>
          <w:sz w:val="24"/>
        </w:rPr>
        <w:t>LN enlargement</w:t>
      </w:r>
      <w:r w:rsidRPr="009461BA">
        <w:rPr>
          <w:rFonts w:ascii="Times New Roman" w:hAnsi="Times New Roman" w:cs="Times New Roman"/>
          <w:b/>
          <w:bCs/>
          <w:sz w:val="24"/>
        </w:rPr>
        <w:t xml:space="preserve"> in the Overall Cohort</w:t>
      </w:r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3268"/>
        <w:gridCol w:w="1268"/>
        <w:gridCol w:w="1560"/>
        <w:gridCol w:w="992"/>
      </w:tblGrid>
      <w:tr w:rsidR="00357869" w:rsidRPr="004B3436" w14:paraId="1D098749" w14:textId="77777777" w:rsidTr="008D244B">
        <w:trPr>
          <w:trHeight w:val="581"/>
          <w:jc w:val="center"/>
        </w:trPr>
        <w:tc>
          <w:tcPr>
            <w:tcW w:w="3268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22B53155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 w:rsidRPr="004B3436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8"/>
                <w:szCs w:val="28"/>
              </w:rPr>
              <w:t>Variable</w:t>
            </w:r>
          </w:p>
        </w:tc>
        <w:tc>
          <w:tcPr>
            <w:tcW w:w="1268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1C325B41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 w:rsidRPr="004B3436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8"/>
                <w:szCs w:val="28"/>
              </w:rPr>
              <w:t>HR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52E38A21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 w:rsidRPr="004B3436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8"/>
                <w:szCs w:val="28"/>
              </w:rPr>
              <w:t>95% CI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7E36F2B2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 w:rsidRPr="004B3436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8"/>
                <w:szCs w:val="28"/>
              </w:rPr>
              <w:t>P</w:t>
            </w:r>
          </w:p>
        </w:tc>
      </w:tr>
      <w:tr w:rsidR="00357869" w:rsidRPr="004B3436" w14:paraId="66763A5C" w14:textId="77777777" w:rsidTr="008D244B">
        <w:trPr>
          <w:trHeight w:val="275"/>
          <w:jc w:val="center"/>
        </w:trPr>
        <w:tc>
          <w:tcPr>
            <w:tcW w:w="3268" w:type="dxa"/>
            <w:tcBorders>
              <w:top w:val="single" w:sz="8" w:space="0" w:color="auto"/>
            </w:tcBorders>
            <w:noWrap/>
            <w:hideMark/>
          </w:tcPr>
          <w:p w14:paraId="1197AF4C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Age</w:t>
            </w:r>
          </w:p>
        </w:tc>
        <w:tc>
          <w:tcPr>
            <w:tcW w:w="1268" w:type="dxa"/>
            <w:tcBorders>
              <w:top w:val="single" w:sz="8" w:space="0" w:color="auto"/>
            </w:tcBorders>
            <w:noWrap/>
            <w:hideMark/>
          </w:tcPr>
          <w:p w14:paraId="032CBDCC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.032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noWrap/>
            <w:hideMark/>
          </w:tcPr>
          <w:p w14:paraId="6679DDA6" w14:textId="77777777" w:rsidR="00357869" w:rsidRPr="00C233F5" w:rsidRDefault="00357869" w:rsidP="008D244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1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.010~1.054</w:t>
            </w:r>
          </w:p>
        </w:tc>
        <w:tc>
          <w:tcPr>
            <w:tcW w:w="992" w:type="dxa"/>
            <w:tcBorders>
              <w:top w:val="single" w:sz="8" w:space="0" w:color="auto"/>
            </w:tcBorders>
            <w:noWrap/>
            <w:hideMark/>
          </w:tcPr>
          <w:p w14:paraId="6C391F64" w14:textId="77777777" w:rsidR="00357869" w:rsidRPr="00C233F5" w:rsidRDefault="00357869" w:rsidP="008D244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.004</w:t>
            </w:r>
          </w:p>
        </w:tc>
      </w:tr>
      <w:tr w:rsidR="00357869" w:rsidRPr="004B3436" w14:paraId="4FA12C0D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60A9BF26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Sex</w:t>
            </w:r>
          </w:p>
        </w:tc>
        <w:tc>
          <w:tcPr>
            <w:tcW w:w="1268" w:type="dxa"/>
            <w:noWrap/>
            <w:hideMark/>
          </w:tcPr>
          <w:p w14:paraId="6B170BF0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noWrap/>
            <w:hideMark/>
          </w:tcPr>
          <w:p w14:paraId="6E31EF0B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noWrap/>
            <w:hideMark/>
          </w:tcPr>
          <w:p w14:paraId="0CAC78C1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357869" w:rsidRPr="004B3436" w14:paraId="7AD659F7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7523C171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  Female</w:t>
            </w:r>
          </w:p>
        </w:tc>
        <w:tc>
          <w:tcPr>
            <w:tcW w:w="1268" w:type="dxa"/>
            <w:noWrap/>
            <w:hideMark/>
          </w:tcPr>
          <w:p w14:paraId="77C0FA44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Reference</w:t>
            </w:r>
          </w:p>
        </w:tc>
        <w:tc>
          <w:tcPr>
            <w:tcW w:w="1560" w:type="dxa"/>
            <w:noWrap/>
            <w:hideMark/>
          </w:tcPr>
          <w:p w14:paraId="414E0A66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992" w:type="dxa"/>
            <w:noWrap/>
            <w:hideMark/>
          </w:tcPr>
          <w:p w14:paraId="69F1C318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—</w:t>
            </w:r>
          </w:p>
        </w:tc>
      </w:tr>
      <w:tr w:rsidR="00357869" w:rsidRPr="004B3436" w14:paraId="34BC9F1B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0C46484D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  Male</w:t>
            </w:r>
          </w:p>
        </w:tc>
        <w:tc>
          <w:tcPr>
            <w:tcW w:w="1268" w:type="dxa"/>
            <w:noWrap/>
            <w:hideMark/>
          </w:tcPr>
          <w:p w14:paraId="7F507747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03</w:t>
            </w:r>
          </w:p>
        </w:tc>
        <w:tc>
          <w:tcPr>
            <w:tcW w:w="1560" w:type="dxa"/>
            <w:noWrap/>
            <w:hideMark/>
          </w:tcPr>
          <w:p w14:paraId="4CFCDFAB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</w:t>
            </w: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~2.4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992" w:type="dxa"/>
            <w:noWrap/>
            <w:hideMark/>
          </w:tcPr>
          <w:p w14:paraId="1C1D8D26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95</w:t>
            </w:r>
          </w:p>
        </w:tc>
      </w:tr>
      <w:tr w:rsidR="00357869" w:rsidRPr="004B3436" w14:paraId="2D8C3DA2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4330A068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Smoking</w:t>
            </w:r>
          </w:p>
        </w:tc>
        <w:tc>
          <w:tcPr>
            <w:tcW w:w="1268" w:type="dxa"/>
            <w:noWrap/>
            <w:hideMark/>
          </w:tcPr>
          <w:p w14:paraId="3B868834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noWrap/>
            <w:hideMark/>
          </w:tcPr>
          <w:p w14:paraId="3324053D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noWrap/>
            <w:hideMark/>
          </w:tcPr>
          <w:p w14:paraId="07E9C08B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357869" w:rsidRPr="004B3436" w14:paraId="1879CB54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78253EF9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  Yes</w:t>
            </w:r>
          </w:p>
        </w:tc>
        <w:tc>
          <w:tcPr>
            <w:tcW w:w="1268" w:type="dxa"/>
            <w:noWrap/>
            <w:hideMark/>
          </w:tcPr>
          <w:p w14:paraId="47EDCF77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1560" w:type="dxa"/>
            <w:noWrap/>
            <w:hideMark/>
          </w:tcPr>
          <w:p w14:paraId="093CEF8F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34</w:t>
            </w: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~2.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071</w:t>
            </w:r>
          </w:p>
        </w:tc>
        <w:tc>
          <w:tcPr>
            <w:tcW w:w="992" w:type="dxa"/>
            <w:noWrap/>
            <w:hideMark/>
          </w:tcPr>
          <w:p w14:paraId="01BF06F0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428</w:t>
            </w:r>
          </w:p>
        </w:tc>
      </w:tr>
      <w:tr w:rsidR="00357869" w:rsidRPr="004B3436" w14:paraId="0C3C0B4B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137A1A74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  No</w:t>
            </w:r>
          </w:p>
        </w:tc>
        <w:tc>
          <w:tcPr>
            <w:tcW w:w="1268" w:type="dxa"/>
            <w:noWrap/>
            <w:hideMark/>
          </w:tcPr>
          <w:p w14:paraId="4E55A2D1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Reference</w:t>
            </w:r>
          </w:p>
        </w:tc>
        <w:tc>
          <w:tcPr>
            <w:tcW w:w="1560" w:type="dxa"/>
            <w:noWrap/>
            <w:hideMark/>
          </w:tcPr>
          <w:p w14:paraId="4653FB20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992" w:type="dxa"/>
            <w:noWrap/>
            <w:hideMark/>
          </w:tcPr>
          <w:p w14:paraId="1ED5D43E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—</w:t>
            </w:r>
          </w:p>
        </w:tc>
      </w:tr>
      <w:tr w:rsidR="00357869" w:rsidRPr="004B3436" w14:paraId="1E30A14C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7689FBA2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Pathology</w:t>
            </w:r>
          </w:p>
        </w:tc>
        <w:tc>
          <w:tcPr>
            <w:tcW w:w="1268" w:type="dxa"/>
            <w:noWrap/>
            <w:hideMark/>
          </w:tcPr>
          <w:p w14:paraId="26876951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noWrap/>
            <w:hideMark/>
          </w:tcPr>
          <w:p w14:paraId="33E01ED2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noWrap/>
            <w:hideMark/>
          </w:tcPr>
          <w:p w14:paraId="380B2253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357869" w:rsidRPr="004B3436" w14:paraId="4F14E685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4AA89D9A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  Squamous cell carcinoma</w:t>
            </w:r>
          </w:p>
        </w:tc>
        <w:tc>
          <w:tcPr>
            <w:tcW w:w="1268" w:type="dxa"/>
            <w:noWrap/>
            <w:hideMark/>
          </w:tcPr>
          <w:p w14:paraId="41B2F13D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Reference</w:t>
            </w:r>
          </w:p>
        </w:tc>
        <w:tc>
          <w:tcPr>
            <w:tcW w:w="1560" w:type="dxa"/>
            <w:noWrap/>
            <w:hideMark/>
          </w:tcPr>
          <w:p w14:paraId="08DD9844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992" w:type="dxa"/>
            <w:noWrap/>
            <w:hideMark/>
          </w:tcPr>
          <w:p w14:paraId="382719C8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</w:t>
            </w:r>
          </w:p>
        </w:tc>
      </w:tr>
      <w:tr w:rsidR="00357869" w:rsidRPr="004B3436" w14:paraId="57DB03AA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6FDC667D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  Adenocarcinoma</w:t>
            </w:r>
          </w:p>
        </w:tc>
        <w:tc>
          <w:tcPr>
            <w:tcW w:w="1268" w:type="dxa"/>
            <w:noWrap/>
            <w:hideMark/>
          </w:tcPr>
          <w:p w14:paraId="7554B202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391</w:t>
            </w:r>
          </w:p>
        </w:tc>
        <w:tc>
          <w:tcPr>
            <w:tcW w:w="1560" w:type="dxa"/>
            <w:noWrap/>
            <w:hideMark/>
          </w:tcPr>
          <w:p w14:paraId="4D3DE672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27</w:t>
            </w: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~0.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674</w:t>
            </w:r>
          </w:p>
        </w:tc>
        <w:tc>
          <w:tcPr>
            <w:tcW w:w="992" w:type="dxa"/>
            <w:noWrap/>
            <w:hideMark/>
          </w:tcPr>
          <w:p w14:paraId="5ABE76A8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0.001</w:t>
            </w:r>
          </w:p>
        </w:tc>
      </w:tr>
      <w:tr w:rsidR="00357869" w:rsidRPr="004B3436" w14:paraId="5DD50626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08287B89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  Others</w:t>
            </w:r>
          </w:p>
        </w:tc>
        <w:tc>
          <w:tcPr>
            <w:tcW w:w="1268" w:type="dxa"/>
            <w:noWrap/>
            <w:hideMark/>
          </w:tcPr>
          <w:p w14:paraId="1417E407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399</w:t>
            </w:r>
          </w:p>
        </w:tc>
        <w:tc>
          <w:tcPr>
            <w:tcW w:w="1560" w:type="dxa"/>
            <w:noWrap/>
            <w:hideMark/>
          </w:tcPr>
          <w:p w14:paraId="7393AF4A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63</w:t>
            </w: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~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0.980</w:t>
            </w:r>
          </w:p>
        </w:tc>
        <w:tc>
          <w:tcPr>
            <w:tcW w:w="992" w:type="dxa"/>
            <w:noWrap/>
            <w:hideMark/>
          </w:tcPr>
          <w:p w14:paraId="03B8A66B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45</w:t>
            </w:r>
          </w:p>
        </w:tc>
      </w:tr>
      <w:tr w:rsidR="00357869" w:rsidRPr="004B3436" w14:paraId="7A4F42A3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5059D13F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 stage</w:t>
            </w:r>
          </w:p>
        </w:tc>
        <w:tc>
          <w:tcPr>
            <w:tcW w:w="1268" w:type="dxa"/>
            <w:noWrap/>
            <w:hideMark/>
          </w:tcPr>
          <w:p w14:paraId="20BD37E1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60" w:type="dxa"/>
            <w:noWrap/>
            <w:hideMark/>
          </w:tcPr>
          <w:p w14:paraId="16156BFD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noWrap/>
            <w:hideMark/>
          </w:tcPr>
          <w:p w14:paraId="4EDC73B2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357869" w:rsidRPr="004B3436" w14:paraId="45BFDC33" w14:textId="77777777" w:rsidTr="008D244B">
        <w:trPr>
          <w:trHeight w:val="275"/>
          <w:jc w:val="center"/>
        </w:trPr>
        <w:tc>
          <w:tcPr>
            <w:tcW w:w="3268" w:type="dxa"/>
            <w:noWrap/>
            <w:hideMark/>
          </w:tcPr>
          <w:p w14:paraId="4DBC5249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  T1</w:t>
            </w:r>
          </w:p>
        </w:tc>
        <w:tc>
          <w:tcPr>
            <w:tcW w:w="1268" w:type="dxa"/>
            <w:noWrap/>
            <w:hideMark/>
          </w:tcPr>
          <w:p w14:paraId="4CADAA16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Reference</w:t>
            </w:r>
          </w:p>
        </w:tc>
        <w:tc>
          <w:tcPr>
            <w:tcW w:w="1560" w:type="dxa"/>
            <w:noWrap/>
            <w:hideMark/>
          </w:tcPr>
          <w:p w14:paraId="3D62F997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992" w:type="dxa"/>
            <w:noWrap/>
            <w:hideMark/>
          </w:tcPr>
          <w:p w14:paraId="190DE967" w14:textId="77777777" w:rsidR="00357869" w:rsidRPr="00107DE1" w:rsidRDefault="00357869" w:rsidP="008D244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.045</w:t>
            </w:r>
          </w:p>
        </w:tc>
      </w:tr>
      <w:tr w:rsidR="00357869" w:rsidRPr="004B3436" w14:paraId="6D9B03A7" w14:textId="77777777" w:rsidTr="008D244B">
        <w:trPr>
          <w:trHeight w:val="275"/>
          <w:jc w:val="center"/>
        </w:trPr>
        <w:tc>
          <w:tcPr>
            <w:tcW w:w="3268" w:type="dxa"/>
            <w:noWrap/>
          </w:tcPr>
          <w:p w14:paraId="6C6F6AD0" w14:textId="77777777" w:rsidR="00357869" w:rsidRPr="004B3436" w:rsidRDefault="00357869" w:rsidP="008D244B">
            <w:pPr>
              <w:widowControl/>
              <w:ind w:firstLineChars="150" w:firstLine="315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T2</w:t>
            </w:r>
          </w:p>
        </w:tc>
        <w:tc>
          <w:tcPr>
            <w:tcW w:w="1268" w:type="dxa"/>
            <w:noWrap/>
          </w:tcPr>
          <w:p w14:paraId="0961A90C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.645</w:t>
            </w:r>
          </w:p>
        </w:tc>
        <w:tc>
          <w:tcPr>
            <w:tcW w:w="1560" w:type="dxa"/>
            <w:noWrap/>
          </w:tcPr>
          <w:p w14:paraId="029EF207" w14:textId="77777777" w:rsidR="00357869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.081~2.502</w:t>
            </w:r>
          </w:p>
        </w:tc>
        <w:tc>
          <w:tcPr>
            <w:tcW w:w="992" w:type="dxa"/>
            <w:noWrap/>
          </w:tcPr>
          <w:p w14:paraId="26B7A0A8" w14:textId="77777777" w:rsidR="00357869" w:rsidRPr="00C233F5" w:rsidRDefault="00357869" w:rsidP="008D244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.020</w:t>
            </w:r>
          </w:p>
        </w:tc>
      </w:tr>
      <w:tr w:rsidR="00357869" w:rsidRPr="004B3436" w14:paraId="49D2DFCD" w14:textId="77777777" w:rsidTr="008D244B">
        <w:trPr>
          <w:trHeight w:val="275"/>
          <w:jc w:val="center"/>
        </w:trPr>
        <w:tc>
          <w:tcPr>
            <w:tcW w:w="3268" w:type="dxa"/>
            <w:noWrap/>
          </w:tcPr>
          <w:p w14:paraId="6EE81E78" w14:textId="77777777" w:rsidR="00357869" w:rsidRPr="004B3436" w:rsidRDefault="00357869" w:rsidP="008D244B">
            <w:pPr>
              <w:widowControl/>
              <w:ind w:firstLineChars="150" w:firstLine="315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T3</w:t>
            </w:r>
          </w:p>
        </w:tc>
        <w:tc>
          <w:tcPr>
            <w:tcW w:w="1268" w:type="dxa"/>
            <w:noWrap/>
          </w:tcPr>
          <w:p w14:paraId="59E5C4B9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.037</w:t>
            </w:r>
          </w:p>
        </w:tc>
        <w:tc>
          <w:tcPr>
            <w:tcW w:w="1560" w:type="dxa"/>
            <w:noWrap/>
          </w:tcPr>
          <w:p w14:paraId="5EB8D308" w14:textId="77777777" w:rsidR="00357869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.950~4.369</w:t>
            </w:r>
          </w:p>
        </w:tc>
        <w:tc>
          <w:tcPr>
            <w:tcW w:w="992" w:type="dxa"/>
            <w:noWrap/>
          </w:tcPr>
          <w:p w14:paraId="7384D456" w14:textId="77777777" w:rsidR="00357869" w:rsidRPr="00C233F5" w:rsidRDefault="00357869" w:rsidP="008D244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.068</w:t>
            </w:r>
          </w:p>
        </w:tc>
      </w:tr>
      <w:tr w:rsidR="00357869" w:rsidRPr="004B3436" w14:paraId="06F50055" w14:textId="77777777" w:rsidTr="008D244B">
        <w:trPr>
          <w:trHeight w:val="275"/>
          <w:jc w:val="center"/>
        </w:trPr>
        <w:tc>
          <w:tcPr>
            <w:tcW w:w="3268" w:type="dxa"/>
            <w:tcBorders>
              <w:bottom w:val="single" w:sz="4" w:space="0" w:color="auto"/>
            </w:tcBorders>
            <w:noWrap/>
            <w:hideMark/>
          </w:tcPr>
          <w:p w14:paraId="39E09F5A" w14:textId="77777777" w:rsidR="00357869" w:rsidRPr="004B3436" w:rsidRDefault="00357869" w:rsidP="008D244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  T4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noWrap/>
            <w:hideMark/>
          </w:tcPr>
          <w:p w14:paraId="794E1E67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4.588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14:paraId="44F14609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565</w:t>
            </w: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~3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7.225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7718A168" w14:textId="77777777" w:rsidR="00357869" w:rsidRPr="004B3436" w:rsidRDefault="00357869" w:rsidP="008D24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B343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54</w:t>
            </w:r>
          </w:p>
        </w:tc>
      </w:tr>
    </w:tbl>
    <w:p w14:paraId="001A5F93" w14:textId="77777777" w:rsidR="00F464D5" w:rsidRDefault="00F464D5"/>
    <w:sectPr w:rsidR="00F464D5" w:rsidSect="00F53796">
      <w:footerReference w:type="default" r:id="rId10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D6298" w14:textId="77777777" w:rsidR="00F56AB1" w:rsidRDefault="00F56AB1">
      <w:r>
        <w:separator/>
      </w:r>
    </w:p>
  </w:endnote>
  <w:endnote w:type="continuationSeparator" w:id="0">
    <w:p w14:paraId="6F6A7DFE" w14:textId="77777777" w:rsidR="00F56AB1" w:rsidRDefault="00F56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9216449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A74972" w14:textId="77777777" w:rsidR="002E4FCF" w:rsidRDefault="000B138B" w:rsidP="00F53796">
            <w:pPr>
              <w:pStyle w:val="Footer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FF789" w14:textId="77777777" w:rsidR="00F56AB1" w:rsidRDefault="00F56AB1">
      <w:r>
        <w:separator/>
      </w:r>
    </w:p>
  </w:footnote>
  <w:footnote w:type="continuationSeparator" w:id="0">
    <w:p w14:paraId="1C44A4DE" w14:textId="77777777" w:rsidR="00F56AB1" w:rsidRDefault="00F56A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B7307"/>
    <w:multiLevelType w:val="hybridMultilevel"/>
    <w:tmpl w:val="37CCFC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869"/>
    <w:rsid w:val="000B138B"/>
    <w:rsid w:val="002E12D7"/>
    <w:rsid w:val="00357869"/>
    <w:rsid w:val="004872FE"/>
    <w:rsid w:val="004F065C"/>
    <w:rsid w:val="00607619"/>
    <w:rsid w:val="0095500B"/>
    <w:rsid w:val="00997524"/>
    <w:rsid w:val="009C3227"/>
    <w:rsid w:val="00AE22B3"/>
    <w:rsid w:val="00CA29A9"/>
    <w:rsid w:val="00CA7318"/>
    <w:rsid w:val="00D5288C"/>
    <w:rsid w:val="00F464D5"/>
    <w:rsid w:val="00F5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C3E6DD"/>
  <w15:chartTrackingRefBased/>
  <w15:docId w15:val="{62986ECC-C38A-4519-92B2-7CD7463E8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869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578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869"/>
    <w:rPr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357869"/>
  </w:style>
  <w:style w:type="paragraph" w:styleId="Header">
    <w:name w:val="header"/>
    <w:basedOn w:val="Normal"/>
    <w:link w:val="HeaderChar"/>
    <w:uiPriority w:val="99"/>
    <w:unhideWhenUsed/>
    <w:rsid w:val="00CA29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A29A9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2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2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2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2B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2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向 来痴</dc:creator>
  <cp:keywords/>
  <dc:description/>
  <cp:lastModifiedBy>Sumedha Kasturi</cp:lastModifiedBy>
  <cp:revision>2</cp:revision>
  <dcterms:created xsi:type="dcterms:W3CDTF">2020-09-17T21:04:00Z</dcterms:created>
  <dcterms:modified xsi:type="dcterms:W3CDTF">2020-09-17T21:04:00Z</dcterms:modified>
</cp:coreProperties>
</file>