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77E78" w14:textId="6ACAA3AB" w:rsidR="0003128C" w:rsidRDefault="0003128C" w:rsidP="006C23AA">
      <w:pPr>
        <w:rPr>
          <w:rFonts w:ascii="Times New Roman" w:eastAsia="SimSun" w:hAnsi="Times New Roman" w:cs="Times New Roman"/>
          <w:sz w:val="24"/>
        </w:rPr>
      </w:pPr>
      <w:r>
        <w:rPr>
          <w:noProof/>
        </w:rPr>
        <w:drawing>
          <wp:inline distT="0" distB="0" distL="0" distR="0" wp14:anchorId="06BCB9AB" wp14:editId="0D95D2D7">
            <wp:extent cx="5767742" cy="27686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12" cy="277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823D" w14:textId="3C315B47" w:rsidR="006C23AA" w:rsidRDefault="006C23AA" w:rsidP="006C23AA">
      <w:pPr>
        <w:rPr>
          <w:rFonts w:ascii="Times New Roman" w:eastAsia="SimSun" w:hAnsi="Times New Roman" w:cs="Times New Roman"/>
          <w:sz w:val="24"/>
        </w:rPr>
      </w:pPr>
      <w:r w:rsidRPr="006309C6">
        <w:rPr>
          <w:rFonts w:ascii="Times New Roman" w:eastAsia="SimSun" w:hAnsi="Times New Roman" w:cs="Times New Roman"/>
          <w:sz w:val="24"/>
        </w:rPr>
        <w:t xml:space="preserve">Supplementary Figure </w:t>
      </w:r>
      <w:r>
        <w:rPr>
          <w:rFonts w:ascii="Times New Roman" w:eastAsia="SimSun" w:hAnsi="Times New Roman" w:cs="Times New Roman"/>
          <w:sz w:val="24"/>
        </w:rPr>
        <w:t>1</w:t>
      </w:r>
      <w:r w:rsidRPr="006309C6">
        <w:rPr>
          <w:rFonts w:ascii="Times New Roman" w:eastAsia="SimSun" w:hAnsi="Times New Roman" w:cs="Times New Roman"/>
          <w:sz w:val="24"/>
        </w:rPr>
        <w:t xml:space="preserve">. ROC curves for different predictive models. </w:t>
      </w:r>
      <w:r>
        <w:rPr>
          <w:rFonts w:ascii="Times New Roman" w:eastAsia="SimSun" w:hAnsi="Times New Roman" w:cs="Times New Roman"/>
          <w:sz w:val="24"/>
        </w:rPr>
        <w:t>a</w:t>
      </w:r>
      <w:r w:rsidRPr="006309C6">
        <w:rPr>
          <w:rFonts w:ascii="Times New Roman" w:eastAsia="SimSun" w:hAnsi="Times New Roman" w:cs="Times New Roman"/>
          <w:sz w:val="24"/>
        </w:rPr>
        <w:t>. ROC curves for three tumor markers (CA 19-9, CEA and CA 125)</w:t>
      </w:r>
      <w:r>
        <w:rPr>
          <w:rFonts w:ascii="Times New Roman" w:eastAsia="SimSun" w:hAnsi="Times New Roman" w:cs="Times New Roman"/>
          <w:sz w:val="24"/>
        </w:rPr>
        <w:t>,</w:t>
      </w:r>
      <w:r w:rsidRPr="006A5386">
        <w:rPr>
          <w:rFonts w:ascii="Times New Roman" w:eastAsia="SimSun" w:hAnsi="Times New Roman" w:cs="Times New Roman"/>
          <w:sz w:val="24"/>
        </w:rPr>
        <w:t xml:space="preserve"> the AUC values </w:t>
      </w:r>
      <w:r w:rsidRPr="006309C6">
        <w:rPr>
          <w:rFonts w:ascii="Times New Roman" w:eastAsia="SimSun" w:hAnsi="Times New Roman" w:cs="Times New Roman"/>
          <w:sz w:val="24"/>
        </w:rPr>
        <w:t xml:space="preserve">of </w:t>
      </w:r>
      <w:r w:rsidRPr="006A5386">
        <w:rPr>
          <w:rFonts w:ascii="Times New Roman" w:eastAsia="SimSun" w:hAnsi="Times New Roman" w:cs="Times New Roman"/>
          <w:sz w:val="24"/>
        </w:rPr>
        <w:t>0.675 (combine), 0.651 (CA 19-9), 0.625 (CA 125) and 0.596 (CEA)</w:t>
      </w:r>
      <w:r w:rsidRPr="006309C6">
        <w:rPr>
          <w:rFonts w:ascii="Times New Roman" w:eastAsia="SimSun" w:hAnsi="Times New Roman" w:cs="Times New Roman"/>
          <w:sz w:val="24"/>
        </w:rPr>
        <w:t xml:space="preserve">. </w:t>
      </w:r>
      <w:r>
        <w:rPr>
          <w:rFonts w:ascii="Times New Roman" w:eastAsia="SimSun" w:hAnsi="Times New Roman" w:cs="Times New Roman"/>
          <w:sz w:val="24"/>
        </w:rPr>
        <w:t>b</w:t>
      </w:r>
      <w:r w:rsidRPr="006309C6">
        <w:rPr>
          <w:rFonts w:ascii="Times New Roman" w:eastAsia="SimSun" w:hAnsi="Times New Roman" w:cs="Times New Roman"/>
          <w:sz w:val="24"/>
        </w:rPr>
        <w:t>. ROC curves of four markers (CA 19-9, CA 125, LDH and N)</w:t>
      </w:r>
      <w:r>
        <w:rPr>
          <w:rFonts w:ascii="Times New Roman" w:eastAsia="SimSun" w:hAnsi="Times New Roman" w:cs="Times New Roman"/>
          <w:sz w:val="24"/>
        </w:rPr>
        <w:t>,</w:t>
      </w:r>
      <w:r w:rsidRPr="006A5386">
        <w:rPr>
          <w:rFonts w:ascii="Times New Roman" w:eastAsia="SimSun" w:hAnsi="Times New Roman" w:cs="Times New Roman"/>
          <w:sz w:val="24"/>
        </w:rPr>
        <w:t xml:space="preserve"> AUC values of 0.645 (combine), 0.636 (CA 19-9), 0.602 (CA 125), 0.594 (N), and 0.561 (LDH)</w:t>
      </w:r>
      <w:r w:rsidRPr="006309C6">
        <w:rPr>
          <w:rFonts w:ascii="Times New Roman" w:eastAsia="SimSun" w:hAnsi="Times New Roman" w:cs="Times New Roman"/>
          <w:sz w:val="24"/>
        </w:rPr>
        <w:t>.</w:t>
      </w:r>
    </w:p>
    <w:p w14:paraId="500601AD" w14:textId="0A6AFEB2" w:rsidR="006C23AA" w:rsidRDefault="0003128C" w:rsidP="0003128C">
      <w:pPr>
        <w:ind w:firstLineChars="100" w:firstLine="210"/>
        <w:rPr>
          <w:rFonts w:ascii="Times New Roman" w:eastAsia="SimSu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3FC95EC" wp14:editId="61563429">
            <wp:extent cx="4927600" cy="3486785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5" r="6573"/>
                    <a:stretch/>
                  </pic:blipFill>
                  <pic:spPr bwMode="auto">
                    <a:xfrm>
                      <a:off x="0" y="0"/>
                      <a:ext cx="4927600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B2770" w14:textId="77777777" w:rsidR="006C23AA" w:rsidRDefault="006C23AA" w:rsidP="006C23AA">
      <w:pPr>
        <w:rPr>
          <w:rFonts w:ascii="Times New Roman" w:eastAsia="SimSun" w:hAnsi="Times New Roman" w:cs="Times New Roman"/>
          <w:sz w:val="24"/>
        </w:rPr>
      </w:pPr>
      <w:r w:rsidRPr="006309C6">
        <w:rPr>
          <w:rFonts w:ascii="Times New Roman" w:eastAsia="SimSun" w:hAnsi="Times New Roman" w:cs="Times New Roman"/>
          <w:sz w:val="24"/>
        </w:rPr>
        <w:t>Supplementary Figure 2. The red line represents group 1 (patients in the 0 group in Figure 4), the green line represents group 2 (patients in the negative group in Figure 3) and the black line represents group 3 (other patients).</w:t>
      </w:r>
    </w:p>
    <w:p w14:paraId="60AAADA4" w14:textId="77777777" w:rsidR="000C004F" w:rsidRPr="006C23AA" w:rsidRDefault="000C004F"/>
    <w:sectPr w:rsidR="000C004F" w:rsidRPr="006C2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AA"/>
    <w:rsid w:val="0003128C"/>
    <w:rsid w:val="000C004F"/>
    <w:rsid w:val="0024164F"/>
    <w:rsid w:val="00253C43"/>
    <w:rsid w:val="00605CDB"/>
    <w:rsid w:val="006C23AA"/>
    <w:rsid w:val="00C51878"/>
    <w:rsid w:val="00D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C604"/>
  <w15:chartTrackingRefBased/>
  <w15:docId w15:val="{C05ACD45-EA82-4F2D-814A-B1DCC189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3A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sid w:val="006C23AA"/>
    <w:rPr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6C23AA"/>
    <w:rPr>
      <w:sz w:val="20"/>
      <w:szCs w:val="20"/>
    </w:rPr>
  </w:style>
  <w:style w:type="character" w:customStyle="1" w:styleId="1">
    <w:name w:val="批注文字 字符1"/>
    <w:basedOn w:val="DefaultParagraphFont"/>
    <w:uiPriority w:val="99"/>
    <w:semiHidden/>
    <w:rsid w:val="006C23AA"/>
  </w:style>
  <w:style w:type="character" w:styleId="CommentReference">
    <w:name w:val="annotation reference"/>
    <w:basedOn w:val="DefaultParagraphFont"/>
    <w:semiHidden/>
    <w:unhideWhenUsed/>
    <w:rsid w:val="006C23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Claudia Bartle</cp:lastModifiedBy>
  <cp:revision>19</cp:revision>
  <dcterms:created xsi:type="dcterms:W3CDTF">2020-09-11T02:29:00Z</dcterms:created>
  <dcterms:modified xsi:type="dcterms:W3CDTF">2020-09-11T03:23:00Z</dcterms:modified>
</cp:coreProperties>
</file>