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6FA8A" w14:textId="77777777" w:rsidR="008A2308" w:rsidRPr="003A7FDE" w:rsidRDefault="003D6C48" w:rsidP="003D6C48">
      <w:pPr>
        <w:pStyle w:val="MDPI12title"/>
        <w:tabs>
          <w:tab w:val="left" w:pos="2687"/>
        </w:tabs>
        <w:spacing w:line="480" w:lineRule="auto"/>
        <w:rPr>
          <w:rFonts w:ascii="Arial" w:hAnsi="Arial" w:cs="Arial"/>
          <w:sz w:val="24"/>
          <w:szCs w:val="24"/>
        </w:rPr>
      </w:pPr>
      <w:r w:rsidRPr="003A7FDE">
        <w:rPr>
          <w:rFonts w:ascii="Arial" w:hAnsi="Arial" w:cs="Arial"/>
          <w:sz w:val="24"/>
          <w:szCs w:val="24"/>
        </w:rPr>
        <w:t>Supplementary material</w:t>
      </w:r>
    </w:p>
    <w:p w14:paraId="6F492838" w14:textId="77777777" w:rsidR="001653FB" w:rsidRPr="003A7FDE" w:rsidRDefault="001653FB" w:rsidP="003D6C48">
      <w:pPr>
        <w:pStyle w:val="MDPI13authornames"/>
        <w:rPr>
          <w:rFonts w:ascii="Arial" w:hAnsi="Arial" w:cs="Arial"/>
          <w:snapToGrid w:val="0"/>
          <w:sz w:val="24"/>
          <w:szCs w:val="24"/>
        </w:rPr>
      </w:pPr>
      <w:r w:rsidRPr="003A7FDE">
        <w:rPr>
          <w:rFonts w:ascii="Arial" w:hAnsi="Arial" w:cs="Arial"/>
          <w:snapToGrid w:val="0"/>
          <w:sz w:val="24"/>
          <w:szCs w:val="24"/>
        </w:rPr>
        <w:t xml:space="preserve">Thermosensitive </w:t>
      </w:r>
      <w:proofErr w:type="spellStart"/>
      <w:r w:rsidRPr="003A7FDE">
        <w:rPr>
          <w:rFonts w:ascii="Arial" w:hAnsi="Arial" w:cs="Arial"/>
          <w:snapToGrid w:val="0"/>
          <w:sz w:val="24"/>
          <w:szCs w:val="24"/>
        </w:rPr>
        <w:t>Betulinic</w:t>
      </w:r>
      <w:proofErr w:type="spellEnd"/>
      <w:r w:rsidRPr="003A7FDE">
        <w:rPr>
          <w:rFonts w:ascii="Arial" w:hAnsi="Arial" w:cs="Arial"/>
          <w:snapToGrid w:val="0"/>
          <w:sz w:val="24"/>
          <w:szCs w:val="24"/>
        </w:rPr>
        <w:t xml:space="preserve"> Acid-Loaded </w:t>
      </w:r>
      <w:proofErr w:type="spellStart"/>
      <w:r w:rsidRPr="003A7FDE">
        <w:rPr>
          <w:rFonts w:ascii="Arial" w:hAnsi="Arial" w:cs="Arial"/>
          <w:snapToGrid w:val="0"/>
          <w:sz w:val="24"/>
          <w:szCs w:val="24"/>
        </w:rPr>
        <w:t>Magnetoliposomes</w:t>
      </w:r>
      <w:proofErr w:type="spellEnd"/>
      <w:r w:rsidRPr="003A7FDE">
        <w:rPr>
          <w:rFonts w:ascii="Arial" w:hAnsi="Arial" w:cs="Arial"/>
          <w:snapToGrid w:val="0"/>
          <w:sz w:val="24"/>
          <w:szCs w:val="24"/>
        </w:rPr>
        <w:t xml:space="preserve">: A Promising Potential </w:t>
      </w:r>
      <w:proofErr w:type="gramStart"/>
      <w:r w:rsidRPr="003A7FDE">
        <w:rPr>
          <w:rFonts w:ascii="Arial" w:hAnsi="Arial" w:cs="Arial"/>
          <w:snapToGrid w:val="0"/>
          <w:sz w:val="24"/>
          <w:szCs w:val="24"/>
        </w:rPr>
        <w:t>On</w:t>
      </w:r>
      <w:proofErr w:type="gramEnd"/>
      <w:r w:rsidRPr="003A7FDE">
        <w:rPr>
          <w:rFonts w:ascii="Arial" w:hAnsi="Arial" w:cs="Arial"/>
          <w:snapToGrid w:val="0"/>
          <w:sz w:val="24"/>
          <w:szCs w:val="24"/>
        </w:rPr>
        <w:t xml:space="preserve"> Highly Aggressive Human Breast Adenocarcinoma Cells Under Hyperthermic Conditions</w:t>
      </w:r>
    </w:p>
    <w:p w14:paraId="605B50F2" w14:textId="77777777" w:rsidR="00E94AFF" w:rsidRDefault="002970CC" w:rsidP="00E94AFF">
      <w:pPr>
        <w:jc w:val="center"/>
      </w:pPr>
      <w:r w:rsidRPr="002970CC">
        <w:rPr>
          <w:lang w:val="en-GB" w:eastAsia="en-GB"/>
        </w:rPr>
        <w:drawing>
          <wp:inline distT="0" distB="0" distL="0" distR="0" wp14:anchorId="705F747F" wp14:editId="19051749">
            <wp:extent cx="4048369" cy="352144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173" cy="35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4F9F" w14:textId="3D985DF9" w:rsidR="00DE4A51" w:rsidRDefault="007D696F" w:rsidP="003D6C48">
      <w:pPr>
        <w:spacing w:line="360" w:lineRule="auto"/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  <w:r w:rsidRPr="00E94AFF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 xml:space="preserve">Figure </w:t>
      </w:r>
      <w:r w:rsidR="003A7FDE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>S</w:t>
      </w:r>
      <w:r w:rsidR="00EF51BF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>1</w:t>
      </w:r>
      <w:r w:rsidR="00E94AFF" w:rsidRPr="00E94AFF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 xml:space="preserve"> </w:t>
      </w:r>
      <w:r w:rsidR="001F79C7" w:rsidRPr="001F79C7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Representative </w:t>
      </w:r>
      <w:r w:rsidR="001F79C7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i</w:t>
      </w:r>
      <w:r w:rsidRPr="008618C1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mages </w:t>
      </w:r>
      <w:r w:rsidR="001F79C7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showing</w:t>
      </w:r>
      <w:r w:rsidRPr="008618C1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the physical stability of the liposome samples </w:t>
      </w:r>
      <w:r w:rsidR="001F79C7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and </w:t>
      </w:r>
      <w:r w:rsidR="00AC7C8E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MIONPs</w:t>
      </w:r>
      <w:r w:rsidR="001F79C7" w:rsidRPr="001F79C7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*CA</w:t>
      </w:r>
      <w:r w:rsidR="001F79C7" w:rsidRPr="008618C1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</w:t>
      </w:r>
      <w:r w:rsidR="001F79C7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colloidal suspension (</w:t>
      </w:r>
      <w:r w:rsidRPr="008618C1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P1 = Lip, P2 = </w:t>
      </w:r>
      <w:proofErr w:type="spellStart"/>
      <w:r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Lip+</w:t>
      </w:r>
      <w:r w:rsidR="00AC7C8E"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MIONPs</w:t>
      </w:r>
      <w:proofErr w:type="spellEnd"/>
      <w:r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*CA, P3 = </w:t>
      </w:r>
      <w:proofErr w:type="spellStart"/>
      <w:r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Lip+BA</w:t>
      </w:r>
      <w:proofErr w:type="spellEnd"/>
      <w:r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and P4 = </w:t>
      </w:r>
      <w:proofErr w:type="spellStart"/>
      <w:r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Lip+</w:t>
      </w:r>
      <w:r w:rsidR="00AC7C8E"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MIONPs</w:t>
      </w:r>
      <w:proofErr w:type="spellEnd"/>
      <w:r w:rsidRPr="003D6C48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*CA</w:t>
      </w:r>
      <w:r w:rsidRPr="008618C1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+BA</w:t>
      </w:r>
      <w:r w:rsidR="001F79C7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)</w:t>
      </w:r>
      <w:r w:rsidRPr="008618C1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.</w:t>
      </w:r>
    </w:p>
    <w:p w14:paraId="0D245C55" w14:textId="77777777" w:rsidR="00DE4A51" w:rsidRDefault="00DE4A51" w:rsidP="007D696F">
      <w:pPr>
        <w:spacing w:line="360" w:lineRule="auto"/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</w:p>
    <w:p w14:paraId="46F6ECFD" w14:textId="77777777" w:rsidR="00DE4A51" w:rsidRDefault="008020F8" w:rsidP="007D696F">
      <w:pPr>
        <w:spacing w:line="360" w:lineRule="auto"/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  <w:r w:rsidRPr="008020F8">
        <w:rPr>
          <w:rFonts w:ascii="Palatino Linotype" w:eastAsia="Times New Roman" w:hAnsi="Palatino Linotype" w:cs="Times New Roman"/>
          <w:snapToGrid w:val="0"/>
          <w:color w:val="000000"/>
          <w:sz w:val="18"/>
          <w:szCs w:val="18"/>
          <w:lang w:val="en-GB" w:eastAsia="en-GB"/>
        </w:rPr>
        <w:drawing>
          <wp:inline distT="0" distB="0" distL="0" distR="0" wp14:anchorId="735B1BC4" wp14:editId="09451CA7">
            <wp:extent cx="5756910" cy="215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8406" w14:textId="1959E42A" w:rsidR="003C2CD3" w:rsidRPr="008618C1" w:rsidRDefault="00DE4A51" w:rsidP="003C2CD3">
      <w:pPr>
        <w:spacing w:line="360" w:lineRule="auto"/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  <w:r w:rsidRPr="008C7C0A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 xml:space="preserve">Figure </w:t>
      </w:r>
      <w:r w:rsidR="003A7FDE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>S</w:t>
      </w:r>
      <w:r w:rsidRPr="008C7C0A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>2</w:t>
      </w:r>
      <w:r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Alteration index (%) of breast adenocarcinoma - MDA-MB-231 and MCF-7 cells exposed </w:t>
      </w:r>
      <w:r w:rsidR="003C2CD3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for 24h </w:t>
      </w:r>
      <w:r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to the highest concentration (25 µM) of test samples, under hyperthermic conditions</w:t>
      </w:r>
      <w:r w:rsidR="003C2CD3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(43 </w:t>
      </w:r>
      <m:oMath>
        <m:r>
          <w:rPr>
            <w:rFonts w:ascii="Cambria Math" w:eastAsia="Times New Roman" w:hAnsi="Cambria Math" w:cs="Times New Roman"/>
            <w:noProof w:val="0"/>
            <w:snapToGrid w:val="0"/>
            <w:color w:val="000000"/>
            <w:sz w:val="18"/>
            <w:szCs w:val="18"/>
            <w:lang w:eastAsia="de-DE" w:bidi="en-US"/>
          </w:rPr>
          <m:t>℃</m:t>
        </m:r>
      </m:oMath>
      <w:r w:rsidR="003C2CD3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). One-way analysis of variance (ANOVA) analysis was applied to determine the statistical differences followed by Tukey’s multiple comparisons test (* p &lt; 0.05; ** p &lt; 0.01; *** p &lt; 0.001, **** p &lt; 0.0001). The data represent the mean values ± SD of three independent experiments (n=3).</w:t>
      </w:r>
    </w:p>
    <w:p w14:paraId="1E4B930D" w14:textId="77777777" w:rsidR="00DE4A51" w:rsidRDefault="00DE4A51" w:rsidP="007D696F">
      <w:pPr>
        <w:spacing w:line="360" w:lineRule="auto"/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</w:p>
    <w:p w14:paraId="54552E64" w14:textId="77777777" w:rsidR="00ED530F" w:rsidRDefault="00ED530F" w:rsidP="003C2CD3">
      <w:pPr>
        <w:spacing w:line="360" w:lineRule="auto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</w:p>
    <w:p w14:paraId="62E195E8" w14:textId="77777777" w:rsidR="007437CB" w:rsidRDefault="008020F8" w:rsidP="007D696F">
      <w:pPr>
        <w:spacing w:line="360" w:lineRule="auto"/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  <w:r w:rsidRPr="008020F8">
        <w:rPr>
          <w:rFonts w:ascii="Palatino Linotype" w:eastAsia="Times New Roman" w:hAnsi="Palatino Linotype" w:cs="Times New Roman"/>
          <w:snapToGrid w:val="0"/>
          <w:color w:val="000000"/>
          <w:sz w:val="18"/>
          <w:szCs w:val="18"/>
          <w:lang w:val="en-GB" w:eastAsia="en-GB"/>
        </w:rPr>
        <w:drawing>
          <wp:inline distT="0" distB="0" distL="0" distR="0" wp14:anchorId="3B68DC41" wp14:editId="40D67C2F">
            <wp:extent cx="5756910" cy="2445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CE7C" w14:textId="2892D668" w:rsidR="007437CB" w:rsidRPr="008C7C0A" w:rsidRDefault="007437CB" w:rsidP="00F52D59">
      <w:pPr>
        <w:spacing w:line="360" w:lineRule="auto"/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  <w:r w:rsidRPr="008C7C0A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 xml:space="preserve">Figure </w:t>
      </w:r>
      <w:r w:rsidR="003A7FDE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>S</w:t>
      </w:r>
      <w:r w:rsidR="00E80757" w:rsidRPr="008C7C0A">
        <w:rPr>
          <w:rFonts w:ascii="Palatino Linotype" w:eastAsia="Times New Roman" w:hAnsi="Palatino Linotype" w:cs="Times New Roman"/>
          <w:b/>
          <w:noProof w:val="0"/>
          <w:snapToGrid w:val="0"/>
          <w:color w:val="000000"/>
          <w:sz w:val="18"/>
          <w:szCs w:val="18"/>
          <w:lang w:eastAsia="de-DE" w:bidi="en-US"/>
        </w:rPr>
        <w:t>3</w:t>
      </w:r>
      <w:r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Angiogenesis inhibition (%)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</w:t>
      </w:r>
      <w:r w:rsidR="00DE4A51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induced by </w:t>
      </w:r>
      <w:r w:rsidR="00F52D59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liposomal samples (25 µM) after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48h and 96h </w:t>
      </w:r>
      <w:r w:rsidR="00F52D59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stimulation time, 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compared to hyperthermia control (miliQ-H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vertAlign w:val="subscript"/>
          <w:lang w:eastAsia="de-DE" w:bidi="en-US"/>
        </w:rPr>
        <w:t>2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O). One-way</w:t>
      </w:r>
      <w:r w:rsidR="00F52D59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analysis of variance (ANOVA) analysis was applied to determine</w:t>
      </w:r>
      <w:r w:rsidR="00F52D59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the statistical differences followed</w:t>
      </w:r>
      <w:r w:rsidR="00F52D59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</w:t>
      </w:r>
      <w:r w:rsidR="0066705D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by Tukey’s multiple comparisons test (* p &lt; 0.05; ** p &lt; 0.01; *** p &lt; 0.001, **** p &lt; 0.0001). </w:t>
      </w:r>
      <w:r w:rsidR="00E450D7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>The data represent the mean values ± SD of three independent experiments</w:t>
      </w:r>
      <w:r w:rsidR="0084285E" w:rsidRPr="008C7C0A"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  <w:t xml:space="preserve"> (n=3).</w:t>
      </w:r>
    </w:p>
    <w:p w14:paraId="683E1F6B" w14:textId="77777777" w:rsidR="00E94AFF" w:rsidRPr="008C7C0A" w:rsidRDefault="00E94AFF" w:rsidP="007D696F">
      <w:pPr>
        <w:jc w:val="center"/>
        <w:rPr>
          <w:color w:val="FF0000"/>
        </w:rPr>
      </w:pPr>
    </w:p>
    <w:p w14:paraId="32484ACE" w14:textId="77777777" w:rsidR="00E94AFF" w:rsidRPr="008C7C0A" w:rsidRDefault="00E94AFF" w:rsidP="00DE4A51"/>
    <w:p w14:paraId="1A6A7FC7" w14:textId="77777777" w:rsidR="00962265" w:rsidRDefault="00962265" w:rsidP="00D713C8">
      <w:pPr>
        <w:spacing w:line="360" w:lineRule="auto"/>
        <w:rPr>
          <w:rFonts w:ascii="Palatino Linotype" w:hAnsi="Palatino Linotype"/>
          <w:b/>
          <w:sz w:val="20"/>
        </w:rPr>
      </w:pPr>
    </w:p>
    <w:p w14:paraId="02B4BEF4" w14:textId="77777777" w:rsidR="00962265" w:rsidRDefault="00962265" w:rsidP="00F52D59">
      <w:pPr>
        <w:spacing w:line="360" w:lineRule="auto"/>
        <w:jc w:val="center"/>
        <w:rPr>
          <w:rFonts w:ascii="Palatino Linotype" w:hAnsi="Palatino Linotype"/>
          <w:b/>
          <w:sz w:val="20"/>
        </w:rPr>
      </w:pPr>
    </w:p>
    <w:p w14:paraId="6B0E38F5" w14:textId="243821A2" w:rsidR="00F52D59" w:rsidRPr="00F52D59" w:rsidRDefault="00F52D59" w:rsidP="00F52D59">
      <w:pPr>
        <w:spacing w:line="360" w:lineRule="auto"/>
        <w:jc w:val="center"/>
        <w:rPr>
          <w:rFonts w:ascii="Palatino Linotype" w:hAnsi="Palatino Linotype"/>
          <w:color w:val="000000"/>
          <w:sz w:val="20"/>
          <w:szCs w:val="20"/>
        </w:rPr>
      </w:pPr>
      <w:r w:rsidRPr="008C7C0A">
        <w:rPr>
          <w:rFonts w:ascii="Palatino Linotype" w:hAnsi="Palatino Linotype"/>
          <w:b/>
          <w:sz w:val="20"/>
        </w:rPr>
        <w:t>Table</w:t>
      </w:r>
      <w:r w:rsidRPr="008C7C0A">
        <w:rPr>
          <w:rFonts w:ascii="Palatino Linotype" w:hAnsi="Palatino Linotype"/>
          <w:b/>
          <w:sz w:val="20"/>
          <w:szCs w:val="20"/>
        </w:rPr>
        <w:t xml:space="preserve"> </w:t>
      </w:r>
      <w:r w:rsidR="003A7FDE">
        <w:rPr>
          <w:rFonts w:ascii="Palatino Linotype" w:hAnsi="Palatino Linotype"/>
          <w:b/>
          <w:sz w:val="20"/>
          <w:szCs w:val="20"/>
        </w:rPr>
        <w:t>S</w:t>
      </w:r>
      <w:r w:rsidRPr="008C7C0A">
        <w:rPr>
          <w:rFonts w:ascii="Palatino Linotype" w:hAnsi="Palatino Linotype"/>
          <w:b/>
          <w:sz w:val="20"/>
          <w:szCs w:val="20"/>
        </w:rPr>
        <w:t>1</w:t>
      </w:r>
      <w:r w:rsidRPr="008C7C0A">
        <w:rPr>
          <w:rFonts w:ascii="Palatino Linotype" w:hAnsi="Palatino Linotype"/>
          <w:sz w:val="20"/>
          <w:szCs w:val="20"/>
        </w:rPr>
        <w:t xml:space="preserve"> Elemental composition of </w:t>
      </w:r>
      <w:r w:rsidRPr="008C7C0A">
        <w:rPr>
          <w:rFonts w:ascii="Palatino Linotype" w:hAnsi="Palatino Linotype"/>
          <w:sz w:val="20"/>
        </w:rPr>
        <w:t>BA-loaded magnetoliposomes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992"/>
        <w:gridCol w:w="993"/>
        <w:gridCol w:w="932"/>
        <w:gridCol w:w="888"/>
        <w:gridCol w:w="900"/>
        <w:gridCol w:w="851"/>
      </w:tblGrid>
      <w:tr w:rsidR="00F52D59" w:rsidRPr="00F52D59" w14:paraId="05C79129" w14:textId="77777777" w:rsidTr="00E41D7F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BABF031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F52D59">
              <w:rPr>
                <w:rFonts w:ascii="Palatino Linotype" w:hAnsi="Palatino Linotype"/>
                <w:b/>
                <w:sz w:val="20"/>
              </w:rPr>
              <w:t>Element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E2A4279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F52D59">
              <w:rPr>
                <w:rFonts w:ascii="Palatino Linotype" w:hAnsi="Palatino Linotype"/>
                <w:b/>
                <w:sz w:val="20"/>
              </w:rPr>
              <w:t>Wt%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644D80D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F52D59">
              <w:rPr>
                <w:rFonts w:ascii="Palatino Linotype" w:hAnsi="Palatino Linotype"/>
                <w:b/>
                <w:sz w:val="20"/>
              </w:rPr>
              <w:t>At%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A213820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F52D59">
              <w:rPr>
                <w:rFonts w:ascii="Palatino Linotype" w:hAnsi="Palatino Linotype"/>
                <w:b/>
                <w:sz w:val="20"/>
              </w:rPr>
              <w:t>K-Ratio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14:paraId="2772EF74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F52D59">
              <w:rPr>
                <w:rFonts w:ascii="Palatino Linotype" w:hAnsi="Palatino Linotype"/>
                <w:b/>
                <w:sz w:val="20"/>
              </w:rPr>
              <w:t>Z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F590815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F52D59">
              <w:rPr>
                <w:rFonts w:ascii="Palatino Linotype" w:hAnsi="Palatino Linotype"/>
                <w:b/>
                <w:sz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59810C2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F52D59">
              <w:rPr>
                <w:rFonts w:ascii="Palatino Linotype" w:hAnsi="Palatino Linotype"/>
                <w:b/>
                <w:sz w:val="20"/>
              </w:rPr>
              <w:t>F</w:t>
            </w:r>
          </w:p>
        </w:tc>
      </w:tr>
      <w:tr w:rsidR="00F52D59" w:rsidRPr="00F52D59" w14:paraId="0DB07FD2" w14:textId="77777777" w:rsidTr="00E41D7F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</w:tcPr>
          <w:p w14:paraId="54188B97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C 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CAFF473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76.25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541BC64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82.43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14:paraId="15E50F4A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0.4136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14:paraId="0F883DE3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1.0063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8BAE32F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0.5389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4AA8B58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1.0001</w:t>
            </w:r>
          </w:p>
        </w:tc>
      </w:tr>
      <w:tr w:rsidR="00F52D59" w:rsidRPr="00F52D59" w14:paraId="36370F12" w14:textId="77777777" w:rsidTr="00E41D7F">
        <w:trPr>
          <w:jc w:val="center"/>
        </w:trPr>
        <w:tc>
          <w:tcPr>
            <w:tcW w:w="1134" w:type="dxa"/>
          </w:tcPr>
          <w:p w14:paraId="47244E64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O k</w:t>
            </w:r>
          </w:p>
        </w:tc>
        <w:tc>
          <w:tcPr>
            <w:tcW w:w="992" w:type="dxa"/>
          </w:tcPr>
          <w:p w14:paraId="56E02785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19.75</w:t>
            </w:r>
          </w:p>
        </w:tc>
        <w:tc>
          <w:tcPr>
            <w:tcW w:w="993" w:type="dxa"/>
          </w:tcPr>
          <w:p w14:paraId="7059074F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16.03</w:t>
            </w:r>
          </w:p>
        </w:tc>
        <w:tc>
          <w:tcPr>
            <w:tcW w:w="932" w:type="dxa"/>
          </w:tcPr>
          <w:p w14:paraId="227A546B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0.0249</w:t>
            </w:r>
          </w:p>
        </w:tc>
        <w:tc>
          <w:tcPr>
            <w:tcW w:w="888" w:type="dxa"/>
          </w:tcPr>
          <w:p w14:paraId="4A0543F1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0.9911</w:t>
            </w:r>
          </w:p>
        </w:tc>
        <w:tc>
          <w:tcPr>
            <w:tcW w:w="900" w:type="dxa"/>
          </w:tcPr>
          <w:p w14:paraId="470C61CC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0.1273</w:t>
            </w:r>
          </w:p>
        </w:tc>
        <w:tc>
          <w:tcPr>
            <w:tcW w:w="851" w:type="dxa"/>
          </w:tcPr>
          <w:p w14:paraId="4110A281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1.0000</w:t>
            </w:r>
          </w:p>
        </w:tc>
      </w:tr>
      <w:tr w:rsidR="00F52D59" w:rsidRPr="00F52D59" w14:paraId="7037F041" w14:textId="77777777" w:rsidTr="00E41D7F">
        <w:trPr>
          <w:jc w:val="center"/>
        </w:trPr>
        <w:tc>
          <w:tcPr>
            <w:tcW w:w="1134" w:type="dxa"/>
          </w:tcPr>
          <w:p w14:paraId="794A0811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P k</w:t>
            </w:r>
          </w:p>
        </w:tc>
        <w:tc>
          <w:tcPr>
            <w:tcW w:w="992" w:type="dxa"/>
          </w:tcPr>
          <w:p w14:paraId="28246EE9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2.63</w:t>
            </w:r>
          </w:p>
        </w:tc>
        <w:tc>
          <w:tcPr>
            <w:tcW w:w="993" w:type="dxa"/>
          </w:tcPr>
          <w:p w14:paraId="18BFA881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1.10</w:t>
            </w:r>
          </w:p>
        </w:tc>
        <w:tc>
          <w:tcPr>
            <w:tcW w:w="932" w:type="dxa"/>
          </w:tcPr>
          <w:p w14:paraId="0BB017C3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0.0219</w:t>
            </w:r>
          </w:p>
        </w:tc>
        <w:tc>
          <w:tcPr>
            <w:tcW w:w="888" w:type="dxa"/>
          </w:tcPr>
          <w:p w14:paraId="7D8C3E78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0.9233</w:t>
            </w:r>
          </w:p>
        </w:tc>
        <w:tc>
          <w:tcPr>
            <w:tcW w:w="900" w:type="dxa"/>
          </w:tcPr>
          <w:p w14:paraId="08458F5D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0.9018</w:t>
            </w:r>
          </w:p>
        </w:tc>
        <w:tc>
          <w:tcPr>
            <w:tcW w:w="851" w:type="dxa"/>
          </w:tcPr>
          <w:p w14:paraId="6F99895F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1.0007</w:t>
            </w:r>
          </w:p>
        </w:tc>
      </w:tr>
      <w:tr w:rsidR="00F52D59" w:rsidRPr="00F52D59" w14:paraId="68FC33C5" w14:textId="77777777" w:rsidTr="00E41D7F">
        <w:trPr>
          <w:jc w:val="center"/>
        </w:trPr>
        <w:tc>
          <w:tcPr>
            <w:tcW w:w="1134" w:type="dxa"/>
          </w:tcPr>
          <w:p w14:paraId="2D08D970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K k</w:t>
            </w:r>
          </w:p>
        </w:tc>
        <w:tc>
          <w:tcPr>
            <w:tcW w:w="992" w:type="dxa"/>
          </w:tcPr>
          <w:p w14:paraId="478A5FD9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1.20</w:t>
            </w:r>
          </w:p>
        </w:tc>
        <w:tc>
          <w:tcPr>
            <w:tcW w:w="993" w:type="dxa"/>
          </w:tcPr>
          <w:p w14:paraId="228BF095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0.40</w:t>
            </w:r>
          </w:p>
        </w:tc>
        <w:tc>
          <w:tcPr>
            <w:tcW w:w="932" w:type="dxa"/>
          </w:tcPr>
          <w:p w14:paraId="6D995B6B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0.0116</w:t>
            </w:r>
          </w:p>
        </w:tc>
        <w:tc>
          <w:tcPr>
            <w:tcW w:w="888" w:type="dxa"/>
          </w:tcPr>
          <w:p w14:paraId="2F55092A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0.8986</w:t>
            </w:r>
          </w:p>
        </w:tc>
        <w:tc>
          <w:tcPr>
            <w:tcW w:w="900" w:type="dxa"/>
          </w:tcPr>
          <w:p w14:paraId="6C4D5C4F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1.0688</w:t>
            </w:r>
          </w:p>
        </w:tc>
        <w:tc>
          <w:tcPr>
            <w:tcW w:w="851" w:type="dxa"/>
          </w:tcPr>
          <w:p w14:paraId="6EDB2A8C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1.0001</w:t>
            </w:r>
          </w:p>
        </w:tc>
      </w:tr>
      <w:tr w:rsidR="00F52D59" w:rsidRPr="00F52D59" w14:paraId="7773E0FF" w14:textId="77777777" w:rsidTr="00E41D7F">
        <w:trPr>
          <w:jc w:val="center"/>
        </w:trPr>
        <w:tc>
          <w:tcPr>
            <w:tcW w:w="1134" w:type="dxa"/>
          </w:tcPr>
          <w:p w14:paraId="2E5AF099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Fe k</w:t>
            </w:r>
          </w:p>
        </w:tc>
        <w:tc>
          <w:tcPr>
            <w:tcW w:w="992" w:type="dxa"/>
          </w:tcPr>
          <w:p w14:paraId="71CCE3DD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0.16</w:t>
            </w:r>
          </w:p>
        </w:tc>
        <w:tc>
          <w:tcPr>
            <w:tcW w:w="993" w:type="dxa"/>
          </w:tcPr>
          <w:p w14:paraId="5C4E7DA9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0.04</w:t>
            </w:r>
          </w:p>
        </w:tc>
        <w:tc>
          <w:tcPr>
            <w:tcW w:w="932" w:type="dxa"/>
          </w:tcPr>
          <w:p w14:paraId="4A379748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0.0015</w:t>
            </w:r>
          </w:p>
        </w:tc>
        <w:tc>
          <w:tcPr>
            <w:tcW w:w="888" w:type="dxa"/>
          </w:tcPr>
          <w:p w14:paraId="51B38BA8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0.8464</w:t>
            </w:r>
          </w:p>
        </w:tc>
        <w:tc>
          <w:tcPr>
            <w:tcW w:w="900" w:type="dxa"/>
          </w:tcPr>
          <w:p w14:paraId="70019873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1.0618</w:t>
            </w:r>
          </w:p>
        </w:tc>
        <w:tc>
          <w:tcPr>
            <w:tcW w:w="851" w:type="dxa"/>
          </w:tcPr>
          <w:p w14:paraId="08426D9D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1.0000</w:t>
            </w:r>
          </w:p>
        </w:tc>
      </w:tr>
      <w:tr w:rsidR="00F52D59" w:rsidRPr="00F52D59" w14:paraId="48ABB5EF" w14:textId="77777777" w:rsidTr="00E41D7F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</w:tcPr>
          <w:p w14:paraId="338B82FC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Total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2CCA34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100.00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55D965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  <w:r w:rsidRPr="00F52D59">
              <w:rPr>
                <w:rFonts w:ascii="Palatino Linotype" w:hAnsi="Palatino Linotype"/>
                <w:sz w:val="20"/>
              </w:rPr>
              <w:t>100.00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3F81F3D9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14:paraId="7774A4EB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0E7CA73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74E7A03" w14:textId="77777777" w:rsidR="00F52D59" w:rsidRPr="00F52D59" w:rsidRDefault="00F52D59" w:rsidP="00E41D7F">
            <w:pPr>
              <w:jc w:val="center"/>
              <w:rPr>
                <w:rFonts w:ascii="Palatino Linotype" w:hAnsi="Palatino Linotype"/>
                <w:sz w:val="20"/>
              </w:rPr>
            </w:pPr>
          </w:p>
        </w:tc>
      </w:tr>
    </w:tbl>
    <w:p w14:paraId="7E6F5A6D" w14:textId="77777777" w:rsidR="00F52D59" w:rsidRPr="00F52D59" w:rsidRDefault="00F52D59" w:rsidP="00F52D59">
      <w:pPr>
        <w:pStyle w:val="MDPI23heading3"/>
        <w:jc w:val="both"/>
        <w:rPr>
          <w:color w:val="auto"/>
          <w:sz w:val="18"/>
          <w:szCs w:val="18"/>
        </w:rPr>
      </w:pPr>
    </w:p>
    <w:p w14:paraId="10ED082E" w14:textId="77777777" w:rsidR="00E94AFF" w:rsidRPr="00E94AFF" w:rsidRDefault="00E94AFF" w:rsidP="007D696F">
      <w:pPr>
        <w:jc w:val="center"/>
        <w:rPr>
          <w:rFonts w:ascii="Palatino Linotype" w:eastAsia="Times New Roman" w:hAnsi="Palatino Linotype" w:cs="Times New Roman"/>
          <w:noProof w:val="0"/>
          <w:snapToGrid w:val="0"/>
          <w:color w:val="000000"/>
          <w:sz w:val="18"/>
          <w:szCs w:val="18"/>
          <w:lang w:eastAsia="de-DE" w:bidi="en-US"/>
        </w:rPr>
      </w:pPr>
    </w:p>
    <w:sectPr w:rsidR="00E94AFF" w:rsidRPr="00E94AFF" w:rsidSect="00440FC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E60"/>
    <w:rsid w:val="00012E7B"/>
    <w:rsid w:val="001653FB"/>
    <w:rsid w:val="001C7F56"/>
    <w:rsid w:val="001F79C7"/>
    <w:rsid w:val="002970CC"/>
    <w:rsid w:val="002C55B4"/>
    <w:rsid w:val="0031335F"/>
    <w:rsid w:val="003A4156"/>
    <w:rsid w:val="003A7FDE"/>
    <w:rsid w:val="003C0CEB"/>
    <w:rsid w:val="003C2CD3"/>
    <w:rsid w:val="003C3B7D"/>
    <w:rsid w:val="003D6C48"/>
    <w:rsid w:val="003E6C6C"/>
    <w:rsid w:val="00440FC4"/>
    <w:rsid w:val="00456E60"/>
    <w:rsid w:val="00460FDF"/>
    <w:rsid w:val="00500744"/>
    <w:rsid w:val="005564CE"/>
    <w:rsid w:val="0066705D"/>
    <w:rsid w:val="0068275B"/>
    <w:rsid w:val="006D21B6"/>
    <w:rsid w:val="007437CB"/>
    <w:rsid w:val="00786070"/>
    <w:rsid w:val="007D696F"/>
    <w:rsid w:val="008020F8"/>
    <w:rsid w:val="0084285E"/>
    <w:rsid w:val="008618C1"/>
    <w:rsid w:val="008A2308"/>
    <w:rsid w:val="008C7C0A"/>
    <w:rsid w:val="008E6EC3"/>
    <w:rsid w:val="00962265"/>
    <w:rsid w:val="00991BA5"/>
    <w:rsid w:val="00AC7C8E"/>
    <w:rsid w:val="00C25800"/>
    <w:rsid w:val="00C65464"/>
    <w:rsid w:val="00CD5F0A"/>
    <w:rsid w:val="00D713C8"/>
    <w:rsid w:val="00DE4A51"/>
    <w:rsid w:val="00E17AB2"/>
    <w:rsid w:val="00E450D7"/>
    <w:rsid w:val="00E80757"/>
    <w:rsid w:val="00E94AFF"/>
    <w:rsid w:val="00ED530F"/>
    <w:rsid w:val="00EF51BF"/>
    <w:rsid w:val="00F52D59"/>
    <w:rsid w:val="00FC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C478F"/>
  <w15:chartTrackingRefBased/>
  <w15:docId w15:val="{6BE4D5B0-0351-784B-AE96-E491166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9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96F"/>
    <w:rPr>
      <w:rFonts w:ascii="Times New Roman" w:hAnsi="Times New Roman" w:cs="Times New Roman"/>
      <w:noProof/>
      <w:sz w:val="18"/>
      <w:szCs w:val="18"/>
      <w:lang w:val="en-US"/>
    </w:rPr>
  </w:style>
  <w:style w:type="paragraph" w:customStyle="1" w:styleId="MDPI23heading3">
    <w:name w:val="MDPI_2.3_heading3"/>
    <w:basedOn w:val="Normal"/>
    <w:qFormat/>
    <w:rsid w:val="008618C1"/>
    <w:pPr>
      <w:adjustRightInd w:val="0"/>
      <w:snapToGrid w:val="0"/>
      <w:spacing w:before="240" w:after="120" w:line="260" w:lineRule="atLeast"/>
      <w:outlineLvl w:val="2"/>
    </w:pPr>
    <w:rPr>
      <w:rFonts w:ascii="Palatino Linotype" w:eastAsia="Times New Roman" w:hAnsi="Palatino Linotype" w:cs="Times New Roman"/>
      <w:noProof w:val="0"/>
      <w:snapToGrid w:val="0"/>
      <w:color w:val="000000"/>
      <w:sz w:val="20"/>
      <w:szCs w:val="22"/>
      <w:lang w:eastAsia="de-DE" w:bidi="en-US"/>
    </w:rPr>
  </w:style>
  <w:style w:type="paragraph" w:customStyle="1" w:styleId="MDPI12title">
    <w:name w:val="MDPI_1.2_title"/>
    <w:next w:val="MDPI13authornames"/>
    <w:qFormat/>
    <w:rsid w:val="008A2308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basedOn w:val="Normal"/>
    <w:next w:val="Normal"/>
    <w:qFormat/>
    <w:rsid w:val="008A2308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noProof w:val="0"/>
      <w:color w:val="000000"/>
      <w:sz w:val="20"/>
      <w:szCs w:val="22"/>
      <w:lang w:eastAsia="de-DE" w:bidi="en-US"/>
    </w:rPr>
  </w:style>
  <w:style w:type="character" w:styleId="PlaceholderText">
    <w:name w:val="Placeholder Text"/>
    <w:basedOn w:val="DefaultParagraphFont"/>
    <w:uiPriority w:val="99"/>
    <w:semiHidden/>
    <w:rsid w:val="003C2CD3"/>
    <w:rPr>
      <w:color w:val="808080"/>
    </w:rPr>
  </w:style>
  <w:style w:type="paragraph" w:customStyle="1" w:styleId="MDPI16affiliation">
    <w:name w:val="MDPI_1.6_affiliation"/>
    <w:basedOn w:val="Normal"/>
    <w:qFormat/>
    <w:rsid w:val="003D6C48"/>
    <w:pPr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 w:cs="Times New Roman"/>
      <w:noProof w:val="0"/>
      <w:color w:val="000000"/>
      <w:sz w:val="18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7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2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92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0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2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7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10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 Phimester</cp:lastModifiedBy>
  <cp:revision>2</cp:revision>
  <dcterms:created xsi:type="dcterms:W3CDTF">2020-10-06T04:56:00Z</dcterms:created>
  <dcterms:modified xsi:type="dcterms:W3CDTF">2020-10-06T04:56:00Z</dcterms:modified>
</cp:coreProperties>
</file>