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A9991" w14:textId="600F098C" w:rsidR="002A1E5D" w:rsidRPr="006768E1" w:rsidRDefault="002A1E5D" w:rsidP="002A1E5D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</w:rPr>
      </w:pPr>
      <w:r w:rsidRPr="006768E1">
        <w:rPr>
          <w:rFonts w:ascii="Arial" w:hAnsi="Arial" w:cs="Arial"/>
          <w:b/>
          <w:bCs/>
          <w:color w:val="000000" w:themeColor="text1"/>
          <w:sz w:val="22"/>
        </w:rPr>
        <w:t>Supplement</w:t>
      </w:r>
      <w:r w:rsidR="00491E3B" w:rsidRPr="006768E1">
        <w:rPr>
          <w:rFonts w:ascii="Arial" w:hAnsi="Arial" w:cs="Arial"/>
          <w:b/>
          <w:bCs/>
          <w:color w:val="000000" w:themeColor="text1"/>
          <w:sz w:val="22"/>
        </w:rPr>
        <w:t>al data</w:t>
      </w:r>
    </w:p>
    <w:p w14:paraId="6BE73B45" w14:textId="509C2E0C" w:rsidR="002A1E5D" w:rsidRPr="006768E1" w:rsidRDefault="002A1E5D" w:rsidP="002A1E5D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</w:rPr>
      </w:pPr>
    </w:p>
    <w:p w14:paraId="129F5B9A" w14:textId="7D11AD0A" w:rsidR="00116154" w:rsidRPr="006768E1" w:rsidRDefault="00116154" w:rsidP="002A1E5D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</w:rPr>
      </w:pPr>
      <w:r w:rsidRPr="006768E1">
        <w:rPr>
          <w:rFonts w:ascii="Arial" w:hAnsi="Arial" w:cs="Arial" w:hint="eastAsia"/>
          <w:b/>
          <w:bCs/>
          <w:color w:val="000000" w:themeColor="text1"/>
          <w:sz w:val="22"/>
        </w:rPr>
        <w:t>T</w:t>
      </w:r>
      <w:r w:rsidRPr="006768E1">
        <w:rPr>
          <w:rFonts w:ascii="Arial" w:hAnsi="Arial" w:cs="Arial"/>
          <w:b/>
          <w:bCs/>
          <w:color w:val="000000" w:themeColor="text1"/>
          <w:sz w:val="22"/>
        </w:rPr>
        <w:t>itle</w:t>
      </w:r>
    </w:p>
    <w:p w14:paraId="40C85A24" w14:textId="63602BEA" w:rsidR="00A20FC4" w:rsidRPr="006768E1" w:rsidRDefault="00A20FC4" w:rsidP="00A20FC4">
      <w:pPr>
        <w:spacing w:line="480" w:lineRule="auto"/>
        <w:rPr>
          <w:rFonts w:ascii="Arial" w:eastAsia="MS PGothic" w:hAnsi="Arial" w:cs="Arial"/>
          <w:bCs/>
          <w:color w:val="000000" w:themeColor="text1"/>
          <w:sz w:val="22"/>
        </w:rPr>
      </w:pPr>
      <w:r w:rsidRPr="006768E1">
        <w:rPr>
          <w:rFonts w:ascii="Arial" w:eastAsia="MS PGothic" w:hAnsi="Arial" w:cs="Arial"/>
          <w:bCs/>
          <w:color w:val="000000" w:themeColor="text1"/>
          <w:sz w:val="22"/>
        </w:rPr>
        <w:t>First-line treatment with tiotropium/</w:t>
      </w:r>
      <w:proofErr w:type="spellStart"/>
      <w:r w:rsidRPr="006768E1">
        <w:rPr>
          <w:rFonts w:ascii="Arial" w:eastAsia="MS PGothic" w:hAnsi="Arial" w:cs="Arial"/>
          <w:bCs/>
          <w:color w:val="000000" w:themeColor="text1"/>
          <w:sz w:val="22"/>
        </w:rPr>
        <w:t>olodaterol</w:t>
      </w:r>
      <w:proofErr w:type="spellEnd"/>
      <w:r w:rsidRPr="006768E1">
        <w:rPr>
          <w:rFonts w:ascii="Arial" w:eastAsia="MS PGothic" w:hAnsi="Arial" w:cs="Arial"/>
          <w:bCs/>
          <w:color w:val="000000" w:themeColor="text1"/>
          <w:sz w:val="22"/>
        </w:rPr>
        <w:t xml:space="preserve"> improves physical activity in patients with </w:t>
      </w:r>
      <w:r w:rsidR="00116154" w:rsidRPr="006768E1">
        <w:rPr>
          <w:rFonts w:ascii="Arial" w:eastAsia="MS PGothic" w:hAnsi="Arial" w:cs="Arial"/>
          <w:bCs/>
          <w:color w:val="000000" w:themeColor="text1"/>
          <w:sz w:val="22"/>
        </w:rPr>
        <w:t xml:space="preserve">treatment-naïve </w:t>
      </w:r>
      <w:r w:rsidRPr="006768E1">
        <w:rPr>
          <w:rFonts w:ascii="Arial" w:eastAsia="MS PGothic" w:hAnsi="Arial" w:cs="Arial"/>
          <w:bCs/>
          <w:color w:val="000000" w:themeColor="text1"/>
          <w:sz w:val="22"/>
        </w:rPr>
        <w:t>chronic obstructive pulmonary disease</w:t>
      </w:r>
    </w:p>
    <w:p w14:paraId="6136DD0F" w14:textId="77777777" w:rsidR="00A20FC4" w:rsidRPr="006768E1" w:rsidRDefault="00A20FC4" w:rsidP="00A20FC4">
      <w:pPr>
        <w:spacing w:line="480" w:lineRule="auto"/>
        <w:rPr>
          <w:rFonts w:ascii="Arial" w:eastAsia="MS PGothic" w:hAnsi="Arial" w:cs="Arial"/>
          <w:b/>
          <w:color w:val="000000" w:themeColor="text1"/>
          <w:sz w:val="22"/>
        </w:rPr>
      </w:pPr>
    </w:p>
    <w:p w14:paraId="5450A0C8" w14:textId="20D9B137" w:rsidR="00A20FC4" w:rsidRPr="006768E1" w:rsidRDefault="00A20FC4" w:rsidP="00116154">
      <w:pPr>
        <w:spacing w:line="480" w:lineRule="auto"/>
        <w:rPr>
          <w:rFonts w:ascii="Arial" w:hAnsi="Arial" w:cs="Arial"/>
          <w:b/>
          <w:bCs/>
          <w:color w:val="000000" w:themeColor="text1"/>
          <w:sz w:val="22"/>
        </w:rPr>
      </w:pPr>
      <w:r w:rsidRPr="006768E1">
        <w:rPr>
          <w:rFonts w:ascii="Arial" w:eastAsia="MS PGothic" w:hAnsi="Arial" w:cs="Arial"/>
          <w:color w:val="000000" w:themeColor="text1"/>
          <w:sz w:val="22"/>
        </w:rPr>
        <w:t xml:space="preserve">Koichiro Takahashi MD, PhD, Masaru Uchida MD, PhD, Go Kato MD, PhD, Ayako </w:t>
      </w:r>
      <w:proofErr w:type="spellStart"/>
      <w:r w:rsidRPr="006768E1">
        <w:rPr>
          <w:rFonts w:ascii="Arial" w:eastAsia="MS PGothic" w:hAnsi="Arial" w:cs="Arial"/>
          <w:color w:val="000000" w:themeColor="text1"/>
          <w:sz w:val="22"/>
        </w:rPr>
        <w:t>Takamori</w:t>
      </w:r>
      <w:proofErr w:type="spellEnd"/>
      <w:r w:rsidRPr="006768E1">
        <w:rPr>
          <w:rFonts w:ascii="Arial" w:eastAsia="MS PGothic" w:hAnsi="Arial" w:cs="Arial"/>
          <w:color w:val="000000" w:themeColor="text1"/>
          <w:sz w:val="22"/>
        </w:rPr>
        <w:t xml:space="preserve"> PhD, Takashi Kinoshita MD, PhD, Makoto Yoshida MD, PhD, Ryo Tajiri MMS, Keisuke Kojima MD, PhD, Hiroshi Inoue MD, Hiromi Kobayashi MD, PhD, Hironori </w:t>
      </w:r>
      <w:proofErr w:type="spellStart"/>
      <w:r w:rsidRPr="006768E1">
        <w:rPr>
          <w:rFonts w:ascii="Arial" w:eastAsia="MS PGothic" w:hAnsi="Arial" w:cs="Arial"/>
          <w:color w:val="000000" w:themeColor="text1"/>
          <w:sz w:val="22"/>
        </w:rPr>
        <w:t>Sadamatsu</w:t>
      </w:r>
      <w:proofErr w:type="spellEnd"/>
      <w:r w:rsidRPr="006768E1">
        <w:rPr>
          <w:rFonts w:ascii="Arial" w:eastAsia="MS PGothic" w:hAnsi="Arial" w:cs="Arial"/>
          <w:color w:val="000000" w:themeColor="text1"/>
          <w:sz w:val="22"/>
        </w:rPr>
        <w:t xml:space="preserve"> MD, Hiroki Tashiro MD, PhD, Masahide Tanaka MD, Shinichiro Hayashi MD, PhD, Atsushi Kawaguchi PhD, Shinya Kimura MD, PhD, Naoko </w:t>
      </w:r>
      <w:proofErr w:type="spellStart"/>
      <w:r w:rsidRPr="006768E1">
        <w:rPr>
          <w:rFonts w:ascii="Arial" w:eastAsia="MS PGothic" w:hAnsi="Arial" w:cs="Arial"/>
          <w:color w:val="000000" w:themeColor="text1"/>
          <w:sz w:val="22"/>
        </w:rPr>
        <w:t>Sueoka-Aragane</w:t>
      </w:r>
      <w:proofErr w:type="spellEnd"/>
      <w:r w:rsidRPr="006768E1">
        <w:rPr>
          <w:rFonts w:ascii="Arial" w:eastAsia="MS PGothic" w:hAnsi="Arial" w:cs="Arial"/>
          <w:color w:val="000000" w:themeColor="text1"/>
          <w:sz w:val="22"/>
        </w:rPr>
        <w:t xml:space="preserve"> MD, PhD, </w:t>
      </w:r>
      <w:proofErr w:type="spellStart"/>
      <w:r w:rsidRPr="006768E1">
        <w:rPr>
          <w:rFonts w:ascii="Arial" w:eastAsia="MS PGothic" w:hAnsi="Arial" w:cs="Arial"/>
          <w:color w:val="000000" w:themeColor="text1"/>
          <w:sz w:val="22"/>
        </w:rPr>
        <w:t>Tomotaka</w:t>
      </w:r>
      <w:proofErr w:type="spellEnd"/>
      <w:r w:rsidRPr="006768E1">
        <w:rPr>
          <w:rFonts w:ascii="Arial" w:eastAsia="MS PGothic" w:hAnsi="Arial" w:cs="Arial"/>
          <w:color w:val="000000" w:themeColor="text1"/>
          <w:sz w:val="22"/>
        </w:rPr>
        <w:t xml:space="preserve"> </w:t>
      </w:r>
      <w:proofErr w:type="spellStart"/>
      <w:r w:rsidRPr="006768E1">
        <w:rPr>
          <w:rFonts w:ascii="Arial" w:eastAsia="MS PGothic" w:hAnsi="Arial" w:cs="Arial"/>
          <w:color w:val="000000" w:themeColor="text1"/>
          <w:sz w:val="22"/>
        </w:rPr>
        <w:t>Kawayama</w:t>
      </w:r>
      <w:proofErr w:type="spellEnd"/>
      <w:r w:rsidRPr="006768E1">
        <w:rPr>
          <w:rFonts w:ascii="Arial" w:eastAsia="MS PGothic" w:hAnsi="Arial" w:cs="Arial"/>
          <w:color w:val="000000" w:themeColor="text1"/>
          <w:sz w:val="22"/>
        </w:rPr>
        <w:t xml:space="preserve"> MD, PhD: Saga-naïve COPD Physical Activity Evaluation (SCOPE) Study Investigator Group</w:t>
      </w:r>
    </w:p>
    <w:p w14:paraId="6F8A41E2" w14:textId="77777777" w:rsidR="0077144F" w:rsidRPr="006768E1" w:rsidRDefault="0077144F" w:rsidP="006D6757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</w:rPr>
      </w:pPr>
    </w:p>
    <w:p w14:paraId="5A711F7F" w14:textId="1992092C" w:rsidR="00A8792B" w:rsidRPr="006768E1" w:rsidRDefault="00A8792B" w:rsidP="006D6757">
      <w:pPr>
        <w:spacing w:line="360" w:lineRule="auto"/>
        <w:rPr>
          <w:rFonts w:ascii="Arial" w:hAnsi="Arial" w:cs="Arial"/>
          <w:color w:val="000000" w:themeColor="text1"/>
          <w:sz w:val="22"/>
        </w:rPr>
      </w:pPr>
    </w:p>
    <w:p w14:paraId="127698A1" w14:textId="6ACA2271" w:rsidR="00196B34" w:rsidRPr="006768E1" w:rsidRDefault="00196B34" w:rsidP="006D6757">
      <w:pPr>
        <w:spacing w:line="360" w:lineRule="auto"/>
        <w:rPr>
          <w:rFonts w:ascii="Arial" w:hAnsi="Arial" w:cs="Arial"/>
          <w:color w:val="000000" w:themeColor="text1"/>
          <w:sz w:val="22"/>
        </w:rPr>
      </w:pPr>
    </w:p>
    <w:p w14:paraId="67982D9A" w14:textId="77777777" w:rsidR="00196B34" w:rsidRPr="006768E1" w:rsidRDefault="00196B34" w:rsidP="006D6757">
      <w:pPr>
        <w:spacing w:line="360" w:lineRule="auto"/>
        <w:rPr>
          <w:rFonts w:ascii="Arial" w:hAnsi="Arial" w:cs="Arial"/>
          <w:color w:val="000000" w:themeColor="text1"/>
          <w:sz w:val="22"/>
        </w:rPr>
      </w:pPr>
    </w:p>
    <w:p w14:paraId="207A1938" w14:textId="77777777" w:rsidR="00116154" w:rsidRPr="006768E1" w:rsidRDefault="00116154">
      <w:pPr>
        <w:widowControl/>
        <w:jc w:val="left"/>
        <w:rPr>
          <w:rFonts w:ascii="Arial" w:hAnsi="Arial" w:cs="Arial"/>
          <w:color w:val="000000" w:themeColor="text1"/>
          <w:sz w:val="22"/>
        </w:rPr>
      </w:pPr>
      <w:r w:rsidRPr="006768E1">
        <w:rPr>
          <w:rFonts w:ascii="Arial" w:hAnsi="Arial" w:cs="Arial"/>
          <w:color w:val="000000" w:themeColor="text1"/>
          <w:sz w:val="22"/>
        </w:rPr>
        <w:br w:type="page"/>
      </w:r>
    </w:p>
    <w:p w14:paraId="182CC072" w14:textId="1D000558" w:rsidR="00196B34" w:rsidRPr="006768E1" w:rsidRDefault="00196B34" w:rsidP="00196B34">
      <w:pPr>
        <w:spacing w:line="360" w:lineRule="auto"/>
        <w:rPr>
          <w:rFonts w:ascii="Arial" w:hAnsi="Arial" w:cs="Arial"/>
          <w:color w:val="000000" w:themeColor="text1"/>
          <w:sz w:val="22"/>
        </w:rPr>
      </w:pPr>
      <w:r w:rsidRPr="006768E1">
        <w:rPr>
          <w:rFonts w:ascii="Arial" w:hAnsi="Arial" w:cs="Arial"/>
          <w:color w:val="000000" w:themeColor="text1"/>
          <w:sz w:val="22"/>
        </w:rPr>
        <w:lastRenderedPageBreak/>
        <w:t xml:space="preserve">Table S1. The list of Investigator, site, and IRB </w:t>
      </w:r>
    </w:p>
    <w:p w14:paraId="07DF8C6A" w14:textId="77777777" w:rsidR="00196B34" w:rsidRPr="006768E1" w:rsidRDefault="00196B34" w:rsidP="00196B34">
      <w:pPr>
        <w:spacing w:line="360" w:lineRule="auto"/>
        <w:rPr>
          <w:rFonts w:ascii="Arial" w:hAnsi="Arial" w:cs="Arial"/>
          <w:color w:val="000000" w:themeColor="text1"/>
          <w:sz w:val="22"/>
        </w:rPr>
      </w:pPr>
    </w:p>
    <w:tbl>
      <w:tblPr>
        <w:tblW w:w="9356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3119"/>
        <w:gridCol w:w="2126"/>
        <w:gridCol w:w="1843"/>
      </w:tblGrid>
      <w:tr w:rsidR="006768E1" w:rsidRPr="006768E1" w14:paraId="099368B0" w14:textId="77777777" w:rsidTr="00A33C57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7E6C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Investigator name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0CCC0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Site name (location)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C195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 xml:space="preserve">IRB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572F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Approval date</w:t>
            </w:r>
          </w:p>
        </w:tc>
      </w:tr>
      <w:tr w:rsidR="006768E1" w:rsidRPr="006768E1" w14:paraId="2A569D88" w14:textId="77777777" w:rsidTr="00A33C57">
        <w:trPr>
          <w:trHeight w:val="375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3EDC5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5837F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(location)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26C64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(location)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4F639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(number)</w:t>
            </w:r>
          </w:p>
        </w:tc>
      </w:tr>
      <w:tr w:rsidR="006768E1" w:rsidRPr="006768E1" w14:paraId="585FC4E8" w14:textId="77777777" w:rsidTr="00A33C57">
        <w:trPr>
          <w:trHeight w:val="37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466B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Koichiro Takahashi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52CF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Saga University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A42A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Same as on the left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DEB7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6, March, 2017</w:t>
            </w:r>
          </w:p>
        </w:tc>
      </w:tr>
      <w:tr w:rsidR="006768E1" w:rsidRPr="006768E1" w14:paraId="3D9AE606" w14:textId="77777777" w:rsidTr="00A33C57">
        <w:trPr>
          <w:trHeight w:val="37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1DB7C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E10C4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(Saga, Japan)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1E9F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1976D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(2016-12-01)</w:t>
            </w:r>
          </w:p>
        </w:tc>
      </w:tr>
      <w:tr w:rsidR="006768E1" w:rsidRPr="006768E1" w14:paraId="45D2440D" w14:textId="77777777" w:rsidTr="00A33C57">
        <w:trPr>
          <w:trHeight w:val="37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3B35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Masaru Uchida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767F3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Saga Central Hospital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BAD51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Same as on the left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4E6AD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 xml:space="preserve">14, </w:t>
            </w:r>
            <w:proofErr w:type="gramStart"/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April,</w:t>
            </w:r>
            <w:proofErr w:type="gramEnd"/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 xml:space="preserve"> 2017 *</w:t>
            </w:r>
          </w:p>
        </w:tc>
      </w:tr>
      <w:tr w:rsidR="006768E1" w:rsidRPr="006768E1" w14:paraId="6E3D5673" w14:textId="77777777" w:rsidTr="00A33C57">
        <w:trPr>
          <w:trHeight w:val="37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99252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2755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(Saga, Japan)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D606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7E9E" w14:textId="77777777" w:rsidR="00196B34" w:rsidRPr="006768E1" w:rsidRDefault="00196B34" w:rsidP="00A33C57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768E1" w:rsidRPr="006768E1" w14:paraId="470126A7" w14:textId="77777777" w:rsidTr="00A33C57">
        <w:trPr>
          <w:trHeight w:val="37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7F13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Go Kato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9DB22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Saga Prefectural Medical Center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A262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Same as on the left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A6D54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28, March, 2017</w:t>
            </w:r>
          </w:p>
        </w:tc>
      </w:tr>
      <w:tr w:rsidR="006768E1" w:rsidRPr="006768E1" w14:paraId="747C5167" w14:textId="77777777" w:rsidTr="00A33C57">
        <w:trPr>
          <w:trHeight w:val="37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A751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38F51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(Saga, Japan)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D570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220AD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(17-04-01-05)</w:t>
            </w:r>
          </w:p>
        </w:tc>
      </w:tr>
      <w:tr w:rsidR="006768E1" w:rsidRPr="006768E1" w14:paraId="40B6ACEB" w14:textId="77777777" w:rsidTr="00A33C57">
        <w:trPr>
          <w:trHeight w:val="37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BE456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Makoto Yoshida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3A443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Fukuoka Hospital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18332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Same as on the left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DB5E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27, April, 2017</w:t>
            </w:r>
          </w:p>
        </w:tc>
      </w:tr>
      <w:tr w:rsidR="006768E1" w:rsidRPr="006768E1" w14:paraId="356586E0" w14:textId="77777777" w:rsidTr="00A33C57">
        <w:trPr>
          <w:trHeight w:val="37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924E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D997F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(Fukuoka, Japan)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6AD7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7B71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(F29-1)</w:t>
            </w:r>
          </w:p>
        </w:tc>
      </w:tr>
      <w:tr w:rsidR="006768E1" w:rsidRPr="006768E1" w14:paraId="4133A85F" w14:textId="77777777" w:rsidTr="00A33C57">
        <w:trPr>
          <w:trHeight w:val="37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41DA3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Tomotaka</w:t>
            </w:r>
            <w:proofErr w:type="spellEnd"/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spellStart"/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Kawayama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1BD06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Kurume University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5B9B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Same as on the left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02DA4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15, May, 2017</w:t>
            </w:r>
          </w:p>
        </w:tc>
      </w:tr>
      <w:tr w:rsidR="006768E1" w:rsidRPr="006768E1" w14:paraId="5F8C6CBB" w14:textId="77777777" w:rsidTr="00A33C57">
        <w:trPr>
          <w:trHeight w:val="37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F1C66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177BB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(Fukuoka, Japan)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B1261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CFE16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(17029)</w:t>
            </w:r>
          </w:p>
        </w:tc>
      </w:tr>
      <w:tr w:rsidR="006768E1" w:rsidRPr="006768E1" w14:paraId="361D5826" w14:textId="77777777" w:rsidTr="00A33C57">
        <w:trPr>
          <w:trHeight w:val="37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41A80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Shinichiro Hayashi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96ECD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Kouhoukai</w:t>
            </w:r>
            <w:proofErr w:type="spellEnd"/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 xml:space="preserve"> Takagi Hospital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8131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Same as on the left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52305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7, August, 2017</w:t>
            </w:r>
          </w:p>
        </w:tc>
      </w:tr>
      <w:tr w:rsidR="006768E1" w:rsidRPr="006768E1" w14:paraId="3FDD31A4" w14:textId="77777777" w:rsidTr="00A33C57">
        <w:trPr>
          <w:trHeight w:val="37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B81C6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E45DA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(Fukuoka, Japan)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A6328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AE0C1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(255)</w:t>
            </w:r>
          </w:p>
        </w:tc>
      </w:tr>
      <w:tr w:rsidR="006768E1" w:rsidRPr="006768E1" w14:paraId="43200D4D" w14:textId="77777777" w:rsidTr="00A33C57">
        <w:trPr>
          <w:trHeight w:val="37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63F24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Hiroshi Inoue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10466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Karatsu</w:t>
            </w:r>
            <w:proofErr w:type="spellEnd"/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 xml:space="preserve"> Red Cross Hospital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7900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Same as on the left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8B476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12, January, 2018</w:t>
            </w:r>
          </w:p>
        </w:tc>
      </w:tr>
      <w:tr w:rsidR="006768E1" w:rsidRPr="006768E1" w14:paraId="5188B4DF" w14:textId="77777777" w:rsidTr="00A33C57">
        <w:trPr>
          <w:trHeight w:val="37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B152B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7F66E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(Saga, Japan)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8B57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56FA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(9-1)</w:t>
            </w:r>
          </w:p>
        </w:tc>
      </w:tr>
      <w:tr w:rsidR="006768E1" w:rsidRPr="006768E1" w14:paraId="43C4451E" w14:textId="77777777" w:rsidTr="00A33C57">
        <w:trPr>
          <w:trHeight w:val="37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FB930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Keisuke Kojima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28AD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Imari</w:t>
            </w:r>
            <w:proofErr w:type="spellEnd"/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spellStart"/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Arita</w:t>
            </w:r>
            <w:proofErr w:type="spellEnd"/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spellStart"/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Kyouritsu</w:t>
            </w:r>
            <w:proofErr w:type="spellEnd"/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3E34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Same as on the left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0240F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14, March, 2018</w:t>
            </w:r>
          </w:p>
        </w:tc>
      </w:tr>
      <w:tr w:rsidR="006768E1" w:rsidRPr="006768E1" w14:paraId="2C8F56C3" w14:textId="77777777" w:rsidTr="00A33C57">
        <w:trPr>
          <w:trHeight w:val="37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586D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4736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(Saga, Japan)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D8E86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9573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(29-20)</w:t>
            </w:r>
          </w:p>
        </w:tc>
      </w:tr>
      <w:tr w:rsidR="006768E1" w:rsidRPr="006768E1" w14:paraId="5ACFAC24" w14:textId="77777777" w:rsidTr="00A33C57">
        <w:trPr>
          <w:trHeight w:val="37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04598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Hiromi Kobayashi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8806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East Saga Hospital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123AD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Same as on the left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60FE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30, March, 2018</w:t>
            </w:r>
          </w:p>
        </w:tc>
      </w:tr>
      <w:tr w:rsidR="006768E1" w:rsidRPr="006768E1" w14:paraId="135B3D2B" w14:textId="77777777" w:rsidTr="00A33C57">
        <w:trPr>
          <w:trHeight w:val="375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BBFEF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F3261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(Saga, Japan)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C8523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C57A6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(29-22)</w:t>
            </w:r>
          </w:p>
        </w:tc>
      </w:tr>
      <w:tr w:rsidR="006768E1" w:rsidRPr="006768E1" w14:paraId="5B958C70" w14:textId="77777777" w:rsidTr="00A33C57">
        <w:trPr>
          <w:trHeight w:val="375"/>
        </w:trPr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66780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Note: * No reference number on the approval letter from IRB.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5AE9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E6EAB" w:rsidRPr="006768E1" w14:paraId="4B9C6D0C" w14:textId="77777777" w:rsidTr="00A33C57">
        <w:trPr>
          <w:trHeight w:val="37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97ED4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Abbreviation: IRB; institutional review board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5233" w14:textId="77777777" w:rsidR="00196B34" w:rsidRPr="006768E1" w:rsidRDefault="00196B34" w:rsidP="00A33C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5376F" w14:textId="77777777" w:rsidR="00196B34" w:rsidRPr="006768E1" w:rsidRDefault="00196B34" w:rsidP="00A33C57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4B104963" w14:textId="77777777" w:rsidR="00196B34" w:rsidRPr="006768E1" w:rsidRDefault="00196B34" w:rsidP="00196B34">
      <w:pPr>
        <w:rPr>
          <w:rFonts w:ascii="Arial" w:hAnsi="Arial" w:cs="Arial"/>
          <w:color w:val="000000" w:themeColor="text1"/>
          <w:sz w:val="22"/>
        </w:rPr>
      </w:pPr>
    </w:p>
    <w:p w14:paraId="4ADC479C" w14:textId="77777777" w:rsidR="00196B34" w:rsidRPr="006768E1" w:rsidRDefault="00196B34" w:rsidP="00196B34">
      <w:pPr>
        <w:rPr>
          <w:rFonts w:ascii="Arial" w:hAnsi="Arial" w:cs="Arial"/>
          <w:color w:val="000000" w:themeColor="text1"/>
          <w:sz w:val="22"/>
        </w:rPr>
      </w:pPr>
    </w:p>
    <w:p w14:paraId="7FB4140B" w14:textId="77777777" w:rsidR="00196B34" w:rsidRPr="006768E1" w:rsidRDefault="00196B34" w:rsidP="00196B34">
      <w:pPr>
        <w:rPr>
          <w:rFonts w:ascii="Arial" w:hAnsi="Arial" w:cs="Arial"/>
          <w:color w:val="000000" w:themeColor="text1"/>
          <w:sz w:val="22"/>
        </w:rPr>
      </w:pPr>
    </w:p>
    <w:p w14:paraId="13812C00" w14:textId="52837502" w:rsidR="00196B34" w:rsidRPr="006768E1" w:rsidRDefault="00196B34">
      <w:pPr>
        <w:widowControl/>
        <w:jc w:val="left"/>
        <w:rPr>
          <w:rFonts w:ascii="Arial" w:hAnsi="Arial" w:cs="Arial"/>
          <w:color w:val="000000" w:themeColor="text1"/>
          <w:sz w:val="22"/>
        </w:rPr>
      </w:pPr>
    </w:p>
    <w:p w14:paraId="0257DF93" w14:textId="77777777" w:rsidR="00196B34" w:rsidRPr="006768E1" w:rsidRDefault="00196B34">
      <w:pPr>
        <w:widowControl/>
        <w:jc w:val="left"/>
        <w:rPr>
          <w:rFonts w:ascii="Arial" w:hAnsi="Arial" w:cs="Arial"/>
          <w:color w:val="000000" w:themeColor="text1"/>
          <w:sz w:val="22"/>
        </w:rPr>
      </w:pPr>
      <w:r w:rsidRPr="006768E1">
        <w:rPr>
          <w:rFonts w:ascii="Arial" w:hAnsi="Arial" w:cs="Arial"/>
          <w:color w:val="000000" w:themeColor="text1"/>
          <w:sz w:val="22"/>
        </w:rPr>
        <w:br w:type="page"/>
      </w:r>
    </w:p>
    <w:p w14:paraId="537453BC" w14:textId="02C6091A" w:rsidR="006D6757" w:rsidRPr="006768E1" w:rsidRDefault="006D6757" w:rsidP="006D6757">
      <w:pPr>
        <w:spacing w:line="360" w:lineRule="auto"/>
        <w:rPr>
          <w:rFonts w:ascii="Arial" w:hAnsi="Arial" w:cs="Arial"/>
          <w:color w:val="000000" w:themeColor="text1"/>
          <w:sz w:val="22"/>
        </w:rPr>
      </w:pPr>
      <w:r w:rsidRPr="006768E1">
        <w:rPr>
          <w:rFonts w:ascii="Arial" w:hAnsi="Arial" w:cs="Arial"/>
          <w:color w:val="000000" w:themeColor="text1"/>
          <w:sz w:val="22"/>
        </w:rPr>
        <w:lastRenderedPageBreak/>
        <w:t xml:space="preserve">Table </w:t>
      </w:r>
      <w:r w:rsidR="00F10C66" w:rsidRPr="006768E1">
        <w:rPr>
          <w:rFonts w:ascii="Arial" w:hAnsi="Arial" w:cs="Arial"/>
          <w:color w:val="000000" w:themeColor="text1"/>
          <w:sz w:val="22"/>
        </w:rPr>
        <w:t>S</w:t>
      </w:r>
      <w:r w:rsidR="00196B34" w:rsidRPr="006768E1">
        <w:rPr>
          <w:rFonts w:ascii="Arial" w:hAnsi="Arial" w:cs="Arial"/>
          <w:color w:val="000000" w:themeColor="text1"/>
          <w:sz w:val="22"/>
        </w:rPr>
        <w:t>2</w:t>
      </w:r>
      <w:r w:rsidRPr="006768E1">
        <w:rPr>
          <w:rFonts w:ascii="Arial" w:hAnsi="Arial" w:cs="Arial"/>
          <w:color w:val="000000" w:themeColor="text1"/>
          <w:sz w:val="22"/>
        </w:rPr>
        <w:t>. Six-minute walk test</w:t>
      </w:r>
    </w:p>
    <w:p w14:paraId="68591CC4" w14:textId="77777777" w:rsidR="00EB6607" w:rsidRPr="006768E1" w:rsidRDefault="00EB6607" w:rsidP="006D6757">
      <w:pPr>
        <w:spacing w:line="360" w:lineRule="auto"/>
        <w:jc w:val="right"/>
        <w:rPr>
          <w:rFonts w:ascii="Arial" w:hAnsi="Arial" w:cs="Arial"/>
          <w:color w:val="000000" w:themeColor="text1"/>
          <w:sz w:val="22"/>
        </w:rPr>
      </w:pP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78"/>
        <w:gridCol w:w="1559"/>
        <w:gridCol w:w="1560"/>
        <w:gridCol w:w="1275"/>
      </w:tblGrid>
      <w:tr w:rsidR="006768E1" w:rsidRPr="006768E1" w14:paraId="591ED606" w14:textId="77777777" w:rsidTr="003734F3">
        <w:trPr>
          <w:trHeight w:val="435"/>
        </w:trPr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188A2" w14:textId="77777777" w:rsidR="006D6757" w:rsidRPr="006768E1" w:rsidRDefault="006D6757" w:rsidP="00842036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38B3D" w14:textId="77777777" w:rsidR="006D6757" w:rsidRPr="006768E1" w:rsidRDefault="006D6757" w:rsidP="00842036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Tio/</w:t>
            </w:r>
            <w:proofErr w:type="spellStart"/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Olo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17B93" w14:textId="77777777" w:rsidR="006D6757" w:rsidRPr="006768E1" w:rsidRDefault="006D6757" w:rsidP="00842036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Tio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E9D22" w14:textId="49FF0D1A" w:rsidR="006D6757" w:rsidRPr="006768E1" w:rsidRDefault="00DF49D4" w:rsidP="00842036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p</w:t>
            </w:r>
            <w:r w:rsidR="006D6757"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-value</w:t>
            </w:r>
          </w:p>
        </w:tc>
      </w:tr>
      <w:tr w:rsidR="006768E1" w:rsidRPr="006768E1" w14:paraId="05AEDBC7" w14:textId="77777777" w:rsidTr="003734F3">
        <w:trPr>
          <w:trHeight w:val="4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5989F" w14:textId="77777777" w:rsidR="006D6757" w:rsidRPr="006768E1" w:rsidRDefault="006D6757" w:rsidP="00842036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 xml:space="preserve">At entry (0 weeks)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C993" w14:textId="77777777" w:rsidR="006D6757" w:rsidRPr="006768E1" w:rsidRDefault="006D6757" w:rsidP="00842036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E06FC" w14:textId="77777777" w:rsidR="006D6757" w:rsidRPr="006768E1" w:rsidRDefault="006D6757" w:rsidP="00842036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D1AF" w14:textId="77777777" w:rsidR="006D6757" w:rsidRPr="006768E1" w:rsidRDefault="006D6757" w:rsidP="00842036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768E1" w:rsidRPr="006768E1" w14:paraId="0B6361E4" w14:textId="77777777" w:rsidTr="003734F3">
        <w:trPr>
          <w:trHeight w:val="4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36C" w14:textId="77777777" w:rsidR="006D6757" w:rsidRPr="006768E1" w:rsidRDefault="006D6757" w:rsidP="00842036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 xml:space="preserve">  6MWD (m)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DD91" w14:textId="77777777" w:rsidR="006D6757" w:rsidRPr="006768E1" w:rsidRDefault="006D6757" w:rsidP="00842036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470.3 (77.6)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DA85" w14:textId="77777777" w:rsidR="006D6757" w:rsidRPr="006768E1" w:rsidRDefault="006D6757" w:rsidP="00842036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438.8 (88.1)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E7CD" w14:textId="77777777" w:rsidR="006D6757" w:rsidRPr="006768E1" w:rsidRDefault="006D6757" w:rsidP="00842036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0.11</w:t>
            </w:r>
          </w:p>
        </w:tc>
      </w:tr>
      <w:tr w:rsidR="006768E1" w:rsidRPr="006768E1" w14:paraId="60F07A33" w14:textId="77777777" w:rsidTr="003734F3">
        <w:trPr>
          <w:trHeight w:val="4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2710" w14:textId="77777777" w:rsidR="006D6757" w:rsidRPr="006768E1" w:rsidRDefault="006D6757" w:rsidP="006D67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 xml:space="preserve">  Borg scale (dyspnea), median (25–75% quantile)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A9CB5" w14:textId="77777777" w:rsidR="006D6757" w:rsidRPr="006768E1" w:rsidRDefault="006D6757" w:rsidP="006D6757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3 (0.5–4)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8407" w14:textId="77777777" w:rsidR="006D6757" w:rsidRPr="006768E1" w:rsidRDefault="006D6757" w:rsidP="006D6757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2 (0–4)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C3D4" w14:textId="77777777" w:rsidR="006D6757" w:rsidRPr="006768E1" w:rsidRDefault="006D6757" w:rsidP="00842036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0.57</w:t>
            </w:r>
          </w:p>
        </w:tc>
      </w:tr>
      <w:tr w:rsidR="006768E1" w:rsidRPr="006768E1" w14:paraId="4F8B0D53" w14:textId="77777777" w:rsidTr="003734F3">
        <w:trPr>
          <w:trHeight w:val="4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CDCBC" w14:textId="77777777" w:rsidR="006D6757" w:rsidRPr="006768E1" w:rsidRDefault="006D6757" w:rsidP="006D67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 xml:space="preserve">  Borg scale (fatigue), median (25–75% quantile)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CC27C" w14:textId="77777777" w:rsidR="006D6757" w:rsidRPr="006768E1" w:rsidRDefault="006D6757" w:rsidP="006D6757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1 (0–3)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DCCA3" w14:textId="77777777" w:rsidR="006D6757" w:rsidRPr="006768E1" w:rsidRDefault="006D6757" w:rsidP="006D6757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0.5 (0–3.5)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6EE5" w14:textId="77777777" w:rsidR="006D6757" w:rsidRPr="006768E1" w:rsidRDefault="006D6757" w:rsidP="00842036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0.70</w:t>
            </w:r>
          </w:p>
        </w:tc>
      </w:tr>
      <w:tr w:rsidR="006768E1" w:rsidRPr="006768E1" w14:paraId="47CCAD04" w14:textId="77777777" w:rsidTr="003734F3">
        <w:trPr>
          <w:trHeight w:val="4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B0398" w14:textId="77777777" w:rsidR="006D6757" w:rsidRPr="006768E1" w:rsidRDefault="006D6757" w:rsidP="00842036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After treatment (12 weeks)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59AEA" w14:textId="77777777" w:rsidR="006D6757" w:rsidRPr="006768E1" w:rsidRDefault="006D6757" w:rsidP="00842036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4BB6E" w14:textId="77777777" w:rsidR="006D6757" w:rsidRPr="006768E1" w:rsidRDefault="006D6757" w:rsidP="00842036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73C2F" w14:textId="77777777" w:rsidR="006D6757" w:rsidRPr="006768E1" w:rsidRDefault="006D6757" w:rsidP="00842036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768E1" w:rsidRPr="006768E1" w14:paraId="1C0DFE81" w14:textId="77777777" w:rsidTr="003734F3">
        <w:trPr>
          <w:trHeight w:val="4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5968" w14:textId="77777777" w:rsidR="006D6757" w:rsidRPr="006768E1" w:rsidRDefault="006D6757" w:rsidP="00842036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 xml:space="preserve">  6MWD (m)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B448" w14:textId="77777777" w:rsidR="006D6757" w:rsidRPr="006768E1" w:rsidRDefault="006D6757" w:rsidP="00842036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475.7 (68.7)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35A0" w14:textId="77777777" w:rsidR="006D6757" w:rsidRPr="006768E1" w:rsidRDefault="006D6757" w:rsidP="00842036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445.7 (80.6)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3248D" w14:textId="77777777" w:rsidR="006D6757" w:rsidRPr="006768E1" w:rsidRDefault="006D6757" w:rsidP="00842036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0.10</w:t>
            </w:r>
          </w:p>
        </w:tc>
      </w:tr>
      <w:tr w:rsidR="006768E1" w:rsidRPr="006768E1" w14:paraId="7607E47E" w14:textId="77777777" w:rsidTr="003734F3">
        <w:trPr>
          <w:trHeight w:val="4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96710" w14:textId="77777777" w:rsidR="006D6757" w:rsidRPr="006768E1" w:rsidRDefault="006D6757" w:rsidP="006D67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 xml:space="preserve">  Borg scale (dyspnea), median (25–75% quantile)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C69A" w14:textId="77777777" w:rsidR="006D6757" w:rsidRPr="006768E1" w:rsidRDefault="006D6757" w:rsidP="006D6757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3 (1–4)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6CA1A" w14:textId="77777777" w:rsidR="006D6757" w:rsidRPr="006768E1" w:rsidRDefault="006D6757" w:rsidP="006D6757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2 (0.5–3)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41E36" w14:textId="77777777" w:rsidR="006D6757" w:rsidRPr="006768E1" w:rsidRDefault="006D6757" w:rsidP="00842036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0.13</w:t>
            </w:r>
          </w:p>
        </w:tc>
      </w:tr>
      <w:tr w:rsidR="006768E1" w:rsidRPr="006768E1" w14:paraId="40DFD20B" w14:textId="77777777" w:rsidTr="003734F3">
        <w:trPr>
          <w:trHeight w:val="435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59EAD" w14:textId="77777777" w:rsidR="006D6757" w:rsidRPr="006768E1" w:rsidRDefault="006D6757" w:rsidP="006D6757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 xml:space="preserve">  Borg scale (fatigue), median (25–75% quantile)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511B6" w14:textId="77777777" w:rsidR="006D6757" w:rsidRPr="006768E1" w:rsidRDefault="006D6757" w:rsidP="006D6757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1.5 (0–3)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55C2B" w14:textId="77777777" w:rsidR="006D6757" w:rsidRPr="006768E1" w:rsidRDefault="006D6757" w:rsidP="006D6757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0.5 (0–3)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DAA6C" w14:textId="77777777" w:rsidR="006D6757" w:rsidRPr="006768E1" w:rsidRDefault="006D6757" w:rsidP="00842036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0.13</w:t>
            </w:r>
          </w:p>
        </w:tc>
      </w:tr>
      <w:tr w:rsidR="006768E1" w:rsidRPr="006768E1" w14:paraId="70397D9F" w14:textId="77777777" w:rsidTr="003734F3">
        <w:trPr>
          <w:trHeight w:val="615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9BD8B" w14:textId="58A671B1" w:rsidR="006D6757" w:rsidRPr="006768E1" w:rsidRDefault="006D6757" w:rsidP="00842036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 xml:space="preserve">    Abbreviations: Tio/</w:t>
            </w:r>
            <w:proofErr w:type="spellStart"/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Olo</w:t>
            </w:r>
            <w:proofErr w:type="spellEnd"/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; tiotropium/</w:t>
            </w:r>
            <w:proofErr w:type="spellStart"/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olodaterol</w:t>
            </w:r>
            <w:proofErr w:type="spellEnd"/>
            <w:r w:rsidR="00DF49D4"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,</w:t>
            </w: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 xml:space="preserve"> Tio; tiotropium, 6MWD; 6-minute walk distance</w:t>
            </w:r>
          </w:p>
        </w:tc>
      </w:tr>
    </w:tbl>
    <w:p w14:paraId="68952DD4" w14:textId="04646593" w:rsidR="006D6757" w:rsidRPr="006768E1" w:rsidRDefault="006D6757" w:rsidP="006D6757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768E1">
        <w:rPr>
          <w:rFonts w:ascii="Arial" w:hAnsi="Arial" w:cs="Arial"/>
          <w:color w:val="000000" w:themeColor="text1"/>
          <w:sz w:val="20"/>
          <w:szCs w:val="20"/>
        </w:rPr>
        <w:t>Note: p-value</w:t>
      </w:r>
      <w:r w:rsidR="00DF49D4" w:rsidRPr="006768E1">
        <w:rPr>
          <w:rFonts w:ascii="Arial" w:hAnsi="Arial" w:cs="Arial"/>
          <w:color w:val="000000" w:themeColor="text1"/>
          <w:sz w:val="20"/>
          <w:szCs w:val="20"/>
        </w:rPr>
        <w:t>s</w:t>
      </w:r>
      <w:r w:rsidRPr="006768E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F49D4" w:rsidRPr="006768E1">
        <w:rPr>
          <w:rFonts w:ascii="Arial" w:hAnsi="Arial" w:cs="Arial"/>
          <w:color w:val="000000" w:themeColor="text1"/>
          <w:sz w:val="20"/>
          <w:szCs w:val="20"/>
        </w:rPr>
        <w:t xml:space="preserve">were </w:t>
      </w:r>
      <w:r w:rsidRPr="006768E1">
        <w:rPr>
          <w:rFonts w:ascii="Arial" w:hAnsi="Arial" w:cs="Arial"/>
          <w:color w:val="000000" w:themeColor="text1"/>
          <w:sz w:val="20"/>
          <w:szCs w:val="20"/>
        </w:rPr>
        <w:t xml:space="preserve">estimated </w:t>
      </w:r>
      <w:r w:rsidR="00DF49D4" w:rsidRPr="006768E1">
        <w:rPr>
          <w:rFonts w:ascii="Arial" w:hAnsi="Arial" w:cs="Arial"/>
          <w:color w:val="000000" w:themeColor="text1"/>
          <w:sz w:val="20"/>
          <w:szCs w:val="20"/>
        </w:rPr>
        <w:t>using the</w:t>
      </w:r>
      <w:r w:rsidRPr="006768E1">
        <w:rPr>
          <w:rFonts w:ascii="Arial" w:hAnsi="Arial" w:cs="Arial"/>
          <w:color w:val="000000" w:themeColor="text1"/>
          <w:sz w:val="20"/>
          <w:szCs w:val="20"/>
        </w:rPr>
        <w:t xml:space="preserve"> t-test or Wilcoxon's rank sum test.</w:t>
      </w:r>
    </w:p>
    <w:p w14:paraId="4CD922DE" w14:textId="411B7E68" w:rsidR="002D1DFE" w:rsidRPr="006768E1" w:rsidRDefault="002D1DFE">
      <w:pPr>
        <w:widowControl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6768E1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599C75FD" w14:textId="0F7E7E75" w:rsidR="002D1DFE" w:rsidRPr="006768E1" w:rsidRDefault="002D1DFE" w:rsidP="002D1DFE">
      <w:pPr>
        <w:spacing w:line="360" w:lineRule="auto"/>
        <w:rPr>
          <w:rFonts w:ascii="Arial" w:hAnsi="Arial" w:cs="Arial"/>
          <w:color w:val="000000" w:themeColor="text1"/>
          <w:sz w:val="22"/>
        </w:rPr>
      </w:pPr>
      <w:r w:rsidRPr="006768E1">
        <w:rPr>
          <w:rFonts w:ascii="Arial" w:hAnsi="Arial" w:cs="Arial"/>
          <w:color w:val="000000" w:themeColor="text1"/>
          <w:sz w:val="22"/>
        </w:rPr>
        <w:lastRenderedPageBreak/>
        <w:t xml:space="preserve">Table </w:t>
      </w:r>
      <w:r w:rsidR="00F10C66" w:rsidRPr="006768E1">
        <w:rPr>
          <w:rFonts w:ascii="Arial" w:hAnsi="Arial" w:cs="Arial"/>
          <w:color w:val="000000" w:themeColor="text1"/>
          <w:sz w:val="22"/>
        </w:rPr>
        <w:t>S</w:t>
      </w:r>
      <w:r w:rsidR="00196B34" w:rsidRPr="006768E1">
        <w:rPr>
          <w:rFonts w:ascii="Arial" w:hAnsi="Arial" w:cs="Arial"/>
          <w:color w:val="000000" w:themeColor="text1"/>
          <w:sz w:val="22"/>
        </w:rPr>
        <w:t>3</w:t>
      </w:r>
      <w:r w:rsidRPr="006768E1">
        <w:rPr>
          <w:rFonts w:ascii="Arial" w:hAnsi="Arial" w:cs="Arial"/>
          <w:color w:val="000000" w:themeColor="text1"/>
          <w:sz w:val="22"/>
        </w:rPr>
        <w:t>. Adverse events</w:t>
      </w:r>
    </w:p>
    <w:p w14:paraId="3199AAD5" w14:textId="77777777" w:rsidR="002D1DFE" w:rsidRPr="006768E1" w:rsidRDefault="002D1DFE" w:rsidP="002D1DFE">
      <w:pPr>
        <w:spacing w:line="360" w:lineRule="auto"/>
        <w:rPr>
          <w:rFonts w:ascii="Arial" w:hAnsi="Arial" w:cs="Arial"/>
          <w:color w:val="000000" w:themeColor="text1"/>
          <w:sz w:val="22"/>
        </w:rPr>
      </w:pPr>
    </w:p>
    <w:tbl>
      <w:tblPr>
        <w:tblW w:w="7851" w:type="dxa"/>
        <w:tblInd w:w="75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99"/>
        <w:gridCol w:w="2126"/>
        <w:gridCol w:w="2126"/>
      </w:tblGrid>
      <w:tr w:rsidR="006768E1" w:rsidRPr="006768E1" w14:paraId="4E0E5547" w14:textId="77777777" w:rsidTr="003734F3">
        <w:trPr>
          <w:trHeight w:val="390"/>
        </w:trPr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B8412" w14:textId="77777777" w:rsidR="002D1DFE" w:rsidRPr="006768E1" w:rsidRDefault="002D1DFE" w:rsidP="004A12EE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68672" w14:textId="77777777" w:rsidR="002D1DFE" w:rsidRPr="006768E1" w:rsidRDefault="002D1DFE" w:rsidP="004A12EE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Tio/</w:t>
            </w:r>
            <w:proofErr w:type="spellStart"/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Olo</w:t>
            </w:r>
            <w:proofErr w:type="spellEnd"/>
          </w:p>
          <w:p w14:paraId="01A0B070" w14:textId="77777777" w:rsidR="002D1DFE" w:rsidRPr="006768E1" w:rsidRDefault="002D1DFE" w:rsidP="004A12EE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(n=37)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D772E" w14:textId="77777777" w:rsidR="002D1DFE" w:rsidRPr="006768E1" w:rsidRDefault="002D1DFE" w:rsidP="004A12EE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Tio</w:t>
            </w:r>
          </w:p>
          <w:p w14:paraId="0FF1E5EC" w14:textId="77777777" w:rsidR="002D1DFE" w:rsidRPr="006768E1" w:rsidRDefault="002D1DFE" w:rsidP="004A12EE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(n=37)</w:t>
            </w:r>
          </w:p>
        </w:tc>
      </w:tr>
      <w:tr w:rsidR="006768E1" w:rsidRPr="006768E1" w14:paraId="56656723" w14:textId="77777777" w:rsidTr="003734F3">
        <w:trPr>
          <w:trHeight w:val="390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7261" w14:textId="77777777" w:rsidR="002D1DFE" w:rsidRPr="006768E1" w:rsidRDefault="002D1DFE" w:rsidP="004A12EE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AE, n (%)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AC7C" w14:textId="77777777" w:rsidR="002D1DFE" w:rsidRPr="006768E1" w:rsidRDefault="002D1DFE" w:rsidP="004A12EE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E232" w14:textId="77777777" w:rsidR="002D1DFE" w:rsidRPr="006768E1" w:rsidRDefault="002D1DFE" w:rsidP="004A12EE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768E1" w:rsidRPr="006768E1" w14:paraId="118ACC03" w14:textId="77777777" w:rsidTr="003734F3">
        <w:trPr>
          <w:trHeight w:val="390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94CA" w14:textId="77777777" w:rsidR="002D1DFE" w:rsidRPr="006768E1" w:rsidRDefault="002D1DFE" w:rsidP="004A12EE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 xml:space="preserve">  Any AE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D284" w14:textId="77777777" w:rsidR="002D1DFE" w:rsidRPr="006768E1" w:rsidRDefault="002D1DFE" w:rsidP="004A12EE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11 (29.7)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D037" w14:textId="77777777" w:rsidR="002D1DFE" w:rsidRPr="006768E1" w:rsidRDefault="002D1DFE" w:rsidP="004A12EE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9 (24.3)</w:t>
            </w:r>
          </w:p>
        </w:tc>
      </w:tr>
      <w:tr w:rsidR="006768E1" w:rsidRPr="006768E1" w14:paraId="575BC6C6" w14:textId="77777777" w:rsidTr="003734F3">
        <w:trPr>
          <w:trHeight w:val="390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56A6" w14:textId="77777777" w:rsidR="002D1DFE" w:rsidRPr="006768E1" w:rsidRDefault="002D1DFE" w:rsidP="004A12EE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 xml:space="preserve">  Severe AE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E3B0" w14:textId="77777777" w:rsidR="002D1DFE" w:rsidRPr="006768E1" w:rsidRDefault="002D1DFE" w:rsidP="004A12EE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0 (0)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B86B" w14:textId="77777777" w:rsidR="002D1DFE" w:rsidRPr="006768E1" w:rsidRDefault="002D1DFE" w:rsidP="004A12EE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0 (0)</w:t>
            </w:r>
          </w:p>
        </w:tc>
      </w:tr>
      <w:tr w:rsidR="006768E1" w:rsidRPr="006768E1" w14:paraId="4744296F" w14:textId="77777777" w:rsidTr="003734F3">
        <w:trPr>
          <w:trHeight w:val="390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74F7" w14:textId="77777777" w:rsidR="002D1DFE" w:rsidRPr="006768E1" w:rsidRDefault="002D1DFE" w:rsidP="004A12EE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Drug-related AE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1C2B" w14:textId="77777777" w:rsidR="002D1DFE" w:rsidRPr="006768E1" w:rsidRDefault="002D1DFE" w:rsidP="004A12EE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3 (8.1)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681F3" w14:textId="77777777" w:rsidR="002D1DFE" w:rsidRPr="006768E1" w:rsidRDefault="002D1DFE" w:rsidP="004A12EE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4 (10.8)</w:t>
            </w:r>
          </w:p>
        </w:tc>
      </w:tr>
      <w:tr w:rsidR="006768E1" w:rsidRPr="006768E1" w14:paraId="1AC3CC27" w14:textId="77777777" w:rsidTr="003734F3">
        <w:trPr>
          <w:trHeight w:val="390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65F38" w14:textId="77777777" w:rsidR="002D1DFE" w:rsidRPr="006768E1" w:rsidRDefault="002D1DFE" w:rsidP="004A12EE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AE with an incidence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F9D4B" w14:textId="77777777" w:rsidR="002D1DFE" w:rsidRPr="006768E1" w:rsidRDefault="002D1DFE" w:rsidP="004A12EE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217B2" w14:textId="77777777" w:rsidR="002D1DFE" w:rsidRPr="006768E1" w:rsidRDefault="002D1DFE" w:rsidP="004A12EE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768E1" w:rsidRPr="006768E1" w14:paraId="718A8BEC" w14:textId="77777777" w:rsidTr="003734F3">
        <w:trPr>
          <w:trHeight w:val="390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BA864" w14:textId="77777777" w:rsidR="002D1DFE" w:rsidRPr="006768E1" w:rsidRDefault="002D1DFE" w:rsidP="004A12EE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 xml:space="preserve">  Upper respiratory tract infection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F551" w14:textId="77777777" w:rsidR="002D1DFE" w:rsidRPr="006768E1" w:rsidRDefault="002D1DFE" w:rsidP="004A12EE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1 (2.7)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2155" w14:textId="77777777" w:rsidR="002D1DFE" w:rsidRPr="006768E1" w:rsidRDefault="002D1DFE" w:rsidP="004A12EE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2 (5.4)</w:t>
            </w:r>
          </w:p>
        </w:tc>
      </w:tr>
      <w:tr w:rsidR="006768E1" w:rsidRPr="006768E1" w14:paraId="521E2531" w14:textId="77777777" w:rsidTr="003734F3">
        <w:trPr>
          <w:trHeight w:val="390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6D8F7" w14:textId="77777777" w:rsidR="002D1DFE" w:rsidRPr="006768E1" w:rsidRDefault="002D1DFE" w:rsidP="004A12EE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 xml:space="preserve">  Cough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5BDD" w14:textId="77777777" w:rsidR="002D1DFE" w:rsidRPr="006768E1" w:rsidRDefault="002D1DFE" w:rsidP="004A12EE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4 (10.8)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708EC" w14:textId="77777777" w:rsidR="002D1DFE" w:rsidRPr="006768E1" w:rsidRDefault="002D1DFE" w:rsidP="004A12EE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2 (5.4)</w:t>
            </w:r>
          </w:p>
        </w:tc>
      </w:tr>
      <w:tr w:rsidR="006768E1" w:rsidRPr="006768E1" w14:paraId="3E9F5362" w14:textId="77777777" w:rsidTr="003734F3">
        <w:trPr>
          <w:trHeight w:val="390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5B25F" w14:textId="77777777" w:rsidR="002D1DFE" w:rsidRPr="006768E1" w:rsidRDefault="002D1DFE" w:rsidP="004A12EE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 xml:space="preserve">  Sputum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8E417" w14:textId="77777777" w:rsidR="002D1DFE" w:rsidRPr="006768E1" w:rsidRDefault="002D1DFE" w:rsidP="004A12EE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0 (0)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30AD" w14:textId="77777777" w:rsidR="002D1DFE" w:rsidRPr="006768E1" w:rsidRDefault="002D1DFE" w:rsidP="004A12EE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1 (2.7)</w:t>
            </w:r>
          </w:p>
        </w:tc>
      </w:tr>
      <w:tr w:rsidR="006768E1" w:rsidRPr="006768E1" w14:paraId="67F3062C" w14:textId="77777777" w:rsidTr="003734F3">
        <w:trPr>
          <w:trHeight w:val="390"/>
        </w:trPr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EBE15" w14:textId="77777777" w:rsidR="002D1DFE" w:rsidRPr="006768E1" w:rsidRDefault="002D1DFE" w:rsidP="004A12EE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 xml:space="preserve">  Oral dryness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ED92F" w14:textId="77777777" w:rsidR="002D1DFE" w:rsidRPr="006768E1" w:rsidRDefault="002D1DFE" w:rsidP="004A12EE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3 (8.1)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ECAB3" w14:textId="77777777" w:rsidR="002D1DFE" w:rsidRPr="006768E1" w:rsidRDefault="002D1DFE" w:rsidP="004A12EE">
            <w:pPr>
              <w:widowControl/>
              <w:jc w:val="center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3 (8.1)</w:t>
            </w:r>
          </w:p>
        </w:tc>
      </w:tr>
      <w:tr w:rsidR="002D1DFE" w:rsidRPr="006768E1" w14:paraId="5B5F23DC" w14:textId="77777777" w:rsidTr="003734F3">
        <w:trPr>
          <w:trHeight w:val="375"/>
        </w:trPr>
        <w:tc>
          <w:tcPr>
            <w:tcW w:w="7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0BB52" w14:textId="38F7D8D3" w:rsidR="002D1DFE" w:rsidRPr="006768E1" w:rsidRDefault="002D1DFE" w:rsidP="004A12EE">
            <w:pPr>
              <w:widowControl/>
              <w:jc w:val="left"/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</w:pPr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 xml:space="preserve">  Abbreviations: AE; adverse events, Tio/</w:t>
            </w:r>
            <w:proofErr w:type="spellStart"/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Olo</w:t>
            </w:r>
            <w:proofErr w:type="spellEnd"/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; tiotropium/</w:t>
            </w:r>
            <w:proofErr w:type="spellStart"/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olodaterol</w:t>
            </w:r>
            <w:proofErr w:type="spellEnd"/>
            <w:r w:rsidRPr="006768E1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, Tio; tiotropium</w:t>
            </w:r>
          </w:p>
        </w:tc>
      </w:tr>
    </w:tbl>
    <w:p w14:paraId="6BEF9E7D" w14:textId="77777777" w:rsidR="002D1DFE" w:rsidRPr="006768E1" w:rsidRDefault="002D1DFE" w:rsidP="002D1DFE">
      <w:pPr>
        <w:spacing w:line="360" w:lineRule="auto"/>
        <w:rPr>
          <w:rFonts w:ascii="Arial" w:hAnsi="Arial" w:cs="Arial"/>
          <w:color w:val="000000" w:themeColor="text1"/>
          <w:sz w:val="22"/>
        </w:rPr>
      </w:pPr>
    </w:p>
    <w:p w14:paraId="62A00D01" w14:textId="77777777" w:rsidR="002D1DFE" w:rsidRPr="006768E1" w:rsidRDefault="002D1DFE" w:rsidP="002D1DFE">
      <w:pPr>
        <w:rPr>
          <w:rFonts w:ascii="Arial" w:hAnsi="Arial" w:cs="Arial"/>
          <w:color w:val="000000" w:themeColor="text1"/>
          <w:sz w:val="22"/>
        </w:rPr>
      </w:pPr>
    </w:p>
    <w:p w14:paraId="755DDF53" w14:textId="565B55E6" w:rsidR="008D7EBC" w:rsidRPr="006768E1" w:rsidRDefault="008D7EBC" w:rsidP="00BD7CFD">
      <w:pPr>
        <w:widowControl/>
        <w:jc w:val="left"/>
        <w:rPr>
          <w:rFonts w:ascii="Arial" w:hAnsi="Arial" w:cs="Arial"/>
          <w:color w:val="000000" w:themeColor="text1"/>
          <w:sz w:val="22"/>
        </w:rPr>
      </w:pPr>
    </w:p>
    <w:p w14:paraId="0CF0B706" w14:textId="77777777" w:rsidR="008D7EBC" w:rsidRPr="006768E1" w:rsidRDefault="008D7EBC">
      <w:pPr>
        <w:rPr>
          <w:rFonts w:ascii="Arial" w:hAnsi="Arial" w:cs="Arial"/>
          <w:color w:val="000000" w:themeColor="text1"/>
          <w:sz w:val="22"/>
        </w:rPr>
      </w:pPr>
    </w:p>
    <w:sectPr w:rsidR="008D7EBC" w:rsidRPr="006768E1" w:rsidSect="00092C9E">
      <w:pgSz w:w="11900" w:h="16840"/>
      <w:pgMar w:top="1440" w:right="1440" w:bottom="1440" w:left="1440" w:header="851" w:footer="992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D2450" w14:textId="77777777" w:rsidR="00A22FE5" w:rsidRDefault="00A22FE5" w:rsidP="00023FB0">
      <w:r>
        <w:separator/>
      </w:r>
    </w:p>
  </w:endnote>
  <w:endnote w:type="continuationSeparator" w:id="0">
    <w:p w14:paraId="031C6F86" w14:textId="77777777" w:rsidR="00A22FE5" w:rsidRDefault="00A22FE5" w:rsidP="0002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EU-B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79A00" w14:textId="77777777" w:rsidR="00A22FE5" w:rsidRDefault="00A22FE5" w:rsidP="00023FB0">
      <w:r>
        <w:separator/>
      </w:r>
    </w:p>
  </w:footnote>
  <w:footnote w:type="continuationSeparator" w:id="0">
    <w:p w14:paraId="7692E295" w14:textId="77777777" w:rsidR="00A22FE5" w:rsidRDefault="00A22FE5" w:rsidP="00023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57"/>
    <w:rsid w:val="00023FB0"/>
    <w:rsid w:val="0009015C"/>
    <w:rsid w:val="00092C9E"/>
    <w:rsid w:val="000A59CA"/>
    <w:rsid w:val="00116154"/>
    <w:rsid w:val="00155404"/>
    <w:rsid w:val="00196B34"/>
    <w:rsid w:val="001B17E6"/>
    <w:rsid w:val="00275C77"/>
    <w:rsid w:val="002A1E5D"/>
    <w:rsid w:val="002D1DFE"/>
    <w:rsid w:val="00303FF5"/>
    <w:rsid w:val="003734F3"/>
    <w:rsid w:val="003740A0"/>
    <w:rsid w:val="003F54A6"/>
    <w:rsid w:val="00483E83"/>
    <w:rsid w:val="00491E3B"/>
    <w:rsid w:val="00493BC7"/>
    <w:rsid w:val="004C7F2C"/>
    <w:rsid w:val="00556D8E"/>
    <w:rsid w:val="005D76F9"/>
    <w:rsid w:val="005D7731"/>
    <w:rsid w:val="006131CC"/>
    <w:rsid w:val="00616C6C"/>
    <w:rsid w:val="006768E1"/>
    <w:rsid w:val="006D6757"/>
    <w:rsid w:val="006F0C53"/>
    <w:rsid w:val="0072534D"/>
    <w:rsid w:val="00763B4F"/>
    <w:rsid w:val="0077144F"/>
    <w:rsid w:val="007A2862"/>
    <w:rsid w:val="00826DE9"/>
    <w:rsid w:val="00840ECF"/>
    <w:rsid w:val="0085253D"/>
    <w:rsid w:val="00877C42"/>
    <w:rsid w:val="008A569C"/>
    <w:rsid w:val="008D7EBC"/>
    <w:rsid w:val="0090617D"/>
    <w:rsid w:val="009C3050"/>
    <w:rsid w:val="00A14034"/>
    <w:rsid w:val="00A20FC4"/>
    <w:rsid w:val="00A22FE5"/>
    <w:rsid w:val="00A8792B"/>
    <w:rsid w:val="00AE304C"/>
    <w:rsid w:val="00BD7CFD"/>
    <w:rsid w:val="00BE04A5"/>
    <w:rsid w:val="00C73683"/>
    <w:rsid w:val="00CE6EAB"/>
    <w:rsid w:val="00D959D0"/>
    <w:rsid w:val="00DA23EF"/>
    <w:rsid w:val="00DF49D4"/>
    <w:rsid w:val="00E128BE"/>
    <w:rsid w:val="00E62895"/>
    <w:rsid w:val="00E6648B"/>
    <w:rsid w:val="00E94EB3"/>
    <w:rsid w:val="00EB31F5"/>
    <w:rsid w:val="00EB6607"/>
    <w:rsid w:val="00F07A84"/>
    <w:rsid w:val="00F10C66"/>
    <w:rsid w:val="00F24DF8"/>
    <w:rsid w:val="00F3202F"/>
    <w:rsid w:val="00F35311"/>
    <w:rsid w:val="00F7298E"/>
    <w:rsid w:val="00F72F42"/>
    <w:rsid w:val="00F80616"/>
    <w:rsid w:val="00FF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067EA9"/>
  <w14:defaultImageDpi w14:val="300"/>
  <w15:docId w15:val="{74FA2065-19FC-4A78-87CB-ECF1F2E4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757"/>
    <w:pPr>
      <w:widowControl w:val="0"/>
      <w:jc w:val="both"/>
    </w:pPr>
    <w:rPr>
      <w:kern w:val="2"/>
      <w:sz w:val="21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itingcomments">
    <w:name w:val="Editing comments"/>
    <w:basedOn w:val="CommentText"/>
    <w:autoRedefine/>
    <w:qFormat/>
    <w:rsid w:val="00F3202F"/>
    <w:pPr>
      <w:bidi/>
      <w:spacing w:after="120" w:line="480" w:lineRule="auto"/>
    </w:pPr>
    <w:rPr>
      <w:rFonts w:ascii="Arial" w:eastAsia="Calibri" w:hAnsi="Arial" w:cs="Arial"/>
    </w:rPr>
  </w:style>
  <w:style w:type="paragraph" w:styleId="CommentText">
    <w:name w:val="annotation text"/>
    <w:basedOn w:val="Normal"/>
    <w:link w:val="CommentTextChar"/>
    <w:uiPriority w:val="99"/>
    <w:unhideWhenUsed/>
    <w:rsid w:val="007A2862"/>
    <w:pPr>
      <w:wordWrap w:val="0"/>
      <w:autoSpaceDE w:val="0"/>
      <w:autoSpaceDN w:val="0"/>
      <w:spacing w:after="160"/>
    </w:pPr>
    <w:rPr>
      <w:rFonts w:ascii="Helvetica" w:hAnsi="Helvetica"/>
      <w:kern w:val="0"/>
      <w:sz w:val="24"/>
      <w:szCs w:val="24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2862"/>
    <w:rPr>
      <w:rFonts w:ascii="Helvetica" w:hAnsi="Helveti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02F"/>
    <w:pPr>
      <w:widowControl/>
      <w:jc w:val="left"/>
    </w:pPr>
    <w:rPr>
      <w:rFonts w:ascii="Lucida Grande" w:hAnsi="Lucida Grande" w:cs="Lucida Grande"/>
      <w:kern w:val="0"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02F"/>
    <w:rPr>
      <w:rFonts w:ascii="Lucida Grande" w:hAnsi="Lucida Grande" w:cs="Lucida Grande"/>
      <w:sz w:val="18"/>
      <w:szCs w:val="18"/>
    </w:rPr>
  </w:style>
  <w:style w:type="character" w:customStyle="1" w:styleId="Style1">
    <w:name w:val="Style1"/>
    <w:basedOn w:val="EndnoteReference"/>
    <w:uiPriority w:val="1"/>
    <w:qFormat/>
    <w:rsid w:val="00826DE9"/>
    <w:rPr>
      <w:rFonts w:ascii="Arial" w:eastAsia="Times New Roman" w:hAnsi="Arial" w:cs="Arial"/>
      <w:color w:val="548DD4" w:themeColor="text2" w:themeTint="99"/>
      <w:spacing w:val="-12"/>
      <w:sz w:val="24"/>
      <w:szCs w:val="24"/>
      <w:vertAlign w:val="superscript"/>
      <w:lang w:val="en-US" w:eastAsia="it-IT"/>
    </w:rPr>
  </w:style>
  <w:style w:type="character" w:styleId="EndnoteReference">
    <w:name w:val="endnote reference"/>
    <w:basedOn w:val="DefaultParagraphFont"/>
    <w:uiPriority w:val="99"/>
    <w:semiHidden/>
    <w:unhideWhenUsed/>
    <w:rsid w:val="00826DE9"/>
    <w:rPr>
      <w:vertAlign w:val="superscript"/>
    </w:rPr>
  </w:style>
  <w:style w:type="paragraph" w:customStyle="1" w:styleId="Defaultcommenttext">
    <w:name w:val="Default comment text"/>
    <w:autoRedefine/>
    <w:rsid w:val="00840ECF"/>
    <w:pPr>
      <w:autoSpaceDE w:val="0"/>
      <w:autoSpaceDN w:val="0"/>
      <w:adjustRightInd w:val="0"/>
    </w:pPr>
    <w:rPr>
      <w:rFonts w:ascii="Calibri" w:eastAsia="Calibri" w:hAnsi="Calibri" w:cs="EU-B1"/>
      <w:color w:val="000000"/>
      <w:sz w:val="20"/>
      <w:lang w:bidi="fa-IR"/>
    </w:rPr>
  </w:style>
  <w:style w:type="character" w:styleId="LineNumber">
    <w:name w:val="line number"/>
    <w:basedOn w:val="DefaultParagraphFont"/>
    <w:uiPriority w:val="99"/>
    <w:semiHidden/>
    <w:unhideWhenUsed/>
    <w:rsid w:val="0009015C"/>
  </w:style>
  <w:style w:type="paragraph" w:styleId="Header">
    <w:name w:val="header"/>
    <w:basedOn w:val="Normal"/>
    <w:link w:val="HeaderChar"/>
    <w:uiPriority w:val="99"/>
    <w:unhideWhenUsed/>
    <w:rsid w:val="00023FB0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23FB0"/>
    <w:rPr>
      <w:kern w:val="2"/>
      <w:sz w:val="21"/>
      <w:szCs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23FB0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23FB0"/>
    <w:rPr>
      <w:kern w:val="2"/>
      <w:sz w:val="21"/>
      <w:szCs w:val="2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879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92B"/>
    <w:pPr>
      <w:wordWrap/>
      <w:autoSpaceDE/>
      <w:autoSpaceDN/>
      <w:spacing w:after="0"/>
    </w:pPr>
    <w:rPr>
      <w:rFonts w:asciiTheme="minorHAnsi" w:hAnsiTheme="minorHAnsi"/>
      <w:b/>
      <w:bCs/>
      <w:kern w:val="2"/>
      <w:sz w:val="20"/>
      <w:szCs w:val="20"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92B"/>
    <w:rPr>
      <w:rFonts w:ascii="Helvetica" w:hAnsi="Helvetica"/>
      <w:b/>
      <w:bCs/>
      <w:kern w:val="2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437</Words>
  <Characters>2493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Boon Lee</cp:lastModifiedBy>
  <cp:revision>2</cp:revision>
  <dcterms:created xsi:type="dcterms:W3CDTF">2020-09-03T21:50:00Z</dcterms:created>
  <dcterms:modified xsi:type="dcterms:W3CDTF">2020-09-03T21:50:00Z</dcterms:modified>
  <cp:category/>
</cp:coreProperties>
</file>