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C116A" w14:textId="4DD723DA" w:rsidR="001C1082" w:rsidRPr="008442F9" w:rsidRDefault="001C1082" w:rsidP="001C1082">
      <w:pPr>
        <w:keepNext/>
        <w:keepLines/>
        <w:spacing w:before="240" w:after="0" w:line="276" w:lineRule="auto"/>
        <w:outlineLvl w:val="0"/>
        <w:rPr>
          <w:rFonts w:ascii="Arial" w:eastAsiaTheme="majorEastAsia" w:hAnsi="Arial" w:cs="Arial"/>
          <w:color w:val="2F5496" w:themeColor="accent1" w:themeShade="BF"/>
          <w:sz w:val="32"/>
          <w:szCs w:val="32"/>
          <w:lang w:val="en-US"/>
        </w:rPr>
      </w:pPr>
      <w:r w:rsidRPr="008442F9">
        <w:rPr>
          <w:rFonts w:ascii="Arial" w:eastAsiaTheme="majorEastAsia" w:hAnsi="Arial" w:cs="Arial"/>
          <w:color w:val="2F5496" w:themeColor="accent1" w:themeShade="BF"/>
          <w:sz w:val="32"/>
          <w:szCs w:val="32"/>
          <w:lang w:val="en-US"/>
        </w:rPr>
        <w:t>Supplement</w:t>
      </w:r>
      <w:r w:rsidR="00CA7C24">
        <w:rPr>
          <w:rFonts w:ascii="Arial" w:eastAsiaTheme="majorEastAsia" w:hAnsi="Arial" w:cs="Arial"/>
          <w:color w:val="2F5496" w:themeColor="accent1" w:themeShade="BF"/>
          <w:sz w:val="32"/>
          <w:szCs w:val="32"/>
          <w:lang w:val="en-US"/>
        </w:rPr>
        <w:t>ary materials</w:t>
      </w:r>
    </w:p>
    <w:tbl>
      <w:tblPr>
        <w:tblStyle w:val="TableGrid"/>
        <w:tblW w:w="0" w:type="auto"/>
        <w:tblInd w:w="-5" w:type="dxa"/>
        <w:tblLook w:val="04A0" w:firstRow="1" w:lastRow="0" w:firstColumn="1" w:lastColumn="0" w:noHBand="0" w:noVBand="1"/>
      </w:tblPr>
      <w:tblGrid>
        <w:gridCol w:w="557"/>
        <w:gridCol w:w="7230"/>
        <w:gridCol w:w="1260"/>
      </w:tblGrid>
      <w:tr w:rsidR="001C1082" w:rsidRPr="00A405FA" w14:paraId="20BF0920" w14:textId="77777777" w:rsidTr="008442F9">
        <w:tc>
          <w:tcPr>
            <w:tcW w:w="9047" w:type="dxa"/>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tcPr>
          <w:p w14:paraId="7DB4EB97" w14:textId="77777777" w:rsidR="001C1082" w:rsidRPr="008442F9" w:rsidRDefault="001C1082" w:rsidP="001C1082">
            <w:pPr>
              <w:spacing w:line="276" w:lineRule="auto"/>
              <w:rPr>
                <w:rFonts w:ascii="Arial" w:hAnsi="Arial" w:cs="Arial"/>
                <w:lang w:val="en-US"/>
              </w:rPr>
            </w:pPr>
            <w:r w:rsidRPr="003418D6">
              <w:rPr>
                <w:rFonts w:ascii="Arial" w:hAnsi="Arial" w:cs="Arial"/>
                <w:bCs/>
                <w:lang w:val="en-US"/>
              </w:rPr>
              <w:t>TABLE S1.</w:t>
            </w:r>
            <w:r w:rsidRPr="008442F9">
              <w:rPr>
                <w:rFonts w:ascii="Arial" w:hAnsi="Arial" w:cs="Arial"/>
                <w:lang w:val="en-US"/>
              </w:rPr>
              <w:t xml:space="preserve">  Search strategy in PubMed</w:t>
            </w:r>
          </w:p>
        </w:tc>
      </w:tr>
      <w:tr w:rsidR="001C1082" w:rsidRPr="00A405FA" w14:paraId="0162DC6F" w14:textId="77777777" w:rsidTr="0072087E">
        <w:trPr>
          <w:trHeight w:val="665"/>
        </w:trPr>
        <w:tc>
          <w:tcPr>
            <w:tcW w:w="9047" w:type="dxa"/>
            <w:gridSpan w:val="3"/>
            <w:tcBorders>
              <w:top w:val="single" w:sz="12" w:space="0" w:color="auto"/>
            </w:tcBorders>
          </w:tcPr>
          <w:p w14:paraId="5BCDE179"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Date of search: 2018-9-19</w:t>
            </w:r>
          </w:p>
          <w:p w14:paraId="044FB86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Number of hits: 533</w:t>
            </w:r>
          </w:p>
        </w:tc>
      </w:tr>
      <w:tr w:rsidR="001C1082" w:rsidRPr="003418D6" w14:paraId="6540578B" w14:textId="77777777" w:rsidTr="0072087E">
        <w:tc>
          <w:tcPr>
            <w:tcW w:w="557" w:type="dxa"/>
          </w:tcPr>
          <w:p w14:paraId="48AF2F9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w:t>
            </w:r>
          </w:p>
        </w:tc>
        <w:tc>
          <w:tcPr>
            <w:tcW w:w="7230" w:type="dxa"/>
          </w:tcPr>
          <w:p w14:paraId="03C1A69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"Stroke"[Mesh]</w:t>
            </w:r>
          </w:p>
        </w:tc>
        <w:tc>
          <w:tcPr>
            <w:tcW w:w="1260" w:type="dxa"/>
          </w:tcPr>
          <w:p w14:paraId="372017D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118408</w:t>
            </w:r>
          </w:p>
        </w:tc>
      </w:tr>
      <w:tr w:rsidR="001C1082" w:rsidRPr="003418D6" w14:paraId="265BAE98" w14:textId="77777777" w:rsidTr="0072087E">
        <w:tc>
          <w:tcPr>
            <w:tcW w:w="557" w:type="dxa"/>
          </w:tcPr>
          <w:p w14:paraId="706B5CA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2. </w:t>
            </w:r>
          </w:p>
        </w:tc>
        <w:tc>
          <w:tcPr>
            <w:tcW w:w="7230" w:type="dxa"/>
          </w:tcPr>
          <w:p w14:paraId="61CED88C" w14:textId="77777777" w:rsidR="001C1082" w:rsidRPr="003418D6" w:rsidRDefault="001C1082" w:rsidP="001C1082">
            <w:pPr>
              <w:spacing w:line="276" w:lineRule="auto"/>
              <w:rPr>
                <w:rFonts w:ascii="Arial" w:hAnsi="Arial" w:cs="Arial"/>
                <w:sz w:val="16"/>
                <w:szCs w:val="16"/>
                <w:lang w:val="en-US"/>
              </w:rPr>
            </w:pPr>
            <w:bookmarkStart w:id="0" w:name="_Hlk532406438"/>
            <w:r w:rsidRPr="003418D6">
              <w:rPr>
                <w:rFonts w:ascii="Arial" w:hAnsi="Arial" w:cs="Arial"/>
                <w:sz w:val="16"/>
                <w:szCs w:val="16"/>
                <w:lang w:val="en-US"/>
              </w:rPr>
              <w:t>stroke[Title/Abstract] OR Strokes[Title/Abstract] OR "Cerebrovascular Accident"[Title/Abstract] OR "Cerebrovascular Accidents"[Title/Abstract] OR CVA [Title/Abstract] OR CVAs[Title/Abstract] OR "Cerebrovascular Apoplexy"[Title/Abstract] OR "Apoplexy, Cerebrovascular"[Title/Abstract] OR "Vascular Accident, Brain"[Title/Abstract] OR "Brain Vascular Accident"[Title/Abstract] OR "Brain Vascular Accidents"[Title/Abstract] OR "Vascular Accidents, Brain"[Title/Abstract] OR "Cerebrovascular Stroke"[Title/Abstract] OR "Cerebrovascular Strokes"[Title/Abstract] OR "Stroke, Cerebrovascular"[Title/Abstract] OR "Strokes, Cerebrovascular"[Title/Abstract] OR Apoplexy[Title/Abstract] OR "Cerebral Stroke"[Title/Abstract] OR "Cerebral Strokes"[Title/Abstract] OR "Stroke, Cerebral"[Title/Abstract] OR "Strokes, Cerebral"[Title/Abstract]</w:t>
            </w:r>
            <w:bookmarkEnd w:id="0"/>
          </w:p>
        </w:tc>
        <w:tc>
          <w:tcPr>
            <w:tcW w:w="1260" w:type="dxa"/>
          </w:tcPr>
          <w:p w14:paraId="57565730"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230024</w:t>
            </w:r>
          </w:p>
        </w:tc>
      </w:tr>
      <w:tr w:rsidR="001C1082" w:rsidRPr="003418D6" w14:paraId="452B019F" w14:textId="77777777" w:rsidTr="0072087E">
        <w:tc>
          <w:tcPr>
            <w:tcW w:w="557" w:type="dxa"/>
          </w:tcPr>
          <w:p w14:paraId="2645D51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3. </w:t>
            </w:r>
          </w:p>
        </w:tc>
        <w:tc>
          <w:tcPr>
            <w:tcW w:w="7230" w:type="dxa"/>
          </w:tcPr>
          <w:p w14:paraId="600D6F7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 OR #2</w:t>
            </w:r>
          </w:p>
        </w:tc>
        <w:tc>
          <w:tcPr>
            <w:tcW w:w="1260" w:type="dxa"/>
          </w:tcPr>
          <w:p w14:paraId="7E7AB97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261696</w:t>
            </w:r>
          </w:p>
        </w:tc>
      </w:tr>
      <w:tr w:rsidR="001C1082" w:rsidRPr="003418D6" w14:paraId="6089830A" w14:textId="77777777" w:rsidTr="0072087E">
        <w:tc>
          <w:tcPr>
            <w:tcW w:w="557" w:type="dxa"/>
          </w:tcPr>
          <w:p w14:paraId="1DEA0B8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4. </w:t>
            </w:r>
          </w:p>
        </w:tc>
        <w:tc>
          <w:tcPr>
            <w:tcW w:w="7230" w:type="dxa"/>
          </w:tcPr>
          <w:p w14:paraId="36C8061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"Cerebrovascular Disorders"[Mesh]</w:t>
            </w:r>
          </w:p>
        </w:tc>
        <w:tc>
          <w:tcPr>
            <w:tcW w:w="1260" w:type="dxa"/>
          </w:tcPr>
          <w:p w14:paraId="329D887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339976</w:t>
            </w:r>
          </w:p>
        </w:tc>
      </w:tr>
      <w:tr w:rsidR="001C1082" w:rsidRPr="003418D6" w14:paraId="0324AD1F" w14:textId="77777777" w:rsidTr="0072087E">
        <w:tc>
          <w:tcPr>
            <w:tcW w:w="557" w:type="dxa"/>
          </w:tcPr>
          <w:p w14:paraId="167504D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5. </w:t>
            </w:r>
          </w:p>
        </w:tc>
        <w:tc>
          <w:tcPr>
            <w:tcW w:w="7230" w:type="dxa"/>
          </w:tcPr>
          <w:p w14:paraId="22480074"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"Cerebrovascular Disorder"[Title/Abstract] OR "Vascular Diseases, Intracranial"[Title/Abstract] OR "Intracranial Vascular Disease"[Title/Abstract] OR "Intracranial Vascular Diseases"[Title/Abstract] OR "Vascular Disease, Intracranial"[Title/Abstract] OR "Intracranial Vascular Disorders"[Title/Abstract] OR "Intracranial Vascular Disorder"[Title/Abstract] OR "Vascular Disorder, Intracranial"[Title/Abstract] OR "Vascular Disorders, Intracranial"[Title/Abstract] OR "Cerebrovascular Diseases"[Title/Abstract] OR "Cerebrovascular Disease"[Title/Abstract] OR "Disease, Cerebrovascular"[Title/Abstract] OR "Diseases, Cerebrovascular"[Title/Abstract] OR "Brain Vascular Disorders"[Title/Abstract] OR "Brain Vascular Disorder"[Title/Abstract] OR "Vascular Disorder, Brain"[Title/Abstract] OR "Vascular Disorders, Brain"[Title/Abstract] OR "Cerebrovascular Occlusion"[Title/Abstract] OR "Cerebrovascular Occlusions"[Title/Abstract] OR "Occlusion, Cerebrovascular"[Title/Abstract] OR "Occlusions, Cerebrovascular"[Title/Abstract] OR "Cerebrovascular Insufficiency"[Title/Abstract] OR "Cerebrovascular Insufficiencies"[Title/Abstract] OR "Insufficiencies, Cerebrovascular"[Title/Abstract] OR "Insufficiency, Cerebrovascular"[Title/Abstract]</w:t>
            </w:r>
          </w:p>
        </w:tc>
        <w:tc>
          <w:tcPr>
            <w:tcW w:w="1260" w:type="dxa"/>
          </w:tcPr>
          <w:p w14:paraId="3F46332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20285</w:t>
            </w:r>
          </w:p>
        </w:tc>
      </w:tr>
      <w:tr w:rsidR="001C1082" w:rsidRPr="003418D6" w14:paraId="295771B7" w14:textId="77777777" w:rsidTr="0072087E">
        <w:tc>
          <w:tcPr>
            <w:tcW w:w="557" w:type="dxa"/>
          </w:tcPr>
          <w:p w14:paraId="311224D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6. </w:t>
            </w:r>
          </w:p>
        </w:tc>
        <w:tc>
          <w:tcPr>
            <w:tcW w:w="7230" w:type="dxa"/>
          </w:tcPr>
          <w:p w14:paraId="201C879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 OR #5</w:t>
            </w:r>
          </w:p>
        </w:tc>
        <w:tc>
          <w:tcPr>
            <w:tcW w:w="1260" w:type="dxa"/>
          </w:tcPr>
          <w:p w14:paraId="018A151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348576</w:t>
            </w:r>
          </w:p>
        </w:tc>
      </w:tr>
      <w:tr w:rsidR="001C1082" w:rsidRPr="003418D6" w14:paraId="249A2098" w14:textId="77777777" w:rsidTr="0072087E">
        <w:tc>
          <w:tcPr>
            <w:tcW w:w="557" w:type="dxa"/>
          </w:tcPr>
          <w:p w14:paraId="1AB23DF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7. </w:t>
            </w:r>
          </w:p>
        </w:tc>
        <w:tc>
          <w:tcPr>
            <w:tcW w:w="7230" w:type="dxa"/>
          </w:tcPr>
          <w:p w14:paraId="430012D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 OR #6</w:t>
            </w:r>
          </w:p>
        </w:tc>
        <w:tc>
          <w:tcPr>
            <w:tcW w:w="1260" w:type="dxa"/>
          </w:tcPr>
          <w:p w14:paraId="74DEDB90"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456371</w:t>
            </w:r>
          </w:p>
        </w:tc>
      </w:tr>
      <w:tr w:rsidR="001C1082" w:rsidRPr="003418D6" w14:paraId="16749A13" w14:textId="77777777" w:rsidTr="0072087E">
        <w:tc>
          <w:tcPr>
            <w:tcW w:w="557" w:type="dxa"/>
          </w:tcPr>
          <w:p w14:paraId="47E135A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8.</w:t>
            </w:r>
          </w:p>
        </w:tc>
        <w:tc>
          <w:tcPr>
            <w:tcW w:w="7230" w:type="dxa"/>
          </w:tcPr>
          <w:p w14:paraId="25D4C1C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"Adrenergic Beta-Antagonists"[Mesh] OR "Adrenergic </w:t>
            </w:r>
            <w:proofErr w:type="gramStart"/>
            <w:r w:rsidRPr="003418D6">
              <w:rPr>
                <w:rFonts w:ascii="Arial" w:hAnsi="Arial" w:cs="Arial"/>
                <w:sz w:val="16"/>
                <w:szCs w:val="16"/>
                <w:lang w:val="en-US"/>
              </w:rPr>
              <w:t>beta</w:t>
            </w:r>
            <w:proofErr w:type="gramEnd"/>
            <w:r w:rsidRPr="003418D6">
              <w:rPr>
                <w:rFonts w:ascii="Arial" w:hAnsi="Arial" w:cs="Arial"/>
                <w:sz w:val="16"/>
                <w:szCs w:val="16"/>
                <w:lang w:val="en-US"/>
              </w:rPr>
              <w:t>-Antagonists" [Pharmacological Action]</w:t>
            </w:r>
          </w:p>
        </w:tc>
        <w:tc>
          <w:tcPr>
            <w:tcW w:w="1260" w:type="dxa"/>
          </w:tcPr>
          <w:p w14:paraId="6E1AD54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83174</w:t>
            </w:r>
          </w:p>
        </w:tc>
      </w:tr>
      <w:tr w:rsidR="001C1082" w:rsidRPr="003418D6" w14:paraId="1FAF7854" w14:textId="77777777" w:rsidTr="0072087E">
        <w:tc>
          <w:tcPr>
            <w:tcW w:w="557" w:type="dxa"/>
          </w:tcPr>
          <w:p w14:paraId="124794DC"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9. </w:t>
            </w:r>
          </w:p>
        </w:tc>
        <w:tc>
          <w:tcPr>
            <w:tcW w:w="7230" w:type="dxa"/>
          </w:tcPr>
          <w:p w14:paraId="5F267A1C"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"Adrenergic beta-Antagonists"[Title/Abstract] OR "Adrenergic beta Antagonists"[Title/Abstract] OR "beta-Antagonists, Adrenergic"[Title/Abstract] OR "beta-Adrenergic Receptor Blockaders"[Title/Abstract] OR "Blockaders, beta-Adrenergic Receptor"[Title/Abstract] OR "Receptor Blockaders, beta-Adrenergic"[Title/Abstract] OR "beta Adrenergic Receptor Blockaders"[Title/Abstract] OR "beta-Adrenergic Blockers"[Title/Abstract] OR "Blockers, beta-Adrenergic"[Title/Abstract] OR "beta Adrenergic Blockers"[Title/Abstract] OR "beta-Blockers, Adrenergic"[Title/Abstract] OR "Adrenergic beta-Blockers"[Title/Abstract] OR "beta Blockers, Adrenergic"[Title/Abstract] OR "Adrenergic beta-Receptor Blockaders"[Title/Abstract] OR "Adrenergic beta Receptor Blockaders"[Title/Abstract] OR "Blockaders, Adrenergic beta-Receptor"[Title/Abstract] OR "beta-Receptor Blockaders, Adrenergic"[Title/Abstract] OR "beta-Adrenergic Blocking Agents"[Title/Abstract] OR "Agents, beta-Adrenergic Blocking"[Title/Abstract] OR "Blocking Agents, beta-Adrenergic"[Title/Abstract] OR "beta Adrenergic Blocking Agents"[Title/Abstract]</w:t>
            </w:r>
          </w:p>
        </w:tc>
        <w:tc>
          <w:tcPr>
            <w:tcW w:w="1260" w:type="dxa"/>
          </w:tcPr>
          <w:p w14:paraId="62277B3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2019</w:t>
            </w:r>
          </w:p>
        </w:tc>
      </w:tr>
      <w:tr w:rsidR="001C1082" w:rsidRPr="003418D6" w14:paraId="19AC1F4C" w14:textId="77777777" w:rsidTr="0072087E">
        <w:tc>
          <w:tcPr>
            <w:tcW w:w="557" w:type="dxa"/>
          </w:tcPr>
          <w:p w14:paraId="29A7E59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10. </w:t>
            </w:r>
          </w:p>
        </w:tc>
        <w:tc>
          <w:tcPr>
            <w:tcW w:w="7230" w:type="dxa"/>
          </w:tcPr>
          <w:p w14:paraId="291F98B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#8 OR #9</w:t>
            </w:r>
          </w:p>
        </w:tc>
        <w:tc>
          <w:tcPr>
            <w:tcW w:w="1260" w:type="dxa"/>
          </w:tcPr>
          <w:p w14:paraId="3C335E0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83818</w:t>
            </w:r>
          </w:p>
        </w:tc>
      </w:tr>
      <w:tr w:rsidR="001C1082" w:rsidRPr="003418D6" w14:paraId="5369454B" w14:textId="77777777" w:rsidTr="0072087E">
        <w:tc>
          <w:tcPr>
            <w:tcW w:w="557" w:type="dxa"/>
          </w:tcPr>
          <w:p w14:paraId="7B3962C6"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11. </w:t>
            </w:r>
          </w:p>
        </w:tc>
        <w:tc>
          <w:tcPr>
            <w:tcW w:w="7230" w:type="dxa"/>
          </w:tcPr>
          <w:p w14:paraId="638F40A9"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"Treatment Outcome"[Mesh]</w:t>
            </w:r>
          </w:p>
        </w:tc>
        <w:tc>
          <w:tcPr>
            <w:tcW w:w="1260" w:type="dxa"/>
          </w:tcPr>
          <w:p w14:paraId="09B0819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946198</w:t>
            </w:r>
          </w:p>
        </w:tc>
      </w:tr>
      <w:tr w:rsidR="001C1082" w:rsidRPr="003418D6" w14:paraId="4D583C1A" w14:textId="77777777" w:rsidTr="0072087E">
        <w:tc>
          <w:tcPr>
            <w:tcW w:w="557" w:type="dxa"/>
          </w:tcPr>
          <w:p w14:paraId="08941F3F"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12. </w:t>
            </w:r>
          </w:p>
        </w:tc>
        <w:tc>
          <w:tcPr>
            <w:tcW w:w="7230" w:type="dxa"/>
          </w:tcPr>
          <w:p w14:paraId="357F74E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"Treatment Outcome"[Title/Abstract] OR "Outcome, Treatment"[Title/Abstract] OR "Clinical Effectiveness"[Title/Abstract] OR "Clinical </w:t>
            </w:r>
            <w:proofErr w:type="spellStart"/>
            <w:r w:rsidRPr="003418D6">
              <w:rPr>
                <w:rFonts w:ascii="Arial" w:hAnsi="Arial" w:cs="Arial"/>
                <w:sz w:val="16"/>
                <w:szCs w:val="16"/>
                <w:lang w:val="en-US"/>
              </w:rPr>
              <w:t>Effectivenesses</w:t>
            </w:r>
            <w:proofErr w:type="spellEnd"/>
            <w:r w:rsidRPr="003418D6">
              <w:rPr>
                <w:rFonts w:ascii="Arial" w:hAnsi="Arial" w:cs="Arial"/>
                <w:sz w:val="16"/>
                <w:szCs w:val="16"/>
                <w:lang w:val="en-US"/>
              </w:rPr>
              <w:t>"[Title/Abstract] OR "Effectiveness, Clinical"[Title/Abstract] OR "</w:t>
            </w:r>
            <w:proofErr w:type="spellStart"/>
            <w:r w:rsidRPr="003418D6">
              <w:rPr>
                <w:rFonts w:ascii="Arial" w:hAnsi="Arial" w:cs="Arial"/>
                <w:sz w:val="16"/>
                <w:szCs w:val="16"/>
                <w:lang w:val="en-US"/>
              </w:rPr>
              <w:t>Effectivenesses</w:t>
            </w:r>
            <w:proofErr w:type="spellEnd"/>
            <w:r w:rsidRPr="003418D6">
              <w:rPr>
                <w:rFonts w:ascii="Arial" w:hAnsi="Arial" w:cs="Arial"/>
                <w:sz w:val="16"/>
                <w:szCs w:val="16"/>
                <w:lang w:val="en-US"/>
              </w:rPr>
              <w:t>, Clinical"[Title/Abstract] OR "Patient-Relevant Outcome"[Title/Abstract] OR "Outcome, Patient-Relevant"[Title/Abstract] OR "Outcomes, Patient-Relevant"[Title/Abstract] OR "Patient Relevant Outcome"[Title/Abstract] OR "Patient-Relevant Outcomes"[Title/Abstract] OR "Clinical Efficacy"[Title/Abstract] OR "Efficacy, Clinical"[Title/Abstract] OR "Treatment Effectiveness"[Title/Abstract] OR "Effectiveness, Treatment"[Title/Abstract] OR "Treatment Efficacy"[Title/Abstract] OR "Efficacy, Treatment"[Title/Abstract] OR "Rehabilitation Outcome"[Title/Abstract] OR "Outcome, Rehabilitation"[Title/Abstract]</w:t>
            </w:r>
          </w:p>
        </w:tc>
        <w:tc>
          <w:tcPr>
            <w:tcW w:w="1260" w:type="dxa"/>
          </w:tcPr>
          <w:p w14:paraId="75B5750C"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81079</w:t>
            </w:r>
          </w:p>
        </w:tc>
      </w:tr>
      <w:tr w:rsidR="001C1082" w:rsidRPr="003418D6" w14:paraId="44D52CB1" w14:textId="77777777" w:rsidTr="0072087E">
        <w:tc>
          <w:tcPr>
            <w:tcW w:w="557" w:type="dxa"/>
          </w:tcPr>
          <w:p w14:paraId="4D069D44"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13. </w:t>
            </w:r>
          </w:p>
        </w:tc>
        <w:tc>
          <w:tcPr>
            <w:tcW w:w="7230" w:type="dxa"/>
          </w:tcPr>
          <w:p w14:paraId="11CC222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#11 OR #12</w:t>
            </w:r>
          </w:p>
        </w:tc>
        <w:tc>
          <w:tcPr>
            <w:tcW w:w="1260" w:type="dxa"/>
          </w:tcPr>
          <w:p w14:paraId="5F4713F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1001538</w:t>
            </w:r>
          </w:p>
        </w:tc>
      </w:tr>
      <w:tr w:rsidR="001C1082" w:rsidRPr="003418D6" w14:paraId="64A73EF0" w14:textId="77777777" w:rsidTr="0072087E">
        <w:tc>
          <w:tcPr>
            <w:tcW w:w="557" w:type="dxa"/>
          </w:tcPr>
          <w:p w14:paraId="41204CD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14.</w:t>
            </w:r>
          </w:p>
        </w:tc>
        <w:tc>
          <w:tcPr>
            <w:tcW w:w="7230" w:type="dxa"/>
          </w:tcPr>
          <w:p w14:paraId="0F313D2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"Mortality"[Mesh]</w:t>
            </w:r>
          </w:p>
        </w:tc>
        <w:tc>
          <w:tcPr>
            <w:tcW w:w="1260" w:type="dxa"/>
          </w:tcPr>
          <w:p w14:paraId="6F03177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351228</w:t>
            </w:r>
          </w:p>
        </w:tc>
      </w:tr>
      <w:tr w:rsidR="001C1082" w:rsidRPr="003418D6" w14:paraId="338ECBDD" w14:textId="77777777" w:rsidTr="0072087E">
        <w:tc>
          <w:tcPr>
            <w:tcW w:w="557" w:type="dxa"/>
          </w:tcPr>
          <w:p w14:paraId="7F2664CF"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lastRenderedPageBreak/>
              <w:t xml:space="preserve">15. </w:t>
            </w:r>
          </w:p>
        </w:tc>
        <w:tc>
          <w:tcPr>
            <w:tcW w:w="7230" w:type="dxa"/>
          </w:tcPr>
          <w:p w14:paraId="7EF6616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 Mortality[Title/Abstract] OR Mortalities[Title/Abstract] OR "Case Fatality Rate"[Title/Abstract] OR "Case Fatality Rates"[Title/Abstract] OR "Rate, Case Fatality"[Title/Abstract] OR "Rates, Case Fatality"[Title/Abstract] OR "Mortality, Excess"[Title/Abstract] OR "Excess Mortalities"[Title/Abstract] OR "Mortalities, Excess"[Title/Abstract] OR "Excess Mortality"[Title/Abstract] OR "Decline, Mortality"[Title/Abstract] OR "Declines, Mortality"[Title/Abstract] OR "Mortality Declines"[Title/Abstract] OR "Mortality Decline"[Title/Abstract] OR "Mortality Determinants"[Title/Abstract] OR "Determinant, Mortality"[Title/Abstract] OR "Mortality Determinant"[Title/Abstract] OR "Determinants, Mortality"[Title/Abstract] OR "Mortality, Differential"[Title/Abstract] OR "Differential Mortalities"[Title/Abstract] OR "Mortalities, Differential"[Title/Abstract] OR "Differential Mortality"[Title/Abstract] OR "Age-Specific Death Rate"[Title/Abstract] OR "Age-Specific Death Rates"[Title/Abstract] OR "Death Rate, Age-Specific"[Title/Abstract] OR "Death Rates, Age-Specific"[Title/Abstract] OR "Rate, Age-Specific Death"[Title/Abstract] OR "Rates, Age-Specific Death"[Title/Abstract] OR "Age Specific Death Rate"[Title/Abstract] OR "Death Rate"[Title/Abstract] OR "Death Rates"[Title/Abstract] OR "Rate, Death"[Title/Abstract] OR "Rates, Death"[Title/Abstract] OR "Mortality Rate"[Title/Abstract] OR "Mortality Rates"[Title/Abstract] OR "Rate, Mortality"[Title/Abstract] OR "Rates, Mortality"[Title/Abstract]</w:t>
            </w:r>
          </w:p>
        </w:tc>
        <w:tc>
          <w:tcPr>
            <w:tcW w:w="1260" w:type="dxa"/>
          </w:tcPr>
          <w:p w14:paraId="4D04286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682931</w:t>
            </w:r>
          </w:p>
        </w:tc>
      </w:tr>
      <w:tr w:rsidR="001C1082" w:rsidRPr="003418D6" w14:paraId="4A222103" w14:textId="77777777" w:rsidTr="0072087E">
        <w:tc>
          <w:tcPr>
            <w:tcW w:w="557" w:type="dxa"/>
          </w:tcPr>
          <w:p w14:paraId="082FABF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16. </w:t>
            </w:r>
          </w:p>
        </w:tc>
        <w:tc>
          <w:tcPr>
            <w:tcW w:w="7230" w:type="dxa"/>
          </w:tcPr>
          <w:p w14:paraId="27E4CB9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#14 OR #15</w:t>
            </w:r>
          </w:p>
        </w:tc>
        <w:tc>
          <w:tcPr>
            <w:tcW w:w="1260" w:type="dxa"/>
          </w:tcPr>
          <w:p w14:paraId="0F62534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913588</w:t>
            </w:r>
          </w:p>
        </w:tc>
      </w:tr>
      <w:tr w:rsidR="001C1082" w:rsidRPr="003418D6" w14:paraId="3F3D6D7D" w14:textId="77777777" w:rsidTr="0072087E">
        <w:tc>
          <w:tcPr>
            <w:tcW w:w="557" w:type="dxa"/>
          </w:tcPr>
          <w:p w14:paraId="1A5955D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17.</w:t>
            </w:r>
          </w:p>
        </w:tc>
        <w:tc>
          <w:tcPr>
            <w:tcW w:w="7230" w:type="dxa"/>
          </w:tcPr>
          <w:p w14:paraId="703F0C9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#13 OR #16</w:t>
            </w:r>
          </w:p>
        </w:tc>
        <w:tc>
          <w:tcPr>
            <w:tcW w:w="1260" w:type="dxa"/>
          </w:tcPr>
          <w:p w14:paraId="3DD2135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1779016</w:t>
            </w:r>
          </w:p>
        </w:tc>
      </w:tr>
      <w:tr w:rsidR="001C1082" w:rsidRPr="003418D6" w14:paraId="44D016B4" w14:textId="77777777" w:rsidTr="0072087E">
        <w:tc>
          <w:tcPr>
            <w:tcW w:w="557" w:type="dxa"/>
          </w:tcPr>
          <w:p w14:paraId="329E2FA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18. </w:t>
            </w:r>
          </w:p>
        </w:tc>
        <w:tc>
          <w:tcPr>
            <w:tcW w:w="7230" w:type="dxa"/>
          </w:tcPr>
          <w:p w14:paraId="7997BC76"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#7 AND #10 AND #17</w:t>
            </w:r>
          </w:p>
        </w:tc>
        <w:tc>
          <w:tcPr>
            <w:tcW w:w="1260" w:type="dxa"/>
          </w:tcPr>
          <w:p w14:paraId="4D25F90C"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533</w:t>
            </w:r>
          </w:p>
        </w:tc>
      </w:tr>
    </w:tbl>
    <w:p w14:paraId="7E03CCF5" w14:textId="77777777" w:rsidR="001C1082" w:rsidRPr="003418D6" w:rsidRDefault="001C1082" w:rsidP="001C1082">
      <w:pPr>
        <w:spacing w:line="276" w:lineRule="auto"/>
        <w:rPr>
          <w:rFonts w:ascii="Arial" w:hAnsi="Arial" w:cs="Arial"/>
          <w:sz w:val="16"/>
          <w:szCs w:val="16"/>
          <w:lang w:val="en-US"/>
        </w:rPr>
      </w:pPr>
    </w:p>
    <w:p w14:paraId="72DABD79"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br w:type="page"/>
      </w:r>
    </w:p>
    <w:tbl>
      <w:tblPr>
        <w:tblStyle w:val="TableGrid"/>
        <w:tblW w:w="0" w:type="auto"/>
        <w:tblInd w:w="-5" w:type="dxa"/>
        <w:tblLook w:val="04A0" w:firstRow="1" w:lastRow="0" w:firstColumn="1" w:lastColumn="0" w:noHBand="0" w:noVBand="1"/>
      </w:tblPr>
      <w:tblGrid>
        <w:gridCol w:w="557"/>
        <w:gridCol w:w="7230"/>
        <w:gridCol w:w="1260"/>
      </w:tblGrid>
      <w:tr w:rsidR="001C1082" w:rsidRPr="00A405FA" w14:paraId="435C6E24" w14:textId="77777777" w:rsidTr="0072087E">
        <w:tc>
          <w:tcPr>
            <w:tcW w:w="9047" w:type="dxa"/>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tcPr>
          <w:p w14:paraId="4CA3CF81" w14:textId="77777777" w:rsidR="001C1082" w:rsidRPr="003418D6" w:rsidRDefault="001C1082" w:rsidP="001C1082">
            <w:pPr>
              <w:spacing w:line="276" w:lineRule="auto"/>
              <w:rPr>
                <w:rFonts w:ascii="Arial" w:hAnsi="Arial" w:cs="Arial"/>
                <w:lang w:val="en-US"/>
              </w:rPr>
            </w:pPr>
            <w:bookmarkStart w:id="1" w:name="_Hlk532407643"/>
            <w:r w:rsidRPr="003418D6">
              <w:rPr>
                <w:rFonts w:ascii="Arial" w:hAnsi="Arial" w:cs="Arial"/>
                <w:bCs/>
                <w:lang w:val="en-US"/>
              </w:rPr>
              <w:t>TABLE S2.</w:t>
            </w:r>
            <w:r w:rsidRPr="003418D6">
              <w:rPr>
                <w:rFonts w:ascii="Arial" w:hAnsi="Arial" w:cs="Arial"/>
                <w:lang w:val="en-US"/>
              </w:rPr>
              <w:t xml:space="preserve">  Search strategy in Medline</w:t>
            </w:r>
          </w:p>
        </w:tc>
      </w:tr>
      <w:tr w:rsidR="001C1082" w:rsidRPr="00A405FA" w14:paraId="6E27C5C6" w14:textId="77777777" w:rsidTr="0072087E">
        <w:trPr>
          <w:trHeight w:val="665"/>
        </w:trPr>
        <w:tc>
          <w:tcPr>
            <w:tcW w:w="9047" w:type="dxa"/>
            <w:gridSpan w:val="3"/>
            <w:tcBorders>
              <w:top w:val="single" w:sz="12" w:space="0" w:color="auto"/>
            </w:tcBorders>
          </w:tcPr>
          <w:p w14:paraId="4BFA329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Date of search: 2018-9-19</w:t>
            </w:r>
          </w:p>
          <w:p w14:paraId="5873D10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Number of hits: 1042</w:t>
            </w:r>
          </w:p>
        </w:tc>
      </w:tr>
      <w:tr w:rsidR="001C1082" w:rsidRPr="003418D6" w14:paraId="2B1B484D" w14:textId="77777777" w:rsidTr="0072087E">
        <w:tc>
          <w:tcPr>
            <w:tcW w:w="557" w:type="dxa"/>
          </w:tcPr>
          <w:p w14:paraId="06DB25E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 </w:t>
            </w:r>
          </w:p>
        </w:tc>
        <w:tc>
          <w:tcPr>
            <w:tcW w:w="7230" w:type="dxa"/>
          </w:tcPr>
          <w:p w14:paraId="2049FB3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Stroke OR Strokes OR (Cerebrovascular Accident) OR (Cerebrovascular Accidents) OR CVA OR CVAs OR (Cerebrovascular Apoplexy) OR (Apoplexy, Cerebrovascular) OR (Vascular Accident, Brain) OR (Brain Vascular Accident) OR (Brain Vascular Accidents) OR (Vascular Accidents, Brain) OR (Cerebrovascular Stroke) OR (Cerebrovascular Strokes) OR (Stroke, Cerebrovascular) OR (Strokes, Cerebrovascular) OR Apoplexy OR (Cerebral Stroke) OR (Cerebral Strokes) OR (Stroke, Cerebral) OR (Strokes, Cerebral)</w:t>
            </w:r>
          </w:p>
        </w:tc>
        <w:tc>
          <w:tcPr>
            <w:tcW w:w="1260" w:type="dxa"/>
          </w:tcPr>
          <w:p w14:paraId="51364C5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285653</w:t>
            </w:r>
          </w:p>
        </w:tc>
      </w:tr>
      <w:tr w:rsidR="001C1082" w:rsidRPr="003418D6" w14:paraId="2AE30930" w14:textId="77777777" w:rsidTr="0072087E">
        <w:tc>
          <w:tcPr>
            <w:tcW w:w="557" w:type="dxa"/>
          </w:tcPr>
          <w:p w14:paraId="50B1694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2. </w:t>
            </w:r>
          </w:p>
        </w:tc>
        <w:tc>
          <w:tcPr>
            <w:tcW w:w="7230" w:type="dxa"/>
          </w:tcPr>
          <w:p w14:paraId="412057D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(Cerebrovascular Disorder) OR (Vascular Diseases, Intracranial) OR (Intracranial Vascular Disease)OR (Intracranial Vascular Diseases) OR (Vascular Disease, Intracranial) OR (Intracranial Vascular Disorders) OR "Intracranial Vascular Disorder) OR (Vascular Disorder, Intracranial) OR (Vascular Disorders, Intracranial) OR (Cerebrovascular Diseases) OR (Cerebrovascular Disease) OR (Disease, Cerebrovascular) OR (Diseases, Cerebrovascular) OR (Brain Vascular Disorders) OR (Brain Vascular Disorder) OR (Vascular Disorder, Brain) OR (Vascular Disorders, Brain) OR (Cerebrovascular Occlusion) OR (Cerebrovascular Occlusions) OR (Occlusion, Cerebrovascular) OR (Occlusions, Cerebrovascular) OR (Cerebrovascular Insufficiency) OR (Cerebrovascular Insufficiencies) OR (Insufficiencies, Cerebrovascular) OR (Insufficiency, Cerebrovascular)</w:t>
            </w:r>
          </w:p>
        </w:tc>
        <w:tc>
          <w:tcPr>
            <w:tcW w:w="1260" w:type="dxa"/>
          </w:tcPr>
          <w:p w14:paraId="10D7339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103256</w:t>
            </w:r>
          </w:p>
        </w:tc>
      </w:tr>
      <w:tr w:rsidR="001C1082" w:rsidRPr="003418D6" w14:paraId="4F6B6FEB" w14:textId="77777777" w:rsidTr="0072087E">
        <w:tc>
          <w:tcPr>
            <w:tcW w:w="557" w:type="dxa"/>
          </w:tcPr>
          <w:p w14:paraId="62E44E6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3. </w:t>
            </w:r>
          </w:p>
        </w:tc>
        <w:tc>
          <w:tcPr>
            <w:tcW w:w="7230" w:type="dxa"/>
          </w:tcPr>
          <w:p w14:paraId="6BA0A8B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 OR #2</w:t>
            </w:r>
          </w:p>
        </w:tc>
        <w:tc>
          <w:tcPr>
            <w:tcW w:w="1260" w:type="dxa"/>
          </w:tcPr>
          <w:p w14:paraId="0D74A85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350829</w:t>
            </w:r>
          </w:p>
        </w:tc>
      </w:tr>
      <w:tr w:rsidR="001C1082" w:rsidRPr="003418D6" w14:paraId="1968C928" w14:textId="77777777" w:rsidTr="0072087E">
        <w:tc>
          <w:tcPr>
            <w:tcW w:w="557" w:type="dxa"/>
          </w:tcPr>
          <w:p w14:paraId="67B16170" w14:textId="77777777" w:rsidR="001C1082" w:rsidRPr="003418D6" w:rsidRDefault="001C1082" w:rsidP="001C1082">
            <w:pPr>
              <w:spacing w:line="276" w:lineRule="auto"/>
              <w:rPr>
                <w:rFonts w:ascii="Arial" w:hAnsi="Arial" w:cs="Arial"/>
                <w:sz w:val="16"/>
                <w:szCs w:val="16"/>
                <w:lang w:val="en-US"/>
              </w:rPr>
            </w:pPr>
            <w:bookmarkStart w:id="2" w:name="_Hlk532409303"/>
            <w:r w:rsidRPr="003418D6">
              <w:rPr>
                <w:rFonts w:ascii="Arial" w:hAnsi="Arial" w:cs="Arial"/>
                <w:sz w:val="16"/>
                <w:szCs w:val="16"/>
                <w:lang w:val="en-US"/>
              </w:rPr>
              <w:t xml:space="preserve">4. </w:t>
            </w:r>
          </w:p>
        </w:tc>
        <w:tc>
          <w:tcPr>
            <w:tcW w:w="7230" w:type="dxa"/>
          </w:tcPr>
          <w:p w14:paraId="1AF3E214"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(Adrenergic beta-Antagonists) OR (Adrenergic beta Antagonists) OR (beta-Antagonists, Adrenergic) OR (beta-Adrenergic Receptor Blockaders) OR (Blockaders, beta-Adrenergic Receptor) OR (Receptor Blockaders, beta-Adrenergic) OR (beta Adrenergic Receptor Blockaders)  OR (beta-Adrenergic Blockers) OR (Blockers, beta-Adrenergic) OR (beta Adrenergic Blockers) OR (beta-Blockers, Adrenergic) OR (Adrenergic beta-Blockers) OR (beta Blockers, Adrenergic) OR (Adrenergic beta-Receptor Blockaders) OR (Adrenergic beta Receptor Blockaders) OR (Blockaders, Adrenergic beta-Receptor) OR (beta-Receptor Blockaders, Adrenergic) OR (beta-Adrenergic Blocking Agents) OR (Agents, beta-Adrenergic Blocking) OR (Blocking Agents, beta-Adrenergic) OR (beta Adrenergic Blocking Agents)</w:t>
            </w:r>
          </w:p>
        </w:tc>
        <w:tc>
          <w:tcPr>
            <w:tcW w:w="1260" w:type="dxa"/>
          </w:tcPr>
          <w:p w14:paraId="1934CB5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54190</w:t>
            </w:r>
          </w:p>
        </w:tc>
      </w:tr>
      <w:bookmarkEnd w:id="2"/>
      <w:tr w:rsidR="001C1082" w:rsidRPr="003418D6" w14:paraId="012611AF" w14:textId="77777777" w:rsidTr="0072087E">
        <w:tc>
          <w:tcPr>
            <w:tcW w:w="557" w:type="dxa"/>
          </w:tcPr>
          <w:p w14:paraId="63F9B82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5. </w:t>
            </w:r>
          </w:p>
        </w:tc>
        <w:tc>
          <w:tcPr>
            <w:tcW w:w="7230" w:type="dxa"/>
          </w:tcPr>
          <w:p w14:paraId="7E19B774"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(Treatment Outcome) OR (Outcome, Treatment) OR (Clinical Effectiveness) OR (Clinical </w:t>
            </w:r>
            <w:proofErr w:type="spellStart"/>
            <w:r w:rsidRPr="003418D6">
              <w:rPr>
                <w:rFonts w:ascii="Arial" w:hAnsi="Arial" w:cs="Arial"/>
                <w:sz w:val="16"/>
                <w:szCs w:val="16"/>
                <w:lang w:val="en-US"/>
              </w:rPr>
              <w:t>Effectivenesses</w:t>
            </w:r>
            <w:proofErr w:type="spellEnd"/>
            <w:r w:rsidRPr="003418D6">
              <w:rPr>
                <w:rFonts w:ascii="Arial" w:hAnsi="Arial" w:cs="Arial"/>
                <w:sz w:val="16"/>
                <w:szCs w:val="16"/>
                <w:lang w:val="en-US"/>
              </w:rPr>
              <w:t>) OR (Effectiveness, Clinical) OR (</w:t>
            </w:r>
            <w:proofErr w:type="spellStart"/>
            <w:r w:rsidRPr="003418D6">
              <w:rPr>
                <w:rFonts w:ascii="Arial" w:hAnsi="Arial" w:cs="Arial"/>
                <w:sz w:val="16"/>
                <w:szCs w:val="16"/>
                <w:lang w:val="en-US"/>
              </w:rPr>
              <w:t>Effectivenesses</w:t>
            </w:r>
            <w:proofErr w:type="spellEnd"/>
            <w:r w:rsidRPr="003418D6">
              <w:rPr>
                <w:rFonts w:ascii="Arial" w:hAnsi="Arial" w:cs="Arial"/>
                <w:sz w:val="16"/>
                <w:szCs w:val="16"/>
                <w:lang w:val="en-US"/>
              </w:rPr>
              <w:t>, Clinical) OR (Patient-Relevant Outcome) OR (Outcome, Patient-Relevant) OR (Outcomes, Patient-Relevant) OR (Patient Relevant Outcome) OR (Patient-Relevant Outcomes) OR (Clinical Efficacy) OR (Efficacy, Clinical) OR (Treatment Effectiveness) OR (Effectiveness, Treatment) OR (Treatment Efficacy) OR (Efficacy, Treatment) OR (Rehabilitation Outcome) OR (Outcome, Rehabilitation)</w:t>
            </w:r>
          </w:p>
        </w:tc>
        <w:tc>
          <w:tcPr>
            <w:tcW w:w="1260" w:type="dxa"/>
          </w:tcPr>
          <w:p w14:paraId="3B9FEBC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1752763</w:t>
            </w:r>
          </w:p>
        </w:tc>
      </w:tr>
      <w:tr w:rsidR="001C1082" w:rsidRPr="003418D6" w14:paraId="578A2C9A" w14:textId="77777777" w:rsidTr="0072087E">
        <w:tc>
          <w:tcPr>
            <w:tcW w:w="557" w:type="dxa"/>
          </w:tcPr>
          <w:p w14:paraId="2C8123DE" w14:textId="77777777" w:rsidR="001C1082" w:rsidRPr="003418D6" w:rsidRDefault="001C1082" w:rsidP="001C1082">
            <w:pPr>
              <w:spacing w:line="276" w:lineRule="auto"/>
              <w:rPr>
                <w:rFonts w:ascii="Arial" w:hAnsi="Arial" w:cs="Arial"/>
                <w:sz w:val="16"/>
                <w:szCs w:val="16"/>
                <w:lang w:val="en-US"/>
              </w:rPr>
            </w:pPr>
            <w:bookmarkStart w:id="3" w:name="_Hlk532410339"/>
            <w:r w:rsidRPr="003418D6">
              <w:rPr>
                <w:rFonts w:ascii="Arial" w:hAnsi="Arial" w:cs="Arial"/>
                <w:sz w:val="16"/>
                <w:szCs w:val="16"/>
                <w:lang w:val="en-US"/>
              </w:rPr>
              <w:t xml:space="preserve">6. </w:t>
            </w:r>
          </w:p>
        </w:tc>
        <w:tc>
          <w:tcPr>
            <w:tcW w:w="7230" w:type="dxa"/>
          </w:tcPr>
          <w:p w14:paraId="7149C574"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Mortality OR Mortalities OR (Case Fatality Rate) OR (Case Fatality Rates) OR (Rate, Case Fatality) OR (Rates, Case Fatality) OR (Mortality, Excess) OR (Excess Mortalities) OR (Mortalities, Excess) OR (Excess Mortality) OR (Decline, Mortality) OR (Declines, Mortality) OR (Mortality Declines) OR (Mortality Decline) OR (Mortality Determinants) OR (Determinant, Mortality) OR (Mortality Determinant) OR (Determinants, Mortality) OR (Mortality, Differential) OR (Differential Mortalities) OR (Mortalities, Differential) OR (Differential Mortality) OR (Age-Specific Death Rate) OR (Age-Specific Death Rates) OR (Death Rate, Age-Specific) OR (Death Rates, Age-Specific) OR (Rate, Age-Specific Death) OR (Rates, Age-Specific Death) OR (Age Specific Death Rate) OR (Death Rate) OR (Death Rates) OR (Rate, Death) OR (Rates, Death) OR (Mortality Rate) OR (Mortality Rates) OR (Rate, Mortality) OR (Rates, Mortality)</w:t>
            </w:r>
          </w:p>
        </w:tc>
        <w:tc>
          <w:tcPr>
            <w:tcW w:w="1260" w:type="dxa"/>
          </w:tcPr>
          <w:p w14:paraId="3628D54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1118253</w:t>
            </w:r>
          </w:p>
        </w:tc>
      </w:tr>
      <w:bookmarkEnd w:id="3"/>
      <w:tr w:rsidR="001C1082" w:rsidRPr="003418D6" w14:paraId="48BB3A18" w14:textId="77777777" w:rsidTr="0072087E">
        <w:tc>
          <w:tcPr>
            <w:tcW w:w="557" w:type="dxa"/>
          </w:tcPr>
          <w:p w14:paraId="6ADDF1C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7. </w:t>
            </w:r>
          </w:p>
        </w:tc>
        <w:tc>
          <w:tcPr>
            <w:tcW w:w="7230" w:type="dxa"/>
          </w:tcPr>
          <w:p w14:paraId="5F9227D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#5 OR #6</w:t>
            </w:r>
          </w:p>
        </w:tc>
        <w:tc>
          <w:tcPr>
            <w:tcW w:w="1260" w:type="dxa"/>
          </w:tcPr>
          <w:p w14:paraId="050FC31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2606116</w:t>
            </w:r>
          </w:p>
        </w:tc>
      </w:tr>
      <w:tr w:rsidR="001C1082" w:rsidRPr="003418D6" w14:paraId="56BCEBA5" w14:textId="77777777" w:rsidTr="0072087E">
        <w:tc>
          <w:tcPr>
            <w:tcW w:w="557" w:type="dxa"/>
          </w:tcPr>
          <w:p w14:paraId="51B0792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8. </w:t>
            </w:r>
          </w:p>
        </w:tc>
        <w:tc>
          <w:tcPr>
            <w:tcW w:w="7230" w:type="dxa"/>
          </w:tcPr>
          <w:p w14:paraId="7A254746"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 AND #4 AND #7</w:t>
            </w:r>
          </w:p>
        </w:tc>
        <w:tc>
          <w:tcPr>
            <w:tcW w:w="1260" w:type="dxa"/>
          </w:tcPr>
          <w:p w14:paraId="032C54C6"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1042</w:t>
            </w:r>
          </w:p>
        </w:tc>
      </w:tr>
      <w:bookmarkEnd w:id="1"/>
    </w:tbl>
    <w:p w14:paraId="28A9103B" w14:textId="77777777" w:rsidR="001C1082" w:rsidRPr="003418D6" w:rsidRDefault="001C1082" w:rsidP="001C1082">
      <w:pPr>
        <w:spacing w:line="276" w:lineRule="auto"/>
        <w:rPr>
          <w:rFonts w:ascii="Arial" w:hAnsi="Arial" w:cs="Arial"/>
          <w:sz w:val="16"/>
          <w:szCs w:val="16"/>
          <w:lang w:val="en-US"/>
        </w:rPr>
      </w:pPr>
    </w:p>
    <w:p w14:paraId="78E0788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br w:type="page"/>
      </w:r>
    </w:p>
    <w:tbl>
      <w:tblPr>
        <w:tblStyle w:val="TableGrid"/>
        <w:tblW w:w="0" w:type="auto"/>
        <w:tblInd w:w="-5" w:type="dxa"/>
        <w:tblLook w:val="04A0" w:firstRow="1" w:lastRow="0" w:firstColumn="1" w:lastColumn="0" w:noHBand="0" w:noVBand="1"/>
      </w:tblPr>
      <w:tblGrid>
        <w:gridCol w:w="557"/>
        <w:gridCol w:w="7230"/>
        <w:gridCol w:w="1260"/>
      </w:tblGrid>
      <w:tr w:rsidR="001C1082" w:rsidRPr="00A405FA" w14:paraId="689655B3" w14:textId="77777777" w:rsidTr="0072087E">
        <w:tc>
          <w:tcPr>
            <w:tcW w:w="9047" w:type="dxa"/>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tcPr>
          <w:p w14:paraId="567BDB3B" w14:textId="77777777" w:rsidR="001C1082" w:rsidRPr="003418D6" w:rsidRDefault="001C1082" w:rsidP="001C1082">
            <w:pPr>
              <w:spacing w:line="276" w:lineRule="auto"/>
              <w:rPr>
                <w:rFonts w:ascii="Arial" w:hAnsi="Arial" w:cs="Arial"/>
                <w:lang w:val="en-US"/>
              </w:rPr>
            </w:pPr>
            <w:r w:rsidRPr="003418D6">
              <w:rPr>
                <w:rFonts w:ascii="Arial" w:hAnsi="Arial" w:cs="Arial"/>
                <w:bCs/>
                <w:lang w:val="en-US"/>
              </w:rPr>
              <w:t xml:space="preserve">TABLE S3. </w:t>
            </w:r>
            <w:r w:rsidRPr="003418D6">
              <w:rPr>
                <w:rFonts w:ascii="Arial" w:hAnsi="Arial" w:cs="Arial"/>
                <w:lang w:val="en-US"/>
              </w:rPr>
              <w:t xml:space="preserve"> Search strategy in Scopus</w:t>
            </w:r>
          </w:p>
        </w:tc>
      </w:tr>
      <w:tr w:rsidR="001C1082" w:rsidRPr="00A405FA" w14:paraId="3446C6F6" w14:textId="77777777" w:rsidTr="0072087E">
        <w:trPr>
          <w:trHeight w:val="665"/>
        </w:trPr>
        <w:tc>
          <w:tcPr>
            <w:tcW w:w="9047" w:type="dxa"/>
            <w:gridSpan w:val="3"/>
            <w:tcBorders>
              <w:top w:val="single" w:sz="12" w:space="0" w:color="auto"/>
            </w:tcBorders>
          </w:tcPr>
          <w:p w14:paraId="6A62AA1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Date of search: 2018-9-19</w:t>
            </w:r>
          </w:p>
          <w:p w14:paraId="6624FE90"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Number of hits: 3477</w:t>
            </w:r>
          </w:p>
        </w:tc>
      </w:tr>
      <w:tr w:rsidR="001C1082" w:rsidRPr="003418D6" w14:paraId="009C3D29" w14:textId="77777777" w:rsidTr="0072087E">
        <w:tc>
          <w:tcPr>
            <w:tcW w:w="557" w:type="dxa"/>
          </w:tcPr>
          <w:p w14:paraId="1A4B8D6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 </w:t>
            </w:r>
          </w:p>
        </w:tc>
        <w:tc>
          <w:tcPr>
            <w:tcW w:w="7230" w:type="dxa"/>
          </w:tcPr>
          <w:p w14:paraId="5F7B9D0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stroke OR Strokes OR "Cerebrovascular Accident" OR "Cerebrovascular Accidents" OR CVA  OR CVAs OR "Cerebrovascular Apoplexy" OR "Apoplexy, Cerebrovascular" OR "Vascular Accident, Brain" OR "Brain Vascular Accident" OR "Brain Vascular Accidents" OR "Vascular Accidents, Brain" OR "Cerebrovascular Stroke" OR "Cerebrovascular Strokes" OR "Stroke, Cerebrovascular" OR "Strokes, Cerebrovascular" OR Apoplexy OR "Cerebral Stroke" OR "Cerebral Strokes" OR "Stroke, Cerebral" OR "Strokes, Cerebral"</w:t>
            </w:r>
          </w:p>
        </w:tc>
        <w:tc>
          <w:tcPr>
            <w:tcW w:w="1260" w:type="dxa"/>
          </w:tcPr>
          <w:p w14:paraId="2444DB4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1104917</w:t>
            </w:r>
          </w:p>
        </w:tc>
      </w:tr>
      <w:tr w:rsidR="001C1082" w:rsidRPr="003418D6" w14:paraId="35E0565E" w14:textId="77777777" w:rsidTr="0072087E">
        <w:tc>
          <w:tcPr>
            <w:tcW w:w="557" w:type="dxa"/>
          </w:tcPr>
          <w:p w14:paraId="04E2FAA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2. </w:t>
            </w:r>
          </w:p>
        </w:tc>
        <w:tc>
          <w:tcPr>
            <w:tcW w:w="7230" w:type="dxa"/>
          </w:tcPr>
          <w:p w14:paraId="12B5B6D4"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"Cerebrovascular Disorder" OR "Vascular Diseases, Intracranial" OR "Intracranial Vascular Disease" OR "Intracranial Vascular Diseases" OR "Vascular Disease, Intracranial" OR "Intracranial Vascular Disorders" OR "Intracranial Vascular Disorder" OR "Vascular Disorder, Intracranial" OR "Vascular Disorders, Intracranial" OR "Cerebrovascular Diseases" OR "Cerebrovascular Disease" OR "Disease, Cerebrovascular" OR "Diseases, Cerebrovascular" OR "Brain Vascular Disorders" OR "Brain Vascular Disorder" OR "Vascular Disorder, Brain" OR "Vascular Disorders, Brain" OR "Cerebrovascular Occlusion" OR "Cerebrovascular Occlusions" OR "Occlusion, Cerebrovascular" OR "Occlusions, Cerebrovascular" OR "Cerebrovascular Insufficiency" OR "Cerebrovascular Insufficiencies" OR "Insufficiencies, Cerebrovascular" OR "Insufficiency, Cerebrovascular"</w:t>
            </w:r>
          </w:p>
        </w:tc>
        <w:tc>
          <w:tcPr>
            <w:tcW w:w="1260" w:type="dxa"/>
          </w:tcPr>
          <w:p w14:paraId="603394C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213337</w:t>
            </w:r>
          </w:p>
        </w:tc>
      </w:tr>
      <w:tr w:rsidR="001C1082" w:rsidRPr="003418D6" w14:paraId="37038B76" w14:textId="77777777" w:rsidTr="0072087E">
        <w:tc>
          <w:tcPr>
            <w:tcW w:w="557" w:type="dxa"/>
          </w:tcPr>
          <w:p w14:paraId="7A5E34A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3. </w:t>
            </w:r>
          </w:p>
        </w:tc>
        <w:tc>
          <w:tcPr>
            <w:tcW w:w="7230" w:type="dxa"/>
          </w:tcPr>
          <w:p w14:paraId="0B16E91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 OR #2</w:t>
            </w:r>
          </w:p>
        </w:tc>
        <w:tc>
          <w:tcPr>
            <w:tcW w:w="1260" w:type="dxa"/>
          </w:tcPr>
          <w:p w14:paraId="08F841D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1164052</w:t>
            </w:r>
          </w:p>
        </w:tc>
      </w:tr>
      <w:tr w:rsidR="001C1082" w:rsidRPr="003418D6" w14:paraId="5834674C" w14:textId="77777777" w:rsidTr="0072087E">
        <w:tc>
          <w:tcPr>
            <w:tcW w:w="557" w:type="dxa"/>
          </w:tcPr>
          <w:p w14:paraId="1E09EEF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4. </w:t>
            </w:r>
          </w:p>
        </w:tc>
        <w:tc>
          <w:tcPr>
            <w:tcW w:w="7230" w:type="dxa"/>
          </w:tcPr>
          <w:p w14:paraId="7E21E71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"Adrenergic beta-Antagonists" OR "Adrenergic beta Antagonists" OR "beta-Antagonists, Adrenergic" OR "beta-Adrenergic Receptor Blockaders" OR "Blockaders, beta-Adrenergic Receptor" OR "Receptor Blockaders, beta-Adrenergic" OR "beta Adrenergic Receptor Blockaders" OR "beta-Adrenergic Blockers" OR "Blockers, beta-Adrenergic" OR "beta Adrenergic Blockers" OR "beta-Blockers, Adrenergic" OR "Adrenergic beta-Blockers" OR "beta Blockers, Adrenergic" OR "Adrenergic beta-Receptor Blockaders" OR "Adrenergic beta Receptor Blockaders" OR "Blockaders, Adrenergic beta-Receptor" OR "beta-Receptor Blockaders, Adrenergic" OR "beta-Adrenergic Blocking Agents" OR "Agents, beta-Adrenergic Blocking" OR "Blocking Agents, beta-Adrenergic" OR "beta Adrenergic Blocking Agents"</w:t>
            </w:r>
          </w:p>
        </w:tc>
        <w:tc>
          <w:tcPr>
            <w:tcW w:w="1260" w:type="dxa"/>
          </w:tcPr>
          <w:p w14:paraId="75ABBB1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47435</w:t>
            </w:r>
          </w:p>
        </w:tc>
      </w:tr>
      <w:tr w:rsidR="001C1082" w:rsidRPr="003418D6" w14:paraId="0861A8F2" w14:textId="77777777" w:rsidTr="0072087E">
        <w:tc>
          <w:tcPr>
            <w:tcW w:w="557" w:type="dxa"/>
          </w:tcPr>
          <w:p w14:paraId="6D6BACA4"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5. </w:t>
            </w:r>
          </w:p>
        </w:tc>
        <w:tc>
          <w:tcPr>
            <w:tcW w:w="7230" w:type="dxa"/>
          </w:tcPr>
          <w:p w14:paraId="56CB0E3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"Treatment Outcome" OR "Outcome, Treatment" OR "Clinical Effectiveness" OR "Clinical </w:t>
            </w:r>
            <w:proofErr w:type="spellStart"/>
            <w:r w:rsidRPr="003418D6">
              <w:rPr>
                <w:rFonts w:ascii="Arial" w:hAnsi="Arial" w:cs="Arial"/>
                <w:sz w:val="16"/>
                <w:szCs w:val="16"/>
                <w:lang w:val="en-US"/>
              </w:rPr>
              <w:t>Effectivenesses</w:t>
            </w:r>
            <w:proofErr w:type="spellEnd"/>
            <w:r w:rsidRPr="003418D6">
              <w:rPr>
                <w:rFonts w:ascii="Arial" w:hAnsi="Arial" w:cs="Arial"/>
                <w:sz w:val="16"/>
                <w:szCs w:val="16"/>
                <w:lang w:val="en-US"/>
              </w:rPr>
              <w:t>" OR "Effectiveness, Clinical" OR "</w:t>
            </w:r>
            <w:proofErr w:type="spellStart"/>
            <w:r w:rsidRPr="003418D6">
              <w:rPr>
                <w:rFonts w:ascii="Arial" w:hAnsi="Arial" w:cs="Arial"/>
                <w:sz w:val="16"/>
                <w:szCs w:val="16"/>
                <w:lang w:val="en-US"/>
              </w:rPr>
              <w:t>Effectivenesses</w:t>
            </w:r>
            <w:proofErr w:type="spellEnd"/>
            <w:r w:rsidRPr="003418D6">
              <w:rPr>
                <w:rFonts w:ascii="Arial" w:hAnsi="Arial" w:cs="Arial"/>
                <w:sz w:val="16"/>
                <w:szCs w:val="16"/>
                <w:lang w:val="en-US"/>
              </w:rPr>
              <w:t>, Clinical" OR "Patient-Relevant Outcome" OR "Outcome, Patient-Relevant" OR "Outcomes, Patient-Relevant" OR "Patient Relevant Outcome" OR "Patient-Relevant Outcomes" OR "Clinical Efficacy" OR "Efficacy, Clinical" OR "Treatment Effectiveness" OR "Effectiveness, Treatment" OR "Treatment Efficacy" OR "Efficacy, Treatment" OR "Rehabilitation Outcome" OR "Outcome, Rehabilitation"</w:t>
            </w:r>
          </w:p>
        </w:tc>
        <w:tc>
          <w:tcPr>
            <w:tcW w:w="1260" w:type="dxa"/>
          </w:tcPr>
          <w:p w14:paraId="46ECE03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1678803</w:t>
            </w:r>
          </w:p>
        </w:tc>
      </w:tr>
      <w:tr w:rsidR="001C1082" w:rsidRPr="003418D6" w14:paraId="2D7AD559" w14:textId="77777777" w:rsidTr="0072087E">
        <w:tc>
          <w:tcPr>
            <w:tcW w:w="557" w:type="dxa"/>
          </w:tcPr>
          <w:p w14:paraId="259B0A0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6. </w:t>
            </w:r>
          </w:p>
        </w:tc>
        <w:tc>
          <w:tcPr>
            <w:tcW w:w="7230" w:type="dxa"/>
          </w:tcPr>
          <w:p w14:paraId="47DC9EA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Mortality OR Mortalities OR "Case Fatality Rate" OR "Case Fatality Rates" OR "Rate, Case Fatality" OR "Rates, Case Fatality" OR "Mortality, Excess" OR "Excess Mortalities" OR "Mortalities, Excess" OR "Excess Mortality" OR "Decline, Mortality" OR "Declines, Mortality" OR "Mortality Declines" OR "Mortality Decline" OR "Mortality Determinants" OR "Determinant, Mortality" OR "Mortality Determinant" OR "Determinants, Mortality" OR "Mortality, Differential" OR "Differential Mortalities" OR "Mortalities, Differential" OR "Differential Mortality" OR "Age-Specific Death Rate" OR "Age-Specific Death Rates" OR "Death Rate, Age-Specific" OR "Death Rates, Age-Specific" OR "Rate, Age-Specific Death" OR "Rates, Age-Specific Death" OR "Age Specific Death Rate" OR "Death Rate" OR "Death Rates" OR "Rate, Death" OR "Rates, Death" OR "Mortality Rate" OR "Mortality Rates" OR "Rate, Mortality" OR "Rates, Mortality"</w:t>
            </w:r>
          </w:p>
        </w:tc>
        <w:tc>
          <w:tcPr>
            <w:tcW w:w="1260" w:type="dxa"/>
          </w:tcPr>
          <w:p w14:paraId="75BEA2DC"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2947434</w:t>
            </w:r>
          </w:p>
        </w:tc>
      </w:tr>
      <w:tr w:rsidR="001C1082" w:rsidRPr="003418D6" w14:paraId="23C18819" w14:textId="77777777" w:rsidTr="0072087E">
        <w:tc>
          <w:tcPr>
            <w:tcW w:w="557" w:type="dxa"/>
          </w:tcPr>
          <w:p w14:paraId="5C5781E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7. </w:t>
            </w:r>
          </w:p>
        </w:tc>
        <w:tc>
          <w:tcPr>
            <w:tcW w:w="7230" w:type="dxa"/>
          </w:tcPr>
          <w:p w14:paraId="241EB10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#5 OR #6</w:t>
            </w:r>
          </w:p>
        </w:tc>
        <w:tc>
          <w:tcPr>
            <w:tcW w:w="1260" w:type="dxa"/>
          </w:tcPr>
          <w:p w14:paraId="487AA2B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4258533</w:t>
            </w:r>
          </w:p>
        </w:tc>
      </w:tr>
      <w:tr w:rsidR="001C1082" w:rsidRPr="003418D6" w14:paraId="446DDDB4" w14:textId="77777777" w:rsidTr="0072087E">
        <w:tc>
          <w:tcPr>
            <w:tcW w:w="557" w:type="dxa"/>
          </w:tcPr>
          <w:p w14:paraId="528EE85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8. </w:t>
            </w:r>
          </w:p>
        </w:tc>
        <w:tc>
          <w:tcPr>
            <w:tcW w:w="7230" w:type="dxa"/>
          </w:tcPr>
          <w:p w14:paraId="4F7459D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 AND #4 AND #7</w:t>
            </w:r>
          </w:p>
        </w:tc>
        <w:tc>
          <w:tcPr>
            <w:tcW w:w="1260" w:type="dxa"/>
          </w:tcPr>
          <w:p w14:paraId="3DA6D609"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4196</w:t>
            </w:r>
          </w:p>
        </w:tc>
      </w:tr>
      <w:tr w:rsidR="001C1082" w:rsidRPr="003418D6" w14:paraId="56DE85FC" w14:textId="77777777" w:rsidTr="0072087E">
        <w:tc>
          <w:tcPr>
            <w:tcW w:w="557" w:type="dxa"/>
          </w:tcPr>
          <w:p w14:paraId="45DF125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8. </w:t>
            </w:r>
          </w:p>
        </w:tc>
        <w:tc>
          <w:tcPr>
            <w:tcW w:w="7230" w:type="dxa"/>
          </w:tcPr>
          <w:p w14:paraId="19CF662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 AND #4 AND #7 limited to journals in source type, medicine in subject area and English language</w:t>
            </w:r>
          </w:p>
        </w:tc>
        <w:tc>
          <w:tcPr>
            <w:tcW w:w="1260" w:type="dxa"/>
          </w:tcPr>
          <w:p w14:paraId="448FACA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3477</w:t>
            </w:r>
          </w:p>
        </w:tc>
      </w:tr>
    </w:tbl>
    <w:p w14:paraId="31C70B29" w14:textId="77777777" w:rsidR="001C1082" w:rsidRPr="003418D6" w:rsidRDefault="001C1082" w:rsidP="001C1082">
      <w:pPr>
        <w:spacing w:line="276" w:lineRule="auto"/>
        <w:rPr>
          <w:rFonts w:ascii="Arial" w:hAnsi="Arial" w:cs="Arial"/>
          <w:sz w:val="16"/>
          <w:szCs w:val="16"/>
          <w:lang w:val="en-US"/>
        </w:rPr>
      </w:pPr>
    </w:p>
    <w:p w14:paraId="3C03EBF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br w:type="page"/>
      </w:r>
    </w:p>
    <w:tbl>
      <w:tblPr>
        <w:tblStyle w:val="TableGrid"/>
        <w:tblW w:w="0" w:type="auto"/>
        <w:tblInd w:w="-5" w:type="dxa"/>
        <w:tblLook w:val="04A0" w:firstRow="1" w:lastRow="0" w:firstColumn="1" w:lastColumn="0" w:noHBand="0" w:noVBand="1"/>
      </w:tblPr>
      <w:tblGrid>
        <w:gridCol w:w="508"/>
        <w:gridCol w:w="6712"/>
        <w:gridCol w:w="850"/>
        <w:gridCol w:w="977"/>
      </w:tblGrid>
      <w:tr w:rsidR="001C1082" w:rsidRPr="00A405FA" w14:paraId="04C9D038" w14:textId="77777777" w:rsidTr="0072087E">
        <w:tc>
          <w:tcPr>
            <w:tcW w:w="8070" w:type="dxa"/>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tcPr>
          <w:p w14:paraId="7D80A59E" w14:textId="77777777" w:rsidR="001C1082" w:rsidRPr="003418D6" w:rsidRDefault="001C1082" w:rsidP="001C1082">
            <w:pPr>
              <w:spacing w:line="276" w:lineRule="auto"/>
              <w:rPr>
                <w:rFonts w:ascii="Arial" w:hAnsi="Arial" w:cs="Arial"/>
                <w:lang w:val="en-US"/>
              </w:rPr>
            </w:pPr>
            <w:r w:rsidRPr="003418D6">
              <w:rPr>
                <w:rFonts w:ascii="Arial" w:hAnsi="Arial" w:cs="Arial"/>
                <w:bCs/>
                <w:lang w:val="en-US"/>
              </w:rPr>
              <w:t>TABLE S4.</w:t>
            </w:r>
            <w:r w:rsidRPr="003418D6">
              <w:rPr>
                <w:rFonts w:ascii="Arial" w:hAnsi="Arial" w:cs="Arial"/>
                <w:lang w:val="en-US"/>
              </w:rPr>
              <w:t xml:space="preserve">  Search strategy in Cochrane</w:t>
            </w:r>
          </w:p>
        </w:tc>
        <w:tc>
          <w:tcPr>
            <w:tcW w:w="977" w:type="dxa"/>
            <w:tcBorders>
              <w:top w:val="single" w:sz="12" w:space="0" w:color="FFFFFF" w:themeColor="background1"/>
              <w:left w:val="single" w:sz="12" w:space="0" w:color="FFFFFF" w:themeColor="background1"/>
              <w:bottom w:val="single" w:sz="12" w:space="0" w:color="auto"/>
              <w:right w:val="single" w:sz="12" w:space="0" w:color="FFFFFF" w:themeColor="background1"/>
            </w:tcBorders>
          </w:tcPr>
          <w:p w14:paraId="4B5E8965" w14:textId="77777777" w:rsidR="001C1082" w:rsidRPr="003418D6" w:rsidRDefault="001C1082" w:rsidP="001C1082">
            <w:pPr>
              <w:spacing w:line="276" w:lineRule="auto"/>
              <w:rPr>
                <w:rFonts w:ascii="Arial" w:hAnsi="Arial" w:cs="Arial"/>
                <w:b/>
                <w:sz w:val="16"/>
                <w:szCs w:val="16"/>
                <w:lang w:val="en-US"/>
              </w:rPr>
            </w:pPr>
          </w:p>
        </w:tc>
      </w:tr>
      <w:tr w:rsidR="001C1082" w:rsidRPr="00A405FA" w14:paraId="76D5AAFF" w14:textId="77777777" w:rsidTr="0072087E">
        <w:trPr>
          <w:trHeight w:val="665"/>
        </w:trPr>
        <w:tc>
          <w:tcPr>
            <w:tcW w:w="9047" w:type="dxa"/>
            <w:gridSpan w:val="4"/>
            <w:tcBorders>
              <w:top w:val="single" w:sz="12" w:space="0" w:color="auto"/>
              <w:bottom w:val="single" w:sz="4" w:space="0" w:color="auto"/>
            </w:tcBorders>
          </w:tcPr>
          <w:p w14:paraId="4D45B6B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Date of search: 2018-9-19</w:t>
            </w:r>
          </w:p>
          <w:p w14:paraId="067FFB3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Number of hits: 37 reviews, 55 trials</w:t>
            </w:r>
          </w:p>
        </w:tc>
      </w:tr>
      <w:tr w:rsidR="001C1082" w:rsidRPr="003418D6" w14:paraId="737FB453" w14:textId="77777777" w:rsidTr="0072087E">
        <w:trPr>
          <w:trHeight w:val="665"/>
        </w:trPr>
        <w:tc>
          <w:tcPr>
            <w:tcW w:w="508" w:type="dxa"/>
            <w:tcBorders>
              <w:top w:val="single" w:sz="4" w:space="0" w:color="auto"/>
            </w:tcBorders>
          </w:tcPr>
          <w:p w14:paraId="7E0DEB0C"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 </w:t>
            </w:r>
          </w:p>
        </w:tc>
        <w:tc>
          <w:tcPr>
            <w:tcW w:w="6712" w:type="dxa"/>
            <w:tcBorders>
              <w:top w:val="single" w:sz="4" w:space="0" w:color="auto"/>
            </w:tcBorders>
          </w:tcPr>
          <w:p w14:paraId="76FF39A5" w14:textId="77777777" w:rsidR="001C1082" w:rsidRPr="003418D6" w:rsidRDefault="001C1082"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MeSH</w:t>
            </w:r>
            <w:proofErr w:type="spellEnd"/>
            <w:r w:rsidRPr="003418D6">
              <w:rPr>
                <w:rFonts w:ascii="Arial" w:hAnsi="Arial" w:cs="Arial"/>
                <w:sz w:val="16"/>
                <w:szCs w:val="16"/>
                <w:lang w:val="en-US"/>
              </w:rPr>
              <w:t xml:space="preserve"> Stroke </w:t>
            </w:r>
          </w:p>
        </w:tc>
        <w:tc>
          <w:tcPr>
            <w:tcW w:w="1827" w:type="dxa"/>
            <w:gridSpan w:val="2"/>
            <w:tcBorders>
              <w:top w:val="single" w:sz="4" w:space="0" w:color="auto"/>
            </w:tcBorders>
          </w:tcPr>
          <w:p w14:paraId="38536CBF"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7850</w:t>
            </w:r>
          </w:p>
        </w:tc>
      </w:tr>
      <w:tr w:rsidR="001C1082" w:rsidRPr="003418D6" w14:paraId="0EC4548E" w14:textId="77777777" w:rsidTr="0072087E">
        <w:tc>
          <w:tcPr>
            <w:tcW w:w="508" w:type="dxa"/>
          </w:tcPr>
          <w:p w14:paraId="0535C54C"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2. </w:t>
            </w:r>
          </w:p>
        </w:tc>
        <w:tc>
          <w:tcPr>
            <w:tcW w:w="6712" w:type="dxa"/>
          </w:tcPr>
          <w:p w14:paraId="7ADEB2DF"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stroke OR Strokes OR "Cerebrovascular Accident" OR "Cerebrovascular Accidents" OR CVA  OR CVAs OR "Cerebrovascular Apoplexy" OR "Apoplexy, Cerebrovascular" OR "Vascular Accident, Brain" OR "Brain Vascular Accident" OR "Brain Vascular Accidents" OR "Vascular Accidents, Brain" OR "Cerebrovascular Stroke" OR "Cerebrovascular Strokes" OR "Stroke, Cerebrovascular" OR "Strokes, Cerebrovascular" OR Apoplexy OR "Cerebral Stroke" OR "Cerebral Strokes" OR "Stroke, Cerebral" OR "Strokes, Cerebral"</w:t>
            </w:r>
          </w:p>
        </w:tc>
        <w:tc>
          <w:tcPr>
            <w:tcW w:w="1827" w:type="dxa"/>
            <w:gridSpan w:val="2"/>
          </w:tcPr>
          <w:p w14:paraId="4C81130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56511</w:t>
            </w:r>
          </w:p>
        </w:tc>
      </w:tr>
      <w:tr w:rsidR="001C1082" w:rsidRPr="003418D6" w14:paraId="387F1760" w14:textId="77777777" w:rsidTr="0072087E">
        <w:tc>
          <w:tcPr>
            <w:tcW w:w="508" w:type="dxa"/>
          </w:tcPr>
          <w:p w14:paraId="1CEC90F9"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w:t>
            </w:r>
          </w:p>
        </w:tc>
        <w:tc>
          <w:tcPr>
            <w:tcW w:w="6712" w:type="dxa"/>
          </w:tcPr>
          <w:p w14:paraId="3A825B9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 OR #2</w:t>
            </w:r>
          </w:p>
        </w:tc>
        <w:tc>
          <w:tcPr>
            <w:tcW w:w="1827" w:type="dxa"/>
            <w:gridSpan w:val="2"/>
          </w:tcPr>
          <w:p w14:paraId="35FFFC4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56779</w:t>
            </w:r>
          </w:p>
        </w:tc>
      </w:tr>
      <w:tr w:rsidR="001C1082" w:rsidRPr="003418D6" w14:paraId="6031DA36" w14:textId="77777777" w:rsidTr="0072087E">
        <w:tc>
          <w:tcPr>
            <w:tcW w:w="508" w:type="dxa"/>
          </w:tcPr>
          <w:p w14:paraId="7EB08BF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w:t>
            </w:r>
          </w:p>
        </w:tc>
        <w:tc>
          <w:tcPr>
            <w:tcW w:w="6712" w:type="dxa"/>
          </w:tcPr>
          <w:p w14:paraId="55F5CD75" w14:textId="77777777" w:rsidR="001C1082" w:rsidRPr="003418D6" w:rsidRDefault="001C1082"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MeSH</w:t>
            </w:r>
            <w:proofErr w:type="spellEnd"/>
            <w:r w:rsidRPr="003418D6">
              <w:rPr>
                <w:rFonts w:ascii="Arial" w:hAnsi="Arial" w:cs="Arial"/>
                <w:sz w:val="16"/>
                <w:szCs w:val="16"/>
                <w:lang w:val="en-US"/>
              </w:rPr>
              <w:t xml:space="preserve"> Cerebrovascular disorders</w:t>
            </w:r>
          </w:p>
        </w:tc>
        <w:tc>
          <w:tcPr>
            <w:tcW w:w="1827" w:type="dxa"/>
            <w:gridSpan w:val="2"/>
          </w:tcPr>
          <w:p w14:paraId="51D7D5CC"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12795</w:t>
            </w:r>
          </w:p>
        </w:tc>
      </w:tr>
      <w:tr w:rsidR="001C1082" w:rsidRPr="003418D6" w14:paraId="278D0E24" w14:textId="77777777" w:rsidTr="0072087E">
        <w:tc>
          <w:tcPr>
            <w:tcW w:w="508" w:type="dxa"/>
          </w:tcPr>
          <w:p w14:paraId="738D210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5. </w:t>
            </w:r>
          </w:p>
        </w:tc>
        <w:tc>
          <w:tcPr>
            <w:tcW w:w="6712" w:type="dxa"/>
          </w:tcPr>
          <w:p w14:paraId="083A155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"Cerebrovascular Disorder" OR "Vascular Diseases, Intracranial" OR "Intracranial Vascular Disease" OR "Intracranial Vascular Diseases" OR "Vascular Disease, Intracranial" OR "Intracranial Vascular Disorders" OR "Intracranial Vascular Disorder" OR "Vascular Disorder, Intracranial" OR "Vascular Disorders, Intracranial" OR "Cerebrovascular Diseases" OR "Cerebrovascular Disease" OR "Disease, Cerebrovascular" OR "Diseases, Cerebrovascular" OR "Brain Vascular Disorders" OR "Brain Vascular Disorder" OR "Vascular Disorder, Brain" OR "Vascular Disorders, Brain" OR "Cerebrovascular Occlusion" OR "Cerebrovascular Occlusions" OR "Occlusion, Cerebrovascular" OR "Occlusions, Cerebrovascular" OR "Cerebrovascular Insufficiency" OR "Cerebrovascular Insufficiencies" OR "Insufficiencies, Cerebrovascular" OR "Insufficiency, Cerebrovascular"</w:t>
            </w:r>
          </w:p>
        </w:tc>
        <w:tc>
          <w:tcPr>
            <w:tcW w:w="1827" w:type="dxa"/>
            <w:gridSpan w:val="2"/>
          </w:tcPr>
          <w:p w14:paraId="37508863"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5354</w:t>
            </w:r>
          </w:p>
        </w:tc>
      </w:tr>
      <w:tr w:rsidR="001C1082" w:rsidRPr="003418D6" w14:paraId="08CC1948" w14:textId="77777777" w:rsidTr="0072087E">
        <w:tc>
          <w:tcPr>
            <w:tcW w:w="508" w:type="dxa"/>
          </w:tcPr>
          <w:p w14:paraId="69643C30"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6. </w:t>
            </w:r>
          </w:p>
        </w:tc>
        <w:tc>
          <w:tcPr>
            <w:tcW w:w="6712" w:type="dxa"/>
          </w:tcPr>
          <w:p w14:paraId="4565F7B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 OR #5</w:t>
            </w:r>
          </w:p>
        </w:tc>
        <w:tc>
          <w:tcPr>
            <w:tcW w:w="1827" w:type="dxa"/>
            <w:gridSpan w:val="2"/>
          </w:tcPr>
          <w:p w14:paraId="73DD387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17102</w:t>
            </w:r>
          </w:p>
        </w:tc>
      </w:tr>
      <w:tr w:rsidR="001C1082" w:rsidRPr="003418D6" w14:paraId="52436177" w14:textId="77777777" w:rsidTr="0072087E">
        <w:tc>
          <w:tcPr>
            <w:tcW w:w="508" w:type="dxa"/>
          </w:tcPr>
          <w:p w14:paraId="18F28FF0"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7.</w:t>
            </w:r>
          </w:p>
        </w:tc>
        <w:tc>
          <w:tcPr>
            <w:tcW w:w="6712" w:type="dxa"/>
          </w:tcPr>
          <w:p w14:paraId="2C88A72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 OR #6</w:t>
            </w:r>
          </w:p>
        </w:tc>
        <w:tc>
          <w:tcPr>
            <w:tcW w:w="1827" w:type="dxa"/>
            <w:gridSpan w:val="2"/>
          </w:tcPr>
          <w:p w14:paraId="1182640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60485</w:t>
            </w:r>
          </w:p>
        </w:tc>
      </w:tr>
      <w:tr w:rsidR="001C1082" w:rsidRPr="003418D6" w14:paraId="75E7A134" w14:textId="77777777" w:rsidTr="0072087E">
        <w:tc>
          <w:tcPr>
            <w:tcW w:w="508" w:type="dxa"/>
          </w:tcPr>
          <w:p w14:paraId="7DFEE9A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8.</w:t>
            </w:r>
          </w:p>
        </w:tc>
        <w:tc>
          <w:tcPr>
            <w:tcW w:w="6712" w:type="dxa"/>
          </w:tcPr>
          <w:p w14:paraId="3757445A" w14:textId="77777777" w:rsidR="001C1082" w:rsidRPr="003418D6" w:rsidRDefault="001C1082"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MeSH</w:t>
            </w:r>
            <w:proofErr w:type="spellEnd"/>
            <w:r w:rsidRPr="003418D6">
              <w:rPr>
                <w:rFonts w:ascii="Arial" w:hAnsi="Arial" w:cs="Arial"/>
                <w:sz w:val="16"/>
                <w:szCs w:val="16"/>
                <w:lang w:val="en-US"/>
              </w:rPr>
              <w:t xml:space="preserve"> Adrenergic Beta-Antagonists Mesh</w:t>
            </w:r>
          </w:p>
        </w:tc>
        <w:tc>
          <w:tcPr>
            <w:tcW w:w="1827" w:type="dxa"/>
            <w:gridSpan w:val="2"/>
          </w:tcPr>
          <w:p w14:paraId="29E5F4A8"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4402</w:t>
            </w:r>
          </w:p>
        </w:tc>
      </w:tr>
      <w:tr w:rsidR="001C1082" w:rsidRPr="003418D6" w14:paraId="62D06B0B" w14:textId="77777777" w:rsidTr="0072087E">
        <w:tc>
          <w:tcPr>
            <w:tcW w:w="508" w:type="dxa"/>
          </w:tcPr>
          <w:p w14:paraId="52202F5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9. </w:t>
            </w:r>
          </w:p>
        </w:tc>
        <w:tc>
          <w:tcPr>
            <w:tcW w:w="6712" w:type="dxa"/>
          </w:tcPr>
          <w:p w14:paraId="37C5FD2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"Adrenergic beta-Antagonists" OR "Adrenergic beta Antagonists" OR "beta-Antagonists, Adrenergic" OR "beta-Adrenergic Receptor Blockaders" OR "Blockaders, beta-Adrenergic Receptor" OR "Receptor Blockaders, beta-Adrenergic" OR "beta Adrenergic Receptor Blockaders" OR "beta-Adrenergic Blockers" OR "Blockers, beta-Adrenergic" OR "beta Adrenergic Blockers" OR "beta-Blockers, Adrenergic" OR "Adrenergic beta-Blockers" OR "beta Blockers, Adrenergic" OR "Adrenergic beta-Receptor Blockaders" OR "Adrenergic beta Receptor Blockaders" OR "Blockaders, Adrenergic beta-Receptor" OR "beta-Receptor Blockaders, Adrenergic" OR "beta-Adrenergic Blocking Agents" OR "Agents, beta-Adrenergic Blocking" OR "Blocking Agents, beta-Adrenergic" OR "beta Adrenergic Blocking Agents"</w:t>
            </w:r>
          </w:p>
        </w:tc>
        <w:tc>
          <w:tcPr>
            <w:tcW w:w="1827" w:type="dxa"/>
            <w:gridSpan w:val="2"/>
          </w:tcPr>
          <w:p w14:paraId="418D3FAB"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4446</w:t>
            </w:r>
          </w:p>
        </w:tc>
      </w:tr>
      <w:tr w:rsidR="001C1082" w:rsidRPr="003418D6" w14:paraId="29B836C7" w14:textId="77777777" w:rsidTr="0072087E">
        <w:tc>
          <w:tcPr>
            <w:tcW w:w="508" w:type="dxa"/>
          </w:tcPr>
          <w:p w14:paraId="70A782B9"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10.</w:t>
            </w:r>
          </w:p>
        </w:tc>
        <w:tc>
          <w:tcPr>
            <w:tcW w:w="6712" w:type="dxa"/>
          </w:tcPr>
          <w:p w14:paraId="654EEB7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#8 OR #9</w:t>
            </w:r>
          </w:p>
        </w:tc>
        <w:tc>
          <w:tcPr>
            <w:tcW w:w="1827" w:type="dxa"/>
            <w:gridSpan w:val="2"/>
          </w:tcPr>
          <w:p w14:paraId="1FAC229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4615</w:t>
            </w:r>
          </w:p>
        </w:tc>
      </w:tr>
      <w:tr w:rsidR="001C1082" w:rsidRPr="003418D6" w14:paraId="29A9D009" w14:textId="77777777" w:rsidTr="0072087E">
        <w:tc>
          <w:tcPr>
            <w:tcW w:w="508" w:type="dxa"/>
          </w:tcPr>
          <w:p w14:paraId="1B1A390D"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11.</w:t>
            </w:r>
          </w:p>
        </w:tc>
        <w:tc>
          <w:tcPr>
            <w:tcW w:w="6712" w:type="dxa"/>
          </w:tcPr>
          <w:p w14:paraId="580B6982" w14:textId="77777777" w:rsidR="001C1082" w:rsidRPr="003418D6" w:rsidRDefault="001C1082"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MeSH</w:t>
            </w:r>
            <w:proofErr w:type="spellEnd"/>
            <w:r w:rsidRPr="003418D6">
              <w:rPr>
                <w:rFonts w:ascii="Arial" w:hAnsi="Arial" w:cs="Arial"/>
                <w:sz w:val="16"/>
                <w:szCs w:val="16"/>
                <w:lang w:val="en-US"/>
              </w:rPr>
              <w:t xml:space="preserve"> Treatment outcome</w:t>
            </w:r>
          </w:p>
        </w:tc>
        <w:tc>
          <w:tcPr>
            <w:tcW w:w="1827" w:type="dxa"/>
            <w:gridSpan w:val="2"/>
          </w:tcPr>
          <w:p w14:paraId="48DB8C7F"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122523</w:t>
            </w:r>
          </w:p>
        </w:tc>
      </w:tr>
      <w:tr w:rsidR="001C1082" w:rsidRPr="003418D6" w14:paraId="59087D78" w14:textId="77777777" w:rsidTr="0072087E">
        <w:tc>
          <w:tcPr>
            <w:tcW w:w="508" w:type="dxa"/>
          </w:tcPr>
          <w:p w14:paraId="729EB25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12. </w:t>
            </w:r>
          </w:p>
        </w:tc>
        <w:tc>
          <w:tcPr>
            <w:tcW w:w="6712" w:type="dxa"/>
          </w:tcPr>
          <w:p w14:paraId="4D2BF7D0"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"Treatment Outcome" OR "Outcome, Treatment" OR "Clinical Effectiveness" OR "Clinical </w:t>
            </w:r>
            <w:proofErr w:type="spellStart"/>
            <w:r w:rsidRPr="003418D6">
              <w:rPr>
                <w:rFonts w:ascii="Arial" w:hAnsi="Arial" w:cs="Arial"/>
                <w:sz w:val="16"/>
                <w:szCs w:val="16"/>
                <w:lang w:val="en-US"/>
              </w:rPr>
              <w:t>Effectivenesses</w:t>
            </w:r>
            <w:proofErr w:type="spellEnd"/>
            <w:r w:rsidRPr="003418D6">
              <w:rPr>
                <w:rFonts w:ascii="Arial" w:hAnsi="Arial" w:cs="Arial"/>
                <w:sz w:val="16"/>
                <w:szCs w:val="16"/>
                <w:lang w:val="en-US"/>
              </w:rPr>
              <w:t>" OR "Effectiveness, Clinical" OR "</w:t>
            </w:r>
            <w:proofErr w:type="spellStart"/>
            <w:r w:rsidRPr="003418D6">
              <w:rPr>
                <w:rFonts w:ascii="Arial" w:hAnsi="Arial" w:cs="Arial"/>
                <w:sz w:val="16"/>
                <w:szCs w:val="16"/>
                <w:lang w:val="en-US"/>
              </w:rPr>
              <w:t>Effectivenesses</w:t>
            </w:r>
            <w:proofErr w:type="spellEnd"/>
            <w:r w:rsidRPr="003418D6">
              <w:rPr>
                <w:rFonts w:ascii="Arial" w:hAnsi="Arial" w:cs="Arial"/>
                <w:sz w:val="16"/>
                <w:szCs w:val="16"/>
                <w:lang w:val="en-US"/>
              </w:rPr>
              <w:t>, Clinical" OR "Patient-Relevant Outcome" OR "Outcome, Patient-Relevant" OR "Outcomes, Patient-Relevant" OR "Patient Relevant Outcome" OR "Patient-Relevant Outcomes" OR "Clinical Efficacy" OR "Efficacy, Clinical" OR "Treatment Effectiveness" OR "Effectiveness, Treatment" OR "Treatment Efficacy" OR "Efficacy, Treatment" OR "Rehabilitation Outcome" OR "Outcome, Rehabilitation"</w:t>
            </w:r>
          </w:p>
        </w:tc>
        <w:tc>
          <w:tcPr>
            <w:tcW w:w="1827" w:type="dxa"/>
            <w:gridSpan w:val="2"/>
          </w:tcPr>
          <w:p w14:paraId="2ACEC280"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168067</w:t>
            </w:r>
          </w:p>
        </w:tc>
      </w:tr>
      <w:tr w:rsidR="001C1082" w:rsidRPr="003418D6" w14:paraId="2C4109D1" w14:textId="77777777" w:rsidTr="0072087E">
        <w:tc>
          <w:tcPr>
            <w:tcW w:w="508" w:type="dxa"/>
          </w:tcPr>
          <w:p w14:paraId="35C23DAF"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13.</w:t>
            </w:r>
          </w:p>
        </w:tc>
        <w:tc>
          <w:tcPr>
            <w:tcW w:w="6712" w:type="dxa"/>
          </w:tcPr>
          <w:p w14:paraId="77C53B49"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#11 OR #12</w:t>
            </w:r>
          </w:p>
        </w:tc>
        <w:tc>
          <w:tcPr>
            <w:tcW w:w="1827" w:type="dxa"/>
            <w:gridSpan w:val="2"/>
          </w:tcPr>
          <w:p w14:paraId="6480621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170526</w:t>
            </w:r>
          </w:p>
        </w:tc>
      </w:tr>
      <w:tr w:rsidR="001C1082" w:rsidRPr="003418D6" w14:paraId="4AA7A3A6" w14:textId="77777777" w:rsidTr="0072087E">
        <w:tc>
          <w:tcPr>
            <w:tcW w:w="508" w:type="dxa"/>
          </w:tcPr>
          <w:p w14:paraId="56226680"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14.</w:t>
            </w:r>
          </w:p>
        </w:tc>
        <w:tc>
          <w:tcPr>
            <w:tcW w:w="6712" w:type="dxa"/>
          </w:tcPr>
          <w:p w14:paraId="00C31299" w14:textId="77777777" w:rsidR="001C1082" w:rsidRPr="003418D6" w:rsidRDefault="001C1082"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MeSH</w:t>
            </w:r>
            <w:proofErr w:type="spellEnd"/>
            <w:r w:rsidRPr="003418D6">
              <w:rPr>
                <w:rFonts w:ascii="Arial" w:hAnsi="Arial" w:cs="Arial"/>
                <w:sz w:val="16"/>
                <w:szCs w:val="16"/>
                <w:lang w:val="en-US"/>
              </w:rPr>
              <w:t xml:space="preserve"> Mortality </w:t>
            </w:r>
          </w:p>
        </w:tc>
        <w:tc>
          <w:tcPr>
            <w:tcW w:w="1827" w:type="dxa"/>
            <w:gridSpan w:val="2"/>
          </w:tcPr>
          <w:p w14:paraId="56AD1FB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12376</w:t>
            </w:r>
          </w:p>
        </w:tc>
      </w:tr>
      <w:tr w:rsidR="001C1082" w:rsidRPr="003418D6" w14:paraId="1EC84E0B" w14:textId="77777777" w:rsidTr="0072087E">
        <w:tc>
          <w:tcPr>
            <w:tcW w:w="508" w:type="dxa"/>
          </w:tcPr>
          <w:p w14:paraId="1C3E04A1"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15 </w:t>
            </w:r>
          </w:p>
        </w:tc>
        <w:tc>
          <w:tcPr>
            <w:tcW w:w="6712" w:type="dxa"/>
          </w:tcPr>
          <w:p w14:paraId="1244487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Mortality OR Mortalities OR "Case Fatality Rate" OR "Case Fatality Rates" OR "Rate, Case Fatality" OR "Rates, Case Fatality" OR "Mortality, Excess" OR "Excess Mortalities" OR "Mortalities, Excess" OR "Excess Mortality" OR "Decline, Mortality" OR "Declines, Mortality" OR "Mortality Declines" OR "Mortality Decline" OR "Mortality Determinants" OR "Determinant, Mortality" OR "Mortality Determinant" OR "Determinants, Mortality" OR "Mortality, Differential" OR "Differential Mortalities" OR "Mortalities, Differential" OR "Differential Mortality" OR "Age-Specific Death Rate" OR "Age-Specific Death Rates" OR "Death Rate, Age-Specific" OR "Death Rates, Age-Specific" OR "Rate, Age-Specific Death" OR "Rates, Age-Specific Death" OR "Age Specific Death Rate" OR "Death Rate" OR "Death Rates" OR "Rate, Death" OR "Rates, Death" OR "Mortality Rate" OR "Mortality Rates" OR "Rate, Mortality" OR "Rates, Mortality"</w:t>
            </w:r>
          </w:p>
        </w:tc>
        <w:tc>
          <w:tcPr>
            <w:tcW w:w="1827" w:type="dxa"/>
            <w:gridSpan w:val="2"/>
          </w:tcPr>
          <w:p w14:paraId="609DBF7F"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72839</w:t>
            </w:r>
          </w:p>
        </w:tc>
      </w:tr>
      <w:tr w:rsidR="001C1082" w:rsidRPr="003418D6" w14:paraId="03DB0074" w14:textId="77777777" w:rsidTr="0072087E">
        <w:tc>
          <w:tcPr>
            <w:tcW w:w="508" w:type="dxa"/>
          </w:tcPr>
          <w:p w14:paraId="0566CCD9"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16.</w:t>
            </w:r>
          </w:p>
        </w:tc>
        <w:tc>
          <w:tcPr>
            <w:tcW w:w="6712" w:type="dxa"/>
          </w:tcPr>
          <w:p w14:paraId="53CD53EF"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#14 OR #15</w:t>
            </w:r>
          </w:p>
        </w:tc>
        <w:tc>
          <w:tcPr>
            <w:tcW w:w="1827" w:type="dxa"/>
            <w:gridSpan w:val="2"/>
          </w:tcPr>
          <w:p w14:paraId="0719CD06"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75261</w:t>
            </w:r>
          </w:p>
        </w:tc>
      </w:tr>
      <w:tr w:rsidR="001C1082" w:rsidRPr="003418D6" w14:paraId="0903B331" w14:textId="77777777" w:rsidTr="0072087E">
        <w:tc>
          <w:tcPr>
            <w:tcW w:w="508" w:type="dxa"/>
          </w:tcPr>
          <w:p w14:paraId="03AD0822"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17. </w:t>
            </w:r>
          </w:p>
        </w:tc>
        <w:tc>
          <w:tcPr>
            <w:tcW w:w="6712" w:type="dxa"/>
          </w:tcPr>
          <w:p w14:paraId="201DB75A"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#13 OR #16 </w:t>
            </w:r>
          </w:p>
        </w:tc>
        <w:tc>
          <w:tcPr>
            <w:tcW w:w="1827" w:type="dxa"/>
            <w:gridSpan w:val="2"/>
          </w:tcPr>
          <w:p w14:paraId="2F0FB79C"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226588</w:t>
            </w:r>
          </w:p>
        </w:tc>
      </w:tr>
      <w:tr w:rsidR="001C1082" w:rsidRPr="003418D6" w14:paraId="66CEDEF3" w14:textId="77777777" w:rsidTr="0072087E">
        <w:tc>
          <w:tcPr>
            <w:tcW w:w="508" w:type="dxa"/>
          </w:tcPr>
          <w:p w14:paraId="6DFE184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18. </w:t>
            </w:r>
          </w:p>
        </w:tc>
        <w:tc>
          <w:tcPr>
            <w:tcW w:w="6712" w:type="dxa"/>
          </w:tcPr>
          <w:p w14:paraId="47F5F51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#7 AND #10 AND #17</w:t>
            </w:r>
          </w:p>
        </w:tc>
        <w:tc>
          <w:tcPr>
            <w:tcW w:w="1827" w:type="dxa"/>
            <w:gridSpan w:val="2"/>
          </w:tcPr>
          <w:p w14:paraId="41C96906"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309</w:t>
            </w:r>
          </w:p>
        </w:tc>
      </w:tr>
      <w:tr w:rsidR="001C1082" w:rsidRPr="003418D6" w14:paraId="4F9E25E4" w14:textId="77777777" w:rsidTr="0072087E">
        <w:tc>
          <w:tcPr>
            <w:tcW w:w="508" w:type="dxa"/>
          </w:tcPr>
          <w:p w14:paraId="294BECF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19.</w:t>
            </w:r>
          </w:p>
        </w:tc>
        <w:tc>
          <w:tcPr>
            <w:tcW w:w="6712" w:type="dxa"/>
          </w:tcPr>
          <w:p w14:paraId="60CE8DA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 xml:space="preserve">#18 limited to Cochrane reviews </w:t>
            </w:r>
          </w:p>
        </w:tc>
        <w:tc>
          <w:tcPr>
            <w:tcW w:w="1827" w:type="dxa"/>
            <w:gridSpan w:val="2"/>
          </w:tcPr>
          <w:p w14:paraId="6F1D3C4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37</w:t>
            </w:r>
          </w:p>
        </w:tc>
      </w:tr>
      <w:tr w:rsidR="001C1082" w:rsidRPr="003418D6" w14:paraId="3255FAD1" w14:textId="77777777" w:rsidTr="0072087E">
        <w:tc>
          <w:tcPr>
            <w:tcW w:w="508" w:type="dxa"/>
          </w:tcPr>
          <w:p w14:paraId="01207B5E"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20.</w:t>
            </w:r>
          </w:p>
        </w:tc>
        <w:tc>
          <w:tcPr>
            <w:tcW w:w="6712" w:type="dxa"/>
          </w:tcPr>
          <w:p w14:paraId="562968F7"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#18 limited to Cochrane EMBASE trials</w:t>
            </w:r>
          </w:p>
        </w:tc>
        <w:tc>
          <w:tcPr>
            <w:tcW w:w="1827" w:type="dxa"/>
            <w:gridSpan w:val="2"/>
          </w:tcPr>
          <w:p w14:paraId="0DAC9ED5"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t>55</w:t>
            </w:r>
          </w:p>
        </w:tc>
      </w:tr>
    </w:tbl>
    <w:p w14:paraId="2783E890" w14:textId="77777777" w:rsidR="001C1082" w:rsidRPr="003418D6" w:rsidRDefault="001C1082" w:rsidP="001C1082">
      <w:pPr>
        <w:spacing w:line="276" w:lineRule="auto"/>
        <w:rPr>
          <w:rFonts w:ascii="Arial" w:hAnsi="Arial" w:cs="Arial"/>
          <w:sz w:val="16"/>
          <w:szCs w:val="16"/>
          <w:lang w:val="en-US"/>
        </w:rPr>
      </w:pPr>
      <w:r w:rsidRPr="003418D6">
        <w:rPr>
          <w:rFonts w:ascii="Arial" w:hAnsi="Arial" w:cs="Arial"/>
          <w:sz w:val="16"/>
          <w:szCs w:val="16"/>
          <w:lang w:val="en-US"/>
        </w:rPr>
        <w:br w:type="page"/>
      </w:r>
    </w:p>
    <w:tbl>
      <w:tblPr>
        <w:tblStyle w:val="TableGrid"/>
        <w:tblW w:w="9498" w:type="dxa"/>
        <w:tblLayout w:type="fixed"/>
        <w:tblLook w:val="04A0" w:firstRow="1" w:lastRow="0" w:firstColumn="1" w:lastColumn="0" w:noHBand="0" w:noVBand="1"/>
      </w:tblPr>
      <w:tblGrid>
        <w:gridCol w:w="851"/>
        <w:gridCol w:w="567"/>
        <w:gridCol w:w="567"/>
        <w:gridCol w:w="567"/>
        <w:gridCol w:w="567"/>
        <w:gridCol w:w="567"/>
        <w:gridCol w:w="567"/>
        <w:gridCol w:w="567"/>
        <w:gridCol w:w="567"/>
        <w:gridCol w:w="567"/>
        <w:gridCol w:w="425"/>
        <w:gridCol w:w="425"/>
        <w:gridCol w:w="567"/>
        <w:gridCol w:w="567"/>
        <w:gridCol w:w="426"/>
        <w:gridCol w:w="425"/>
        <w:gridCol w:w="709"/>
      </w:tblGrid>
      <w:tr w:rsidR="001C1082" w:rsidRPr="00A405FA" w14:paraId="103570B6" w14:textId="77777777" w:rsidTr="0072087E">
        <w:trPr>
          <w:trHeight w:val="249"/>
        </w:trPr>
        <w:tc>
          <w:tcPr>
            <w:tcW w:w="9498" w:type="dxa"/>
            <w:gridSpan w:val="17"/>
            <w:tcBorders>
              <w:top w:val="nil"/>
              <w:left w:val="nil"/>
              <w:bottom w:val="single" w:sz="2" w:space="0" w:color="auto"/>
              <w:right w:val="single" w:sz="12" w:space="0" w:color="FFFFFF" w:themeColor="background1"/>
            </w:tcBorders>
            <w:vAlign w:val="bottom"/>
          </w:tcPr>
          <w:p w14:paraId="0A7D9E7A" w14:textId="77777777" w:rsidR="001C1082" w:rsidRPr="008442F9" w:rsidRDefault="001C1082" w:rsidP="001C1082">
            <w:pPr>
              <w:spacing w:line="276" w:lineRule="auto"/>
              <w:rPr>
                <w:rFonts w:ascii="Arial" w:hAnsi="Arial" w:cs="Arial"/>
                <w:b/>
                <w:lang w:val="en-US"/>
              </w:rPr>
            </w:pPr>
            <w:r w:rsidRPr="003418D6">
              <w:rPr>
                <w:rFonts w:ascii="Arial" w:hAnsi="Arial" w:cs="Arial"/>
                <w:bCs/>
                <w:lang w:val="en-US"/>
              </w:rPr>
              <w:t>TABLE S5.</w:t>
            </w:r>
            <w:r w:rsidRPr="008442F9">
              <w:rPr>
                <w:rFonts w:ascii="Arial" w:hAnsi="Arial" w:cs="Arial"/>
                <w:b/>
                <w:lang w:val="en-US"/>
              </w:rPr>
              <w:t xml:space="preserve"> </w:t>
            </w:r>
            <w:r w:rsidRPr="008442F9">
              <w:rPr>
                <w:rFonts w:ascii="Arial" w:hAnsi="Arial" w:cs="Arial"/>
                <w:lang w:val="en-US"/>
              </w:rPr>
              <w:t>Characteristics of studies included in the meta-analysis</w:t>
            </w:r>
          </w:p>
        </w:tc>
      </w:tr>
      <w:tr w:rsidR="001C1082" w:rsidRPr="008442F9" w14:paraId="02E7D189" w14:textId="77777777" w:rsidTr="0072087E">
        <w:trPr>
          <w:trHeight w:val="249"/>
        </w:trPr>
        <w:tc>
          <w:tcPr>
            <w:tcW w:w="851" w:type="dxa"/>
            <w:vMerge w:val="restart"/>
            <w:tcBorders>
              <w:top w:val="single" w:sz="2" w:space="0" w:color="auto"/>
              <w:left w:val="nil"/>
              <w:right w:val="nil"/>
            </w:tcBorders>
            <w:vAlign w:val="bottom"/>
          </w:tcPr>
          <w:p w14:paraId="6D31A70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1st Author (Publication year)</w:t>
            </w:r>
          </w:p>
        </w:tc>
        <w:tc>
          <w:tcPr>
            <w:tcW w:w="567" w:type="dxa"/>
            <w:vMerge w:val="restart"/>
            <w:tcBorders>
              <w:top w:val="single" w:sz="2" w:space="0" w:color="auto"/>
              <w:left w:val="nil"/>
              <w:right w:val="nil"/>
            </w:tcBorders>
            <w:vAlign w:val="bottom"/>
          </w:tcPr>
          <w:p w14:paraId="24E2424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Study design</w:t>
            </w:r>
          </w:p>
        </w:tc>
        <w:tc>
          <w:tcPr>
            <w:tcW w:w="567" w:type="dxa"/>
            <w:vMerge w:val="restart"/>
            <w:tcBorders>
              <w:top w:val="single" w:sz="2" w:space="0" w:color="auto"/>
              <w:left w:val="nil"/>
              <w:bottom w:val="single" w:sz="12" w:space="0" w:color="auto"/>
              <w:right w:val="nil"/>
            </w:tcBorders>
            <w:vAlign w:val="bottom"/>
          </w:tcPr>
          <w:p w14:paraId="1715DCF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Study population</w:t>
            </w:r>
          </w:p>
        </w:tc>
        <w:tc>
          <w:tcPr>
            <w:tcW w:w="1701" w:type="dxa"/>
            <w:gridSpan w:val="3"/>
            <w:tcBorders>
              <w:top w:val="single" w:sz="2" w:space="0" w:color="auto"/>
              <w:left w:val="nil"/>
              <w:bottom w:val="single" w:sz="12" w:space="0" w:color="auto"/>
              <w:right w:val="single" w:sz="12" w:space="0" w:color="FFFFFF" w:themeColor="background1"/>
            </w:tcBorders>
            <w:vAlign w:val="bottom"/>
          </w:tcPr>
          <w:p w14:paraId="3CC9A4AD" w14:textId="77777777" w:rsidR="001C1082" w:rsidRPr="008442F9" w:rsidRDefault="001C1082" w:rsidP="001C1082">
            <w:pPr>
              <w:spacing w:line="276" w:lineRule="auto"/>
              <w:rPr>
                <w:rFonts w:ascii="Arial" w:hAnsi="Arial" w:cs="Arial"/>
                <w:b/>
                <w:sz w:val="10"/>
                <w:szCs w:val="10"/>
                <w:lang w:val="en-US"/>
              </w:rPr>
            </w:pPr>
            <w:r w:rsidRPr="008442F9">
              <w:rPr>
                <w:rFonts w:ascii="Arial" w:hAnsi="Arial" w:cs="Arial"/>
                <w:b/>
                <w:sz w:val="10"/>
                <w:szCs w:val="10"/>
                <w:lang w:val="en-US"/>
              </w:rPr>
              <w:t>Mortality</w:t>
            </w:r>
          </w:p>
        </w:tc>
        <w:tc>
          <w:tcPr>
            <w:tcW w:w="567" w:type="dxa"/>
            <w:tcBorders>
              <w:top w:val="single" w:sz="2" w:space="0" w:color="auto"/>
              <w:left w:val="single" w:sz="12" w:space="0" w:color="FFFFFF" w:themeColor="background1"/>
              <w:bottom w:val="single" w:sz="12" w:space="0" w:color="auto"/>
              <w:right w:val="single" w:sz="12" w:space="0" w:color="FFFFFF" w:themeColor="background1"/>
            </w:tcBorders>
          </w:tcPr>
          <w:p w14:paraId="1EBF5140" w14:textId="77777777" w:rsidR="001C1082" w:rsidRPr="008442F9" w:rsidRDefault="001C1082" w:rsidP="001C1082">
            <w:pPr>
              <w:spacing w:line="276" w:lineRule="auto"/>
              <w:rPr>
                <w:rFonts w:ascii="Arial" w:hAnsi="Arial" w:cs="Arial"/>
                <w:b/>
                <w:sz w:val="10"/>
                <w:szCs w:val="10"/>
                <w:lang w:val="en-US"/>
              </w:rPr>
            </w:pPr>
          </w:p>
        </w:tc>
        <w:tc>
          <w:tcPr>
            <w:tcW w:w="1701" w:type="dxa"/>
            <w:gridSpan w:val="3"/>
            <w:tcBorders>
              <w:top w:val="single" w:sz="2" w:space="0" w:color="auto"/>
              <w:left w:val="single" w:sz="12" w:space="0" w:color="FFFFFF" w:themeColor="background1"/>
              <w:bottom w:val="single" w:sz="12" w:space="0" w:color="auto"/>
              <w:right w:val="single" w:sz="12" w:space="0" w:color="FFFFFF" w:themeColor="background1"/>
            </w:tcBorders>
            <w:vAlign w:val="bottom"/>
          </w:tcPr>
          <w:p w14:paraId="2C9CB3E8" w14:textId="77777777" w:rsidR="001C1082" w:rsidRPr="008442F9" w:rsidRDefault="001C1082" w:rsidP="001C1082">
            <w:pPr>
              <w:spacing w:line="276" w:lineRule="auto"/>
              <w:rPr>
                <w:rFonts w:ascii="Arial" w:hAnsi="Arial" w:cs="Arial"/>
                <w:b/>
                <w:sz w:val="10"/>
                <w:szCs w:val="10"/>
                <w:lang w:val="en-US"/>
              </w:rPr>
            </w:pPr>
            <w:r w:rsidRPr="008442F9">
              <w:rPr>
                <w:rFonts w:ascii="Arial" w:hAnsi="Arial" w:cs="Arial"/>
                <w:b/>
                <w:sz w:val="10"/>
                <w:szCs w:val="10"/>
                <w:lang w:val="en-US"/>
              </w:rPr>
              <w:t>Functional outcome</w:t>
            </w:r>
          </w:p>
        </w:tc>
        <w:tc>
          <w:tcPr>
            <w:tcW w:w="425" w:type="dxa"/>
            <w:tcBorders>
              <w:top w:val="single" w:sz="2" w:space="0" w:color="auto"/>
              <w:left w:val="single" w:sz="12" w:space="0" w:color="FFFFFF" w:themeColor="background1"/>
              <w:bottom w:val="single" w:sz="12" w:space="0" w:color="auto"/>
              <w:right w:val="single" w:sz="12" w:space="0" w:color="FFFFFF" w:themeColor="background1"/>
            </w:tcBorders>
          </w:tcPr>
          <w:p w14:paraId="12AE92D7" w14:textId="77777777" w:rsidR="001C1082" w:rsidRPr="008442F9" w:rsidRDefault="001C1082" w:rsidP="001C1082">
            <w:pPr>
              <w:spacing w:line="276" w:lineRule="auto"/>
              <w:rPr>
                <w:rFonts w:ascii="Arial" w:hAnsi="Arial" w:cs="Arial"/>
                <w:b/>
                <w:sz w:val="10"/>
                <w:szCs w:val="10"/>
                <w:lang w:val="en-US"/>
              </w:rPr>
            </w:pPr>
          </w:p>
        </w:tc>
        <w:tc>
          <w:tcPr>
            <w:tcW w:w="425" w:type="dxa"/>
            <w:tcBorders>
              <w:top w:val="single" w:sz="2" w:space="0" w:color="auto"/>
              <w:left w:val="single" w:sz="12" w:space="0" w:color="FFFFFF" w:themeColor="background1"/>
              <w:bottom w:val="single" w:sz="12" w:space="0" w:color="auto"/>
              <w:right w:val="single" w:sz="12" w:space="0" w:color="FFFFFF" w:themeColor="background1"/>
            </w:tcBorders>
          </w:tcPr>
          <w:p w14:paraId="4E44077D" w14:textId="77777777" w:rsidR="001C1082" w:rsidRPr="008442F9" w:rsidRDefault="001C1082" w:rsidP="001C1082">
            <w:pPr>
              <w:spacing w:line="276" w:lineRule="auto"/>
              <w:rPr>
                <w:rFonts w:ascii="Arial" w:hAnsi="Arial" w:cs="Arial"/>
                <w:b/>
                <w:sz w:val="10"/>
                <w:szCs w:val="10"/>
                <w:lang w:val="en-US"/>
              </w:rPr>
            </w:pPr>
          </w:p>
        </w:tc>
        <w:tc>
          <w:tcPr>
            <w:tcW w:w="1560" w:type="dxa"/>
            <w:gridSpan w:val="3"/>
            <w:tcBorders>
              <w:top w:val="single" w:sz="2" w:space="0" w:color="auto"/>
              <w:left w:val="single" w:sz="12" w:space="0" w:color="FFFFFF" w:themeColor="background1"/>
              <w:bottom w:val="single" w:sz="12" w:space="0" w:color="auto"/>
              <w:right w:val="single" w:sz="12" w:space="0" w:color="FFFFFF" w:themeColor="background1"/>
            </w:tcBorders>
            <w:vAlign w:val="bottom"/>
          </w:tcPr>
          <w:p w14:paraId="22E027E5" w14:textId="77777777" w:rsidR="001C1082" w:rsidRPr="008442F9" w:rsidRDefault="001C1082" w:rsidP="001C1082">
            <w:pPr>
              <w:spacing w:line="276" w:lineRule="auto"/>
              <w:rPr>
                <w:rFonts w:ascii="Arial" w:hAnsi="Arial" w:cs="Arial"/>
                <w:b/>
                <w:sz w:val="10"/>
                <w:szCs w:val="10"/>
                <w:lang w:val="en-US"/>
              </w:rPr>
            </w:pPr>
            <w:r w:rsidRPr="008442F9">
              <w:rPr>
                <w:rFonts w:ascii="Arial" w:hAnsi="Arial" w:cs="Arial"/>
                <w:b/>
                <w:sz w:val="10"/>
                <w:szCs w:val="10"/>
                <w:lang w:val="en-US"/>
              </w:rPr>
              <w:t>Infection</w:t>
            </w:r>
          </w:p>
        </w:tc>
        <w:tc>
          <w:tcPr>
            <w:tcW w:w="425" w:type="dxa"/>
            <w:tcBorders>
              <w:top w:val="single" w:sz="2" w:space="0" w:color="auto"/>
              <w:left w:val="single" w:sz="12" w:space="0" w:color="FFFFFF" w:themeColor="background1"/>
              <w:bottom w:val="single" w:sz="12" w:space="0" w:color="auto"/>
              <w:right w:val="single" w:sz="12" w:space="0" w:color="FFFFFF" w:themeColor="background1"/>
            </w:tcBorders>
          </w:tcPr>
          <w:p w14:paraId="0C673BBC" w14:textId="77777777" w:rsidR="001C1082" w:rsidRPr="008442F9" w:rsidRDefault="001C1082" w:rsidP="001C1082">
            <w:pPr>
              <w:spacing w:line="276" w:lineRule="auto"/>
              <w:rPr>
                <w:rFonts w:ascii="Arial" w:hAnsi="Arial" w:cs="Arial"/>
                <w:b/>
                <w:sz w:val="10"/>
                <w:szCs w:val="10"/>
                <w:lang w:val="en-US"/>
              </w:rPr>
            </w:pPr>
          </w:p>
        </w:tc>
        <w:tc>
          <w:tcPr>
            <w:tcW w:w="709" w:type="dxa"/>
            <w:tcBorders>
              <w:top w:val="single" w:sz="2" w:space="0" w:color="auto"/>
              <w:left w:val="single" w:sz="12" w:space="0" w:color="FFFFFF" w:themeColor="background1"/>
              <w:bottom w:val="single" w:sz="12" w:space="0" w:color="auto"/>
              <w:right w:val="single" w:sz="12" w:space="0" w:color="FFFFFF" w:themeColor="background1"/>
            </w:tcBorders>
          </w:tcPr>
          <w:p w14:paraId="6F6B4FF8" w14:textId="77777777" w:rsidR="001C1082" w:rsidRPr="008442F9" w:rsidRDefault="001C1082" w:rsidP="001C1082">
            <w:pPr>
              <w:spacing w:line="276" w:lineRule="auto"/>
              <w:rPr>
                <w:rFonts w:ascii="Arial" w:hAnsi="Arial" w:cs="Arial"/>
                <w:b/>
                <w:sz w:val="10"/>
                <w:szCs w:val="10"/>
                <w:lang w:val="en-US"/>
              </w:rPr>
            </w:pPr>
          </w:p>
        </w:tc>
      </w:tr>
      <w:tr w:rsidR="001C1082" w:rsidRPr="008442F9" w14:paraId="3E0E5744" w14:textId="77777777" w:rsidTr="0072087E">
        <w:tc>
          <w:tcPr>
            <w:tcW w:w="851" w:type="dxa"/>
            <w:vMerge/>
            <w:tcBorders>
              <w:left w:val="nil"/>
              <w:right w:val="nil"/>
            </w:tcBorders>
            <w:vAlign w:val="bottom"/>
          </w:tcPr>
          <w:p w14:paraId="125E32BD" w14:textId="77777777" w:rsidR="001C1082" w:rsidRPr="008442F9" w:rsidRDefault="001C1082" w:rsidP="001C1082">
            <w:pPr>
              <w:spacing w:line="276" w:lineRule="auto"/>
              <w:rPr>
                <w:rFonts w:ascii="Arial" w:hAnsi="Arial" w:cs="Arial"/>
                <w:sz w:val="10"/>
                <w:szCs w:val="10"/>
                <w:lang w:val="en-US"/>
              </w:rPr>
            </w:pPr>
          </w:p>
        </w:tc>
        <w:tc>
          <w:tcPr>
            <w:tcW w:w="567" w:type="dxa"/>
            <w:vMerge/>
            <w:tcBorders>
              <w:left w:val="nil"/>
              <w:right w:val="nil"/>
            </w:tcBorders>
            <w:vAlign w:val="bottom"/>
          </w:tcPr>
          <w:p w14:paraId="42CD3875" w14:textId="77777777" w:rsidR="001C1082" w:rsidRPr="008442F9" w:rsidRDefault="001C1082" w:rsidP="001C1082">
            <w:pPr>
              <w:spacing w:line="276" w:lineRule="auto"/>
              <w:rPr>
                <w:rFonts w:ascii="Arial" w:hAnsi="Arial" w:cs="Arial"/>
                <w:sz w:val="10"/>
                <w:szCs w:val="10"/>
                <w:lang w:val="en-US"/>
              </w:rPr>
            </w:pPr>
          </w:p>
        </w:tc>
        <w:tc>
          <w:tcPr>
            <w:tcW w:w="567" w:type="dxa"/>
            <w:vMerge/>
            <w:tcBorders>
              <w:top w:val="single" w:sz="12" w:space="0" w:color="auto"/>
              <w:left w:val="nil"/>
              <w:bottom w:val="single" w:sz="12" w:space="0" w:color="auto"/>
              <w:right w:val="single" w:sz="12" w:space="0" w:color="auto"/>
            </w:tcBorders>
            <w:vAlign w:val="bottom"/>
          </w:tcPr>
          <w:p w14:paraId="55FBA909" w14:textId="77777777" w:rsidR="001C1082" w:rsidRPr="008442F9" w:rsidRDefault="001C1082" w:rsidP="001C1082">
            <w:pPr>
              <w:spacing w:line="276" w:lineRule="auto"/>
              <w:rPr>
                <w:rFonts w:ascii="Arial" w:hAnsi="Arial" w:cs="Arial"/>
                <w:sz w:val="10"/>
                <w:szCs w:val="10"/>
                <w:lang w:val="en-US"/>
              </w:rPr>
            </w:pPr>
          </w:p>
        </w:tc>
        <w:tc>
          <w:tcPr>
            <w:tcW w:w="567" w:type="dxa"/>
            <w:tcBorders>
              <w:top w:val="single" w:sz="12" w:space="0" w:color="auto"/>
              <w:left w:val="single" w:sz="12" w:space="0" w:color="auto"/>
            </w:tcBorders>
            <w:vAlign w:val="bottom"/>
          </w:tcPr>
          <w:p w14:paraId="3290918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Intervention</w:t>
            </w:r>
          </w:p>
        </w:tc>
        <w:tc>
          <w:tcPr>
            <w:tcW w:w="567" w:type="dxa"/>
            <w:tcBorders>
              <w:top w:val="single" w:sz="12" w:space="0" w:color="auto"/>
            </w:tcBorders>
            <w:vAlign w:val="bottom"/>
          </w:tcPr>
          <w:p w14:paraId="6F2B473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Comparison</w:t>
            </w:r>
          </w:p>
        </w:tc>
        <w:tc>
          <w:tcPr>
            <w:tcW w:w="567" w:type="dxa"/>
            <w:vMerge w:val="restart"/>
            <w:tcBorders>
              <w:top w:val="single" w:sz="12" w:space="0" w:color="auto"/>
              <w:right w:val="single" w:sz="4" w:space="0" w:color="auto"/>
            </w:tcBorders>
            <w:vAlign w:val="bottom"/>
          </w:tcPr>
          <w:p w14:paraId="6A58407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OR/RR/HR</w:t>
            </w:r>
          </w:p>
          <w:p w14:paraId="56AE826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(95% CI)</w:t>
            </w:r>
          </w:p>
        </w:tc>
        <w:tc>
          <w:tcPr>
            <w:tcW w:w="567" w:type="dxa"/>
            <w:vMerge w:val="restart"/>
            <w:tcBorders>
              <w:top w:val="single" w:sz="12" w:space="0" w:color="auto"/>
              <w:left w:val="single" w:sz="4" w:space="0" w:color="auto"/>
              <w:right w:val="single" w:sz="12" w:space="0" w:color="auto"/>
            </w:tcBorders>
            <w:vAlign w:val="bottom"/>
          </w:tcPr>
          <w:p w14:paraId="7FCC98F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Follow-up time</w:t>
            </w:r>
          </w:p>
        </w:tc>
        <w:tc>
          <w:tcPr>
            <w:tcW w:w="567" w:type="dxa"/>
            <w:tcBorders>
              <w:top w:val="single" w:sz="12" w:space="0" w:color="auto"/>
              <w:left w:val="single" w:sz="12" w:space="0" w:color="auto"/>
            </w:tcBorders>
            <w:vAlign w:val="bottom"/>
          </w:tcPr>
          <w:p w14:paraId="6714C10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Intervention</w:t>
            </w:r>
          </w:p>
        </w:tc>
        <w:tc>
          <w:tcPr>
            <w:tcW w:w="567" w:type="dxa"/>
            <w:tcBorders>
              <w:top w:val="single" w:sz="12" w:space="0" w:color="auto"/>
            </w:tcBorders>
            <w:vAlign w:val="bottom"/>
          </w:tcPr>
          <w:p w14:paraId="223EE5A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Comparison</w:t>
            </w:r>
          </w:p>
        </w:tc>
        <w:tc>
          <w:tcPr>
            <w:tcW w:w="567" w:type="dxa"/>
            <w:vMerge w:val="restart"/>
            <w:tcBorders>
              <w:top w:val="single" w:sz="12" w:space="0" w:color="auto"/>
              <w:right w:val="single" w:sz="2" w:space="0" w:color="auto"/>
            </w:tcBorders>
            <w:vAlign w:val="bottom"/>
          </w:tcPr>
          <w:p w14:paraId="61FD91B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OR/RR (95% CI)</w:t>
            </w:r>
          </w:p>
        </w:tc>
        <w:tc>
          <w:tcPr>
            <w:tcW w:w="425" w:type="dxa"/>
            <w:vMerge w:val="restart"/>
            <w:tcBorders>
              <w:top w:val="single" w:sz="12" w:space="0" w:color="auto"/>
              <w:left w:val="single" w:sz="2" w:space="0" w:color="auto"/>
              <w:right w:val="single" w:sz="2" w:space="0" w:color="auto"/>
            </w:tcBorders>
            <w:vAlign w:val="bottom"/>
          </w:tcPr>
          <w:p w14:paraId="57CBBC9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Definition poor functional outcome</w:t>
            </w:r>
          </w:p>
        </w:tc>
        <w:tc>
          <w:tcPr>
            <w:tcW w:w="425" w:type="dxa"/>
            <w:vMerge w:val="restart"/>
            <w:tcBorders>
              <w:top w:val="single" w:sz="12" w:space="0" w:color="auto"/>
              <w:left w:val="single" w:sz="2" w:space="0" w:color="auto"/>
              <w:right w:val="single" w:sz="12" w:space="0" w:color="auto"/>
            </w:tcBorders>
            <w:vAlign w:val="bottom"/>
          </w:tcPr>
          <w:p w14:paraId="3E1000D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Follow-up time</w:t>
            </w:r>
          </w:p>
        </w:tc>
        <w:tc>
          <w:tcPr>
            <w:tcW w:w="567" w:type="dxa"/>
            <w:tcBorders>
              <w:top w:val="single" w:sz="12" w:space="0" w:color="auto"/>
              <w:left w:val="single" w:sz="12" w:space="0" w:color="auto"/>
            </w:tcBorders>
            <w:vAlign w:val="bottom"/>
          </w:tcPr>
          <w:p w14:paraId="06FE2E1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Intervention</w:t>
            </w:r>
          </w:p>
        </w:tc>
        <w:tc>
          <w:tcPr>
            <w:tcW w:w="567" w:type="dxa"/>
            <w:tcBorders>
              <w:top w:val="single" w:sz="12" w:space="0" w:color="auto"/>
            </w:tcBorders>
            <w:vAlign w:val="bottom"/>
          </w:tcPr>
          <w:p w14:paraId="603A582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Comparison</w:t>
            </w:r>
          </w:p>
        </w:tc>
        <w:tc>
          <w:tcPr>
            <w:tcW w:w="426" w:type="dxa"/>
            <w:vMerge w:val="restart"/>
            <w:tcBorders>
              <w:top w:val="single" w:sz="12" w:space="0" w:color="auto"/>
              <w:right w:val="single" w:sz="2" w:space="0" w:color="auto"/>
            </w:tcBorders>
            <w:vAlign w:val="bottom"/>
          </w:tcPr>
          <w:p w14:paraId="3955CF4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OR/RR (95%CI)</w:t>
            </w:r>
          </w:p>
        </w:tc>
        <w:tc>
          <w:tcPr>
            <w:tcW w:w="425" w:type="dxa"/>
            <w:vMerge w:val="restart"/>
            <w:tcBorders>
              <w:top w:val="single" w:sz="12" w:space="0" w:color="auto"/>
              <w:left w:val="single" w:sz="2" w:space="0" w:color="auto"/>
              <w:right w:val="single" w:sz="2" w:space="0" w:color="auto"/>
            </w:tcBorders>
            <w:vAlign w:val="bottom"/>
          </w:tcPr>
          <w:p w14:paraId="2BFDA63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Definition infection</w:t>
            </w:r>
          </w:p>
        </w:tc>
        <w:tc>
          <w:tcPr>
            <w:tcW w:w="709" w:type="dxa"/>
            <w:vMerge w:val="restart"/>
            <w:tcBorders>
              <w:top w:val="single" w:sz="12" w:space="0" w:color="auto"/>
              <w:left w:val="single" w:sz="2" w:space="0" w:color="auto"/>
              <w:right w:val="single" w:sz="12" w:space="0" w:color="auto"/>
            </w:tcBorders>
            <w:vAlign w:val="bottom"/>
          </w:tcPr>
          <w:p w14:paraId="3CDE7A8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Follow-up infection</w:t>
            </w:r>
          </w:p>
        </w:tc>
      </w:tr>
      <w:tr w:rsidR="001C1082" w:rsidRPr="00A405FA" w14:paraId="57A7C660" w14:textId="77777777" w:rsidTr="0072087E">
        <w:tc>
          <w:tcPr>
            <w:tcW w:w="851" w:type="dxa"/>
            <w:vMerge/>
            <w:tcBorders>
              <w:left w:val="nil"/>
              <w:bottom w:val="single" w:sz="12" w:space="0" w:color="auto"/>
              <w:right w:val="nil"/>
            </w:tcBorders>
          </w:tcPr>
          <w:p w14:paraId="4736B294" w14:textId="77777777" w:rsidR="001C1082" w:rsidRPr="008442F9" w:rsidRDefault="001C1082" w:rsidP="001C1082">
            <w:pPr>
              <w:spacing w:line="276" w:lineRule="auto"/>
              <w:rPr>
                <w:rFonts w:ascii="Arial" w:hAnsi="Arial" w:cs="Arial"/>
                <w:sz w:val="10"/>
                <w:szCs w:val="10"/>
                <w:lang w:val="en-US"/>
              </w:rPr>
            </w:pPr>
          </w:p>
        </w:tc>
        <w:tc>
          <w:tcPr>
            <w:tcW w:w="567" w:type="dxa"/>
            <w:vMerge/>
            <w:tcBorders>
              <w:left w:val="nil"/>
              <w:bottom w:val="single" w:sz="12" w:space="0" w:color="auto"/>
              <w:right w:val="nil"/>
            </w:tcBorders>
          </w:tcPr>
          <w:p w14:paraId="186DC0AB" w14:textId="77777777" w:rsidR="001C1082" w:rsidRPr="008442F9" w:rsidRDefault="001C1082" w:rsidP="001C1082">
            <w:pPr>
              <w:spacing w:line="276" w:lineRule="auto"/>
              <w:rPr>
                <w:rFonts w:ascii="Arial" w:hAnsi="Arial" w:cs="Arial"/>
                <w:sz w:val="10"/>
                <w:szCs w:val="10"/>
                <w:lang w:val="en-US"/>
              </w:rPr>
            </w:pPr>
          </w:p>
        </w:tc>
        <w:tc>
          <w:tcPr>
            <w:tcW w:w="567" w:type="dxa"/>
            <w:vMerge/>
            <w:tcBorders>
              <w:top w:val="single" w:sz="12" w:space="0" w:color="auto"/>
              <w:left w:val="nil"/>
              <w:bottom w:val="single" w:sz="12" w:space="0" w:color="auto"/>
              <w:right w:val="single" w:sz="12" w:space="0" w:color="auto"/>
            </w:tcBorders>
          </w:tcPr>
          <w:p w14:paraId="45851EFC"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bottom w:val="single" w:sz="12" w:space="0" w:color="auto"/>
            </w:tcBorders>
            <w:vAlign w:val="bottom"/>
          </w:tcPr>
          <w:p w14:paraId="1F02929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N intervention (N dead)</w:t>
            </w:r>
          </w:p>
        </w:tc>
        <w:tc>
          <w:tcPr>
            <w:tcW w:w="567" w:type="dxa"/>
            <w:tcBorders>
              <w:bottom w:val="single" w:sz="12" w:space="0" w:color="auto"/>
            </w:tcBorders>
            <w:vAlign w:val="bottom"/>
          </w:tcPr>
          <w:p w14:paraId="40BEC462"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N comparison (N dead)</w:t>
            </w:r>
          </w:p>
        </w:tc>
        <w:tc>
          <w:tcPr>
            <w:tcW w:w="567" w:type="dxa"/>
            <w:vMerge/>
            <w:tcBorders>
              <w:bottom w:val="single" w:sz="12" w:space="0" w:color="auto"/>
              <w:right w:val="single" w:sz="4" w:space="0" w:color="auto"/>
            </w:tcBorders>
          </w:tcPr>
          <w:p w14:paraId="7180C468" w14:textId="77777777" w:rsidR="001C1082" w:rsidRPr="008442F9" w:rsidRDefault="001C1082" w:rsidP="001C1082">
            <w:pPr>
              <w:spacing w:line="276" w:lineRule="auto"/>
              <w:rPr>
                <w:rFonts w:ascii="Arial" w:hAnsi="Arial" w:cs="Arial"/>
                <w:sz w:val="10"/>
                <w:szCs w:val="10"/>
                <w:lang w:val="en-US"/>
              </w:rPr>
            </w:pPr>
          </w:p>
        </w:tc>
        <w:tc>
          <w:tcPr>
            <w:tcW w:w="567" w:type="dxa"/>
            <w:vMerge/>
            <w:tcBorders>
              <w:left w:val="single" w:sz="4" w:space="0" w:color="auto"/>
              <w:bottom w:val="single" w:sz="12" w:space="0" w:color="auto"/>
              <w:right w:val="single" w:sz="12" w:space="0" w:color="auto"/>
            </w:tcBorders>
          </w:tcPr>
          <w:p w14:paraId="73FBBDB1"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bottom w:val="single" w:sz="12" w:space="0" w:color="auto"/>
            </w:tcBorders>
            <w:vAlign w:val="bottom"/>
          </w:tcPr>
          <w:p w14:paraId="1BA92F8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N intervention (N poor functional outcome)</w:t>
            </w:r>
          </w:p>
        </w:tc>
        <w:tc>
          <w:tcPr>
            <w:tcW w:w="567" w:type="dxa"/>
            <w:tcBorders>
              <w:bottom w:val="single" w:sz="12" w:space="0" w:color="auto"/>
            </w:tcBorders>
            <w:vAlign w:val="bottom"/>
          </w:tcPr>
          <w:p w14:paraId="4490399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N comparison (N poor functional outcome)</w:t>
            </w:r>
          </w:p>
        </w:tc>
        <w:tc>
          <w:tcPr>
            <w:tcW w:w="567" w:type="dxa"/>
            <w:vMerge/>
            <w:tcBorders>
              <w:bottom w:val="single" w:sz="12" w:space="0" w:color="auto"/>
              <w:right w:val="single" w:sz="2" w:space="0" w:color="auto"/>
            </w:tcBorders>
          </w:tcPr>
          <w:p w14:paraId="6BFEF607" w14:textId="77777777" w:rsidR="001C1082" w:rsidRPr="008442F9" w:rsidRDefault="001C1082" w:rsidP="001C1082">
            <w:pPr>
              <w:spacing w:line="276" w:lineRule="auto"/>
              <w:rPr>
                <w:rFonts w:ascii="Arial" w:hAnsi="Arial" w:cs="Arial"/>
                <w:sz w:val="10"/>
                <w:szCs w:val="10"/>
                <w:lang w:val="en-US"/>
              </w:rPr>
            </w:pPr>
          </w:p>
        </w:tc>
        <w:tc>
          <w:tcPr>
            <w:tcW w:w="425" w:type="dxa"/>
            <w:vMerge/>
            <w:tcBorders>
              <w:left w:val="single" w:sz="2" w:space="0" w:color="auto"/>
              <w:bottom w:val="single" w:sz="12" w:space="0" w:color="auto"/>
              <w:right w:val="single" w:sz="2" w:space="0" w:color="auto"/>
            </w:tcBorders>
          </w:tcPr>
          <w:p w14:paraId="2F315B03" w14:textId="77777777" w:rsidR="001C1082" w:rsidRPr="008442F9" w:rsidRDefault="001C1082" w:rsidP="001C1082">
            <w:pPr>
              <w:spacing w:line="276" w:lineRule="auto"/>
              <w:rPr>
                <w:rFonts w:ascii="Arial" w:hAnsi="Arial" w:cs="Arial"/>
                <w:sz w:val="10"/>
                <w:szCs w:val="10"/>
                <w:lang w:val="en-US"/>
              </w:rPr>
            </w:pPr>
          </w:p>
        </w:tc>
        <w:tc>
          <w:tcPr>
            <w:tcW w:w="425" w:type="dxa"/>
            <w:vMerge/>
            <w:tcBorders>
              <w:left w:val="single" w:sz="2" w:space="0" w:color="auto"/>
              <w:bottom w:val="single" w:sz="12" w:space="0" w:color="auto"/>
              <w:right w:val="single" w:sz="12" w:space="0" w:color="auto"/>
            </w:tcBorders>
          </w:tcPr>
          <w:p w14:paraId="137D4E4C"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bottom w:val="single" w:sz="12" w:space="0" w:color="auto"/>
            </w:tcBorders>
            <w:vAlign w:val="bottom"/>
          </w:tcPr>
          <w:p w14:paraId="493162A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N intervention (N with infection)</w:t>
            </w:r>
          </w:p>
        </w:tc>
        <w:tc>
          <w:tcPr>
            <w:tcW w:w="567" w:type="dxa"/>
            <w:tcBorders>
              <w:bottom w:val="single" w:sz="12" w:space="0" w:color="auto"/>
            </w:tcBorders>
            <w:vAlign w:val="bottom"/>
          </w:tcPr>
          <w:p w14:paraId="06A328A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N comparison (N with infection)</w:t>
            </w:r>
          </w:p>
        </w:tc>
        <w:tc>
          <w:tcPr>
            <w:tcW w:w="426" w:type="dxa"/>
            <w:vMerge/>
            <w:tcBorders>
              <w:bottom w:val="single" w:sz="12" w:space="0" w:color="auto"/>
              <w:right w:val="single" w:sz="2" w:space="0" w:color="auto"/>
            </w:tcBorders>
          </w:tcPr>
          <w:p w14:paraId="3C5AF258" w14:textId="77777777" w:rsidR="001C1082" w:rsidRPr="008442F9" w:rsidRDefault="001C1082" w:rsidP="001C1082">
            <w:pPr>
              <w:spacing w:line="276" w:lineRule="auto"/>
              <w:rPr>
                <w:rFonts w:ascii="Arial" w:hAnsi="Arial" w:cs="Arial"/>
                <w:sz w:val="10"/>
                <w:szCs w:val="10"/>
                <w:lang w:val="en-US"/>
              </w:rPr>
            </w:pPr>
          </w:p>
        </w:tc>
        <w:tc>
          <w:tcPr>
            <w:tcW w:w="425" w:type="dxa"/>
            <w:vMerge/>
            <w:tcBorders>
              <w:left w:val="single" w:sz="2" w:space="0" w:color="auto"/>
              <w:bottom w:val="single" w:sz="12" w:space="0" w:color="auto"/>
              <w:right w:val="single" w:sz="2" w:space="0" w:color="auto"/>
            </w:tcBorders>
          </w:tcPr>
          <w:p w14:paraId="081000D9" w14:textId="77777777" w:rsidR="001C1082" w:rsidRPr="008442F9" w:rsidRDefault="001C1082" w:rsidP="001C1082">
            <w:pPr>
              <w:spacing w:line="276" w:lineRule="auto"/>
              <w:rPr>
                <w:rFonts w:ascii="Arial" w:hAnsi="Arial" w:cs="Arial"/>
                <w:sz w:val="10"/>
                <w:szCs w:val="10"/>
                <w:lang w:val="en-US"/>
              </w:rPr>
            </w:pPr>
          </w:p>
        </w:tc>
        <w:tc>
          <w:tcPr>
            <w:tcW w:w="709" w:type="dxa"/>
            <w:vMerge/>
            <w:tcBorders>
              <w:left w:val="single" w:sz="2" w:space="0" w:color="auto"/>
              <w:bottom w:val="single" w:sz="12" w:space="0" w:color="auto"/>
              <w:right w:val="single" w:sz="12" w:space="0" w:color="auto"/>
            </w:tcBorders>
          </w:tcPr>
          <w:p w14:paraId="68FD475E" w14:textId="77777777" w:rsidR="001C1082" w:rsidRPr="008442F9" w:rsidRDefault="001C1082" w:rsidP="001C1082">
            <w:pPr>
              <w:spacing w:line="276" w:lineRule="auto"/>
              <w:rPr>
                <w:rFonts w:ascii="Arial" w:hAnsi="Arial" w:cs="Arial"/>
                <w:sz w:val="10"/>
                <w:szCs w:val="10"/>
                <w:lang w:val="en-US"/>
              </w:rPr>
            </w:pPr>
          </w:p>
        </w:tc>
      </w:tr>
      <w:tr w:rsidR="001C1082" w:rsidRPr="008442F9" w14:paraId="1F87C091" w14:textId="77777777" w:rsidTr="0072087E">
        <w:tc>
          <w:tcPr>
            <w:tcW w:w="851" w:type="dxa"/>
            <w:tcBorders>
              <w:top w:val="single" w:sz="12" w:space="0" w:color="auto"/>
              <w:left w:val="single" w:sz="12" w:space="0" w:color="auto"/>
            </w:tcBorders>
          </w:tcPr>
          <w:p w14:paraId="5A7239E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Barer DH (1988)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j6RzopDf","properties":{"formattedCitation":"[31]","plainCitation":"[31]","noteIndex":0},"citationItems":[{"id":5458,"uris":["http://zotero.org/users/5097183/items/5YXNHF5N"],"uri":["http://zotero.org/users/5097183/items/5YXNHF5N"],"itemData":{"id":5458,"type":"article-journal","title":"Low dose beta blockade in acute stroke (\"BEST\" trial): an evaluation","container-title":"British Medical Journal (Clinical Research Ed.)","page":"737-741","volume":"296","issue":"6624","source":"PubMed","abstract":"The beta blocker stroke (\"BEST\") trial was designed to see if the apparent protective effect of propranolol on cerebral function in patients with subarachnoid haemorrhage applied also to patients suffering from acute stroke. Three hundred and two conscious patients with clinically diagnosed hemispheric strokes sustained within the past 48 hours were randomly assigned to receive atenolol, propranolol, or matching placebo capsules for three weeks. More early deaths occurred among the patients allocated to receive beta blockers, but this was largely explained by differences in the initial characteristics of the patients among the different treatment groups. By contrast, the outcome in a further 60 patients, who had been taking beta blockers at the time of their stroke but were otherwise similar to the patients in the trial, was considerably better, suggesting that prior treatment with beta blockers might be protective. The search for an effective medical treatment for acute stroke must continue. The approach used here, in which neurological outcome was assessed in a modest number of patients with a view to proceeding subsequently to a full scale trial of functional outcome, allows practical benefits of a treatment to be evaluated under realistic conditions and an ineffective treatment to be eliminated without undue cost.","ISSN":"0267-0623","note":"PMID: 3126956\nPMCID: PMC2545364","title-short":"Low dose beta blockade in acute stroke (\"BEST\" trial)","journalAbbreviation":"Br Med J (Clin Res Ed)","language":"eng","author":[{"family":"Barer","given":"D. H."},{"family":"Cruickshank","given":"J. M."},{"family":"Ebrahim","given":"S. B."},{"family":"Mitchell","given":"J. R."}],"issued":{"date-parts":[["1988",3,12]]}}}],"schema":"https://github.com/citation-style-language/schema/raw/master/csl-citation.json"}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rPr>
              <w:t>[31]</w:t>
            </w:r>
            <w:r w:rsidRPr="008442F9">
              <w:rPr>
                <w:rFonts w:ascii="Arial" w:hAnsi="Arial" w:cs="Arial"/>
                <w:sz w:val="10"/>
                <w:szCs w:val="10"/>
                <w:lang w:val="en-US"/>
              </w:rPr>
              <w:fldChar w:fldCharType="end"/>
            </w:r>
          </w:p>
        </w:tc>
        <w:tc>
          <w:tcPr>
            <w:tcW w:w="567" w:type="dxa"/>
            <w:tcBorders>
              <w:top w:val="single" w:sz="12" w:space="0" w:color="auto"/>
            </w:tcBorders>
          </w:tcPr>
          <w:p w14:paraId="6B2505E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RCT</w:t>
            </w:r>
          </w:p>
        </w:tc>
        <w:tc>
          <w:tcPr>
            <w:tcW w:w="567" w:type="dxa"/>
            <w:tcBorders>
              <w:top w:val="single" w:sz="12" w:space="0" w:color="auto"/>
              <w:right w:val="single" w:sz="12" w:space="0" w:color="auto"/>
            </w:tcBorders>
          </w:tcPr>
          <w:p w14:paraId="0660295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stroke</w:t>
            </w:r>
          </w:p>
        </w:tc>
        <w:tc>
          <w:tcPr>
            <w:tcW w:w="567" w:type="dxa"/>
            <w:tcBorders>
              <w:top w:val="single" w:sz="12" w:space="0" w:color="auto"/>
              <w:left w:val="single" w:sz="12" w:space="0" w:color="auto"/>
            </w:tcBorders>
          </w:tcPr>
          <w:p w14:paraId="321FA25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202 (52)</w:t>
            </w:r>
          </w:p>
        </w:tc>
        <w:tc>
          <w:tcPr>
            <w:tcW w:w="567" w:type="dxa"/>
            <w:tcBorders>
              <w:top w:val="single" w:sz="12" w:space="0" w:color="auto"/>
            </w:tcBorders>
          </w:tcPr>
          <w:p w14:paraId="02A3970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100 (14)</w:t>
            </w:r>
          </w:p>
        </w:tc>
        <w:tc>
          <w:tcPr>
            <w:tcW w:w="567" w:type="dxa"/>
            <w:tcBorders>
              <w:top w:val="single" w:sz="12" w:space="0" w:color="auto"/>
              <w:right w:val="single" w:sz="4" w:space="0" w:color="auto"/>
            </w:tcBorders>
          </w:tcPr>
          <w:p w14:paraId="58E4F26E" w14:textId="77777777" w:rsidR="001C1082" w:rsidRPr="008442F9" w:rsidRDefault="001C1082" w:rsidP="001C1082">
            <w:pPr>
              <w:spacing w:line="276" w:lineRule="auto"/>
              <w:rPr>
                <w:rFonts w:ascii="Arial" w:hAnsi="Arial" w:cs="Arial"/>
                <w:sz w:val="10"/>
                <w:szCs w:val="10"/>
                <w:lang w:val="en-US"/>
              </w:rPr>
            </w:pPr>
          </w:p>
        </w:tc>
        <w:tc>
          <w:tcPr>
            <w:tcW w:w="567" w:type="dxa"/>
            <w:tcBorders>
              <w:top w:val="single" w:sz="12" w:space="0" w:color="auto"/>
              <w:left w:val="single" w:sz="4" w:space="0" w:color="auto"/>
              <w:right w:val="single" w:sz="12" w:space="0" w:color="auto"/>
            </w:tcBorders>
          </w:tcPr>
          <w:p w14:paraId="6235437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1-month from ictus</w:t>
            </w:r>
          </w:p>
        </w:tc>
        <w:tc>
          <w:tcPr>
            <w:tcW w:w="567" w:type="dxa"/>
            <w:tcBorders>
              <w:top w:val="single" w:sz="12" w:space="0" w:color="auto"/>
              <w:left w:val="single" w:sz="12" w:space="0" w:color="auto"/>
            </w:tcBorders>
          </w:tcPr>
          <w:p w14:paraId="306A5DD0" w14:textId="77777777" w:rsidR="001C1082" w:rsidRPr="008442F9" w:rsidRDefault="001C1082" w:rsidP="001C1082">
            <w:pPr>
              <w:spacing w:line="276" w:lineRule="auto"/>
              <w:rPr>
                <w:rFonts w:ascii="Arial" w:hAnsi="Arial" w:cs="Arial"/>
                <w:sz w:val="10"/>
                <w:szCs w:val="10"/>
                <w:lang w:val="en-US"/>
              </w:rPr>
            </w:pPr>
          </w:p>
        </w:tc>
        <w:tc>
          <w:tcPr>
            <w:tcW w:w="567" w:type="dxa"/>
            <w:tcBorders>
              <w:top w:val="single" w:sz="12" w:space="0" w:color="auto"/>
            </w:tcBorders>
          </w:tcPr>
          <w:p w14:paraId="7B9DBAC4" w14:textId="77777777" w:rsidR="001C1082" w:rsidRPr="008442F9" w:rsidRDefault="001C1082" w:rsidP="001C1082">
            <w:pPr>
              <w:spacing w:line="276" w:lineRule="auto"/>
              <w:rPr>
                <w:rFonts w:ascii="Arial" w:hAnsi="Arial" w:cs="Arial"/>
                <w:sz w:val="10"/>
                <w:szCs w:val="10"/>
                <w:lang w:val="en-US"/>
              </w:rPr>
            </w:pPr>
          </w:p>
        </w:tc>
        <w:tc>
          <w:tcPr>
            <w:tcW w:w="567" w:type="dxa"/>
            <w:tcBorders>
              <w:top w:val="single" w:sz="12" w:space="0" w:color="auto"/>
              <w:right w:val="single" w:sz="2" w:space="0" w:color="auto"/>
            </w:tcBorders>
          </w:tcPr>
          <w:p w14:paraId="6D12F8F9" w14:textId="77777777" w:rsidR="001C1082" w:rsidRPr="008442F9" w:rsidRDefault="001C1082" w:rsidP="001C1082">
            <w:pPr>
              <w:spacing w:line="276" w:lineRule="auto"/>
              <w:rPr>
                <w:rFonts w:ascii="Arial" w:hAnsi="Arial" w:cs="Arial"/>
                <w:sz w:val="10"/>
                <w:szCs w:val="10"/>
                <w:lang w:val="en-US"/>
              </w:rPr>
            </w:pPr>
          </w:p>
        </w:tc>
        <w:tc>
          <w:tcPr>
            <w:tcW w:w="425" w:type="dxa"/>
            <w:tcBorders>
              <w:top w:val="single" w:sz="12" w:space="0" w:color="auto"/>
              <w:left w:val="single" w:sz="2" w:space="0" w:color="auto"/>
              <w:right w:val="single" w:sz="2" w:space="0" w:color="auto"/>
            </w:tcBorders>
          </w:tcPr>
          <w:p w14:paraId="0BE64765" w14:textId="77777777" w:rsidR="001C1082" w:rsidRPr="008442F9" w:rsidRDefault="001C1082" w:rsidP="001C1082">
            <w:pPr>
              <w:spacing w:line="276" w:lineRule="auto"/>
              <w:rPr>
                <w:rFonts w:ascii="Arial" w:hAnsi="Arial" w:cs="Arial"/>
                <w:sz w:val="10"/>
                <w:szCs w:val="10"/>
                <w:lang w:val="en-US"/>
              </w:rPr>
            </w:pPr>
          </w:p>
        </w:tc>
        <w:tc>
          <w:tcPr>
            <w:tcW w:w="425" w:type="dxa"/>
            <w:tcBorders>
              <w:top w:val="single" w:sz="12" w:space="0" w:color="auto"/>
              <w:left w:val="single" w:sz="2" w:space="0" w:color="auto"/>
              <w:right w:val="single" w:sz="12" w:space="0" w:color="auto"/>
            </w:tcBorders>
          </w:tcPr>
          <w:p w14:paraId="1C4DA691" w14:textId="77777777" w:rsidR="001C1082" w:rsidRPr="008442F9" w:rsidRDefault="001C1082" w:rsidP="001C1082">
            <w:pPr>
              <w:spacing w:line="276" w:lineRule="auto"/>
              <w:rPr>
                <w:rFonts w:ascii="Arial" w:hAnsi="Arial" w:cs="Arial"/>
                <w:sz w:val="10"/>
                <w:szCs w:val="10"/>
                <w:lang w:val="en-US"/>
              </w:rPr>
            </w:pPr>
          </w:p>
        </w:tc>
        <w:tc>
          <w:tcPr>
            <w:tcW w:w="567" w:type="dxa"/>
            <w:tcBorders>
              <w:top w:val="single" w:sz="12" w:space="0" w:color="auto"/>
              <w:left w:val="single" w:sz="12" w:space="0" w:color="auto"/>
            </w:tcBorders>
          </w:tcPr>
          <w:p w14:paraId="69FBB6FB" w14:textId="77777777" w:rsidR="001C1082" w:rsidRPr="008442F9" w:rsidRDefault="001C1082" w:rsidP="001C1082">
            <w:pPr>
              <w:spacing w:line="276" w:lineRule="auto"/>
              <w:rPr>
                <w:rFonts w:ascii="Arial" w:hAnsi="Arial" w:cs="Arial"/>
                <w:sz w:val="10"/>
                <w:szCs w:val="10"/>
                <w:lang w:val="en-US"/>
              </w:rPr>
            </w:pPr>
          </w:p>
        </w:tc>
        <w:tc>
          <w:tcPr>
            <w:tcW w:w="567" w:type="dxa"/>
            <w:tcBorders>
              <w:top w:val="single" w:sz="12" w:space="0" w:color="auto"/>
            </w:tcBorders>
          </w:tcPr>
          <w:p w14:paraId="78A79EC3" w14:textId="77777777" w:rsidR="001C1082" w:rsidRPr="008442F9" w:rsidRDefault="001C1082" w:rsidP="001C1082">
            <w:pPr>
              <w:spacing w:line="276" w:lineRule="auto"/>
              <w:rPr>
                <w:rFonts w:ascii="Arial" w:hAnsi="Arial" w:cs="Arial"/>
                <w:sz w:val="10"/>
                <w:szCs w:val="10"/>
                <w:lang w:val="en-US"/>
              </w:rPr>
            </w:pPr>
          </w:p>
        </w:tc>
        <w:tc>
          <w:tcPr>
            <w:tcW w:w="426" w:type="dxa"/>
            <w:tcBorders>
              <w:top w:val="single" w:sz="12" w:space="0" w:color="auto"/>
              <w:right w:val="single" w:sz="2" w:space="0" w:color="auto"/>
            </w:tcBorders>
          </w:tcPr>
          <w:p w14:paraId="5182880A" w14:textId="77777777" w:rsidR="001C1082" w:rsidRPr="008442F9" w:rsidRDefault="001C1082" w:rsidP="001C1082">
            <w:pPr>
              <w:spacing w:line="276" w:lineRule="auto"/>
              <w:rPr>
                <w:rFonts w:ascii="Arial" w:hAnsi="Arial" w:cs="Arial"/>
                <w:sz w:val="10"/>
                <w:szCs w:val="10"/>
                <w:lang w:val="en-US"/>
              </w:rPr>
            </w:pPr>
          </w:p>
        </w:tc>
        <w:tc>
          <w:tcPr>
            <w:tcW w:w="425" w:type="dxa"/>
            <w:tcBorders>
              <w:top w:val="single" w:sz="12" w:space="0" w:color="auto"/>
              <w:left w:val="single" w:sz="2" w:space="0" w:color="auto"/>
              <w:right w:val="single" w:sz="2" w:space="0" w:color="auto"/>
            </w:tcBorders>
          </w:tcPr>
          <w:p w14:paraId="17A9C260" w14:textId="77777777" w:rsidR="001C1082" w:rsidRPr="008442F9" w:rsidRDefault="001C1082" w:rsidP="001C1082">
            <w:pPr>
              <w:spacing w:line="276" w:lineRule="auto"/>
              <w:rPr>
                <w:rFonts w:ascii="Arial" w:hAnsi="Arial" w:cs="Arial"/>
                <w:sz w:val="10"/>
                <w:szCs w:val="10"/>
                <w:lang w:val="en-US"/>
              </w:rPr>
            </w:pPr>
          </w:p>
        </w:tc>
        <w:tc>
          <w:tcPr>
            <w:tcW w:w="709" w:type="dxa"/>
            <w:tcBorders>
              <w:top w:val="single" w:sz="12" w:space="0" w:color="auto"/>
              <w:left w:val="single" w:sz="2" w:space="0" w:color="auto"/>
              <w:right w:val="single" w:sz="12" w:space="0" w:color="auto"/>
            </w:tcBorders>
          </w:tcPr>
          <w:p w14:paraId="66928F13" w14:textId="77777777" w:rsidR="001C1082" w:rsidRPr="008442F9" w:rsidRDefault="001C1082" w:rsidP="001C1082">
            <w:pPr>
              <w:spacing w:line="276" w:lineRule="auto"/>
              <w:rPr>
                <w:rFonts w:ascii="Arial" w:hAnsi="Arial" w:cs="Arial"/>
                <w:sz w:val="10"/>
                <w:szCs w:val="10"/>
                <w:lang w:val="en-US"/>
              </w:rPr>
            </w:pPr>
          </w:p>
        </w:tc>
      </w:tr>
      <w:tr w:rsidR="001C1082" w:rsidRPr="008442F9" w14:paraId="089E8047" w14:textId="77777777" w:rsidTr="0072087E">
        <w:tc>
          <w:tcPr>
            <w:tcW w:w="851" w:type="dxa"/>
            <w:tcBorders>
              <w:left w:val="single" w:sz="12" w:space="0" w:color="auto"/>
            </w:tcBorders>
          </w:tcPr>
          <w:p w14:paraId="35F34D66"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Dziedzik</w:t>
            </w:r>
            <w:proofErr w:type="spellEnd"/>
            <w:r w:rsidRPr="008442F9">
              <w:rPr>
                <w:rFonts w:ascii="Arial" w:hAnsi="Arial" w:cs="Arial"/>
                <w:sz w:val="10"/>
                <w:szCs w:val="10"/>
                <w:lang w:val="en-US"/>
              </w:rPr>
              <w:t xml:space="preserve"> T (2007)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z6NFkCCv","properties":{"formattedCitation":"[30]","plainCitation":"[30]","noteIndex":0},"citationItems":[{"id":7503,"uris":["http://zotero.org/users/5097183/items/SD77HM9M"],"uri":["http://zotero.org/users/5097183/items/SD77HM9M"],"itemData":{"id":7503,"type":"article-journal","title":"Beta-blockers reduce the risk of early death in ischemic stroke","container-title":"Journal of the Neurological Sciences","page":"53-56","volume":"252","issue":"1","source":"PubMed","abstract":"OBJECTIVES: Beta-blockers reduce mortality in patients after myocardial infarction. Experimental studies suggest that beta-blockers have also neuroprotective properties. The aim of this study was to assess if use of beta-blockers is associated with reduced risk of early death in ischemic stroke patients.\nMATERIALS AND METHODS: Retrospective data analysis of 841 consecutive patients with acute ischemic stroke admitted to the stroke unit within 24 h after stroke onset.\nRESULTS: 10.6% of patients received beta-blockers during hospitalization. Thirty-day case fatality was significantly lower in patients treated with beta-blockers than in those not treated with beta-blockers (6.8% versus 19.0%, P &lt; 0.01). After adjustment for other prognostic factors, the use of beta-blockers was associated with reduced risk of early death (relative hazard 0.37, 95% confidence interval 0.16-0.84) independently of age, stroke severity, fasting glucose, total cholesterol level and pneumonia. When patients who died of cardiovascular causes were excluded from the analysis, the use of beta-blocker was no longer significantly associated with risk of death (P = 0.12).\nCONCLUSION: In a retrospective series the use of beta-blockers was associated with reduced risk of early death in patients with ischemic stroke.","DOI":"10.1016/j.jns.2006.10.007","ISSN":"0022-510X","note":"PMID: 17134722","journalAbbreviation":"J. Neurol. Sci.","language":"eng","author":[{"family":"Dziedzic","given":"Tomasz"},{"family":"Slowik","given":"Agnieszka"},{"family":"Pera","given":"Joanna"},{"family":"Szczudlik","given":"Andrzej"}],"issued":{"date-parts":[["2007",1,15]]}}}],"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rPr>
              <w:t>[30]</w:t>
            </w:r>
            <w:r w:rsidRPr="008442F9">
              <w:rPr>
                <w:rFonts w:ascii="Arial" w:hAnsi="Arial" w:cs="Arial"/>
                <w:sz w:val="10"/>
                <w:szCs w:val="10"/>
                <w:lang w:val="en-US"/>
              </w:rPr>
              <w:fldChar w:fldCharType="end"/>
            </w:r>
          </w:p>
        </w:tc>
        <w:tc>
          <w:tcPr>
            <w:tcW w:w="567" w:type="dxa"/>
          </w:tcPr>
          <w:p w14:paraId="51ED09E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 retrospective</w:t>
            </w:r>
          </w:p>
        </w:tc>
        <w:tc>
          <w:tcPr>
            <w:tcW w:w="567" w:type="dxa"/>
            <w:tcBorders>
              <w:right w:val="single" w:sz="12" w:space="0" w:color="auto"/>
            </w:tcBorders>
          </w:tcPr>
          <w:p w14:paraId="0DA210E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1D6F3EE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88 (6)</w:t>
            </w:r>
          </w:p>
        </w:tc>
        <w:tc>
          <w:tcPr>
            <w:tcW w:w="567" w:type="dxa"/>
          </w:tcPr>
          <w:p w14:paraId="4FCD7E6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745 (141)</w:t>
            </w:r>
          </w:p>
        </w:tc>
        <w:tc>
          <w:tcPr>
            <w:tcW w:w="567" w:type="dxa"/>
            <w:tcBorders>
              <w:right w:val="single" w:sz="4" w:space="0" w:color="auto"/>
            </w:tcBorders>
          </w:tcPr>
          <w:p w14:paraId="19774F1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0.37 (0.16-0.</w:t>
            </w:r>
            <w:proofErr w:type="gramStart"/>
            <w:r w:rsidRPr="008442F9">
              <w:rPr>
                <w:rFonts w:ascii="Arial" w:hAnsi="Arial" w:cs="Arial"/>
                <w:sz w:val="10"/>
                <w:szCs w:val="10"/>
                <w:lang w:val="en-US"/>
              </w:rPr>
              <w:t>84)</w:t>
            </w:r>
            <w:r w:rsidRPr="008442F9">
              <w:rPr>
                <w:rFonts w:ascii="Arial" w:hAnsi="Arial" w:cs="Arial"/>
                <w:sz w:val="10"/>
                <w:szCs w:val="10"/>
                <w:vertAlign w:val="superscript"/>
                <w:lang w:val="en-US"/>
              </w:rPr>
              <w:t>a</w:t>
            </w:r>
            <w:proofErr w:type="gramEnd"/>
          </w:p>
        </w:tc>
        <w:tc>
          <w:tcPr>
            <w:tcW w:w="567" w:type="dxa"/>
            <w:tcBorders>
              <w:left w:val="single" w:sz="4" w:space="0" w:color="auto"/>
              <w:right w:val="single" w:sz="12" w:space="0" w:color="auto"/>
            </w:tcBorders>
          </w:tcPr>
          <w:p w14:paraId="11223A7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30-days from ictus</w:t>
            </w:r>
          </w:p>
        </w:tc>
        <w:tc>
          <w:tcPr>
            <w:tcW w:w="567" w:type="dxa"/>
            <w:tcBorders>
              <w:left w:val="single" w:sz="12" w:space="0" w:color="auto"/>
            </w:tcBorders>
          </w:tcPr>
          <w:p w14:paraId="6929AC89" w14:textId="77777777" w:rsidR="001C1082" w:rsidRPr="008442F9" w:rsidRDefault="001C1082" w:rsidP="001C1082">
            <w:pPr>
              <w:spacing w:line="276" w:lineRule="auto"/>
              <w:rPr>
                <w:rFonts w:ascii="Arial" w:hAnsi="Arial" w:cs="Arial"/>
                <w:sz w:val="10"/>
                <w:szCs w:val="10"/>
                <w:lang w:val="en-US"/>
              </w:rPr>
            </w:pPr>
          </w:p>
        </w:tc>
        <w:tc>
          <w:tcPr>
            <w:tcW w:w="567" w:type="dxa"/>
          </w:tcPr>
          <w:p w14:paraId="7ECD04A5" w14:textId="77777777" w:rsidR="001C1082" w:rsidRPr="008442F9" w:rsidRDefault="001C1082" w:rsidP="001C1082">
            <w:pPr>
              <w:spacing w:line="276" w:lineRule="auto"/>
              <w:rPr>
                <w:rFonts w:ascii="Arial" w:hAnsi="Arial" w:cs="Arial"/>
                <w:sz w:val="10"/>
                <w:szCs w:val="10"/>
                <w:lang w:val="en-US"/>
              </w:rPr>
            </w:pPr>
          </w:p>
        </w:tc>
        <w:tc>
          <w:tcPr>
            <w:tcW w:w="567" w:type="dxa"/>
            <w:tcBorders>
              <w:right w:val="single" w:sz="2" w:space="0" w:color="auto"/>
            </w:tcBorders>
          </w:tcPr>
          <w:p w14:paraId="1A3817F8"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74FC3977"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12" w:space="0" w:color="auto"/>
            </w:tcBorders>
          </w:tcPr>
          <w:p w14:paraId="0B35892A"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tcBorders>
          </w:tcPr>
          <w:p w14:paraId="1FDBB85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88 (4)</w:t>
            </w:r>
          </w:p>
        </w:tc>
        <w:tc>
          <w:tcPr>
            <w:tcW w:w="567" w:type="dxa"/>
          </w:tcPr>
          <w:p w14:paraId="4B3BE8A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745 (85)</w:t>
            </w:r>
          </w:p>
        </w:tc>
        <w:tc>
          <w:tcPr>
            <w:tcW w:w="426" w:type="dxa"/>
            <w:tcBorders>
              <w:right w:val="single" w:sz="2" w:space="0" w:color="auto"/>
            </w:tcBorders>
          </w:tcPr>
          <w:p w14:paraId="5458281A"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55074F7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Pneumonia</w:t>
            </w:r>
          </w:p>
        </w:tc>
        <w:tc>
          <w:tcPr>
            <w:tcW w:w="709" w:type="dxa"/>
            <w:tcBorders>
              <w:left w:val="single" w:sz="2" w:space="0" w:color="auto"/>
              <w:right w:val="single" w:sz="12" w:space="0" w:color="auto"/>
            </w:tcBorders>
          </w:tcPr>
          <w:p w14:paraId="147FDF1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r>
      <w:tr w:rsidR="001C1082" w:rsidRPr="008442F9" w14:paraId="0106DEE0" w14:textId="77777777" w:rsidTr="0072087E">
        <w:tc>
          <w:tcPr>
            <w:tcW w:w="851" w:type="dxa"/>
            <w:tcBorders>
              <w:left w:val="single" w:sz="12" w:space="0" w:color="auto"/>
            </w:tcBorders>
          </w:tcPr>
          <w:p w14:paraId="43ABCE21"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Dowlatshahi</w:t>
            </w:r>
            <w:proofErr w:type="spellEnd"/>
            <w:r w:rsidRPr="008442F9">
              <w:rPr>
                <w:rFonts w:ascii="Arial" w:hAnsi="Arial" w:cs="Arial"/>
                <w:sz w:val="10"/>
                <w:szCs w:val="10"/>
                <w:lang w:val="en-US"/>
              </w:rPr>
              <w:t xml:space="preserve"> D (2009)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lJWNqjKA","properties":{"formattedCitation":"[32]","plainCitation":"[32]","noteIndex":0},"citationItems":[{"id":8553,"uris":["http://zotero.org/users/5097183/items/S4LHXJQU"],"uri":["http://zotero.org/users/5097183/items/S4LHXJQU"],"itemData":{"id":8553,"type":"article-journal","title":"Pre admission antithrombotics are associated with improved outcomes following ischaemic stroke: a cohort from the Registry of the Canadian Stroke Network","container-title":"International Journal of Stroke: Official Journal of the International Stroke Society","page":"328-334","volume":"4","issue":"5","source":"PubMed","abstract":"BACKGROUND: Several studies have attempted to identify predictors of outcome following ischaemic stroke. Reduced stroke severity has been reported with pre admission ASA use, and improved outcomes have been reported with pre admission statin treatment. The interaction between pre treatment medications and clinical response to tPA is less clear. The objective of our study was to assess clinical outcomes in patients with acute ischaemic stroke with respect to pre treatment medications.\nMETHODS: The Registry of the Canadian Stroke Network collected pre morbid and prospective outcome data on 5568 patients with ischaemic stroke. We applied multivariate analyses to correlate pre admission medications with stroke severity on presentation, in-hospital mortality, and modified Rankin at discharge. Analyses were adjusted for age, gender, medical history, tPA administration, blood pressure, and glucose on presentation.\nRESULTS: Pre admission treatment with ASA and clopidogrel was associated with less severe stroke upon presentation. A similar trend was seen with dipyridamole and ticlopidine, but did not reach statistical significance. Pre treatment with ASA and warfarin was associated with improved Rankin scores at discharge. There was no interaction between tPA treatment and pre admission antiplatelets with respect to in-hospital mortality or disability at discharge, although tPA treatment was independently associated with improved Rankin at discharge. Pre treatment antiplatelet use did not result in increased intracerebral haemorrhage following tPA administration.\nCONCLUSIONS: Patients with acute ischaemic stroke taking antithrombotic medications at hospital admission have improved functional outcomes. No interaction is noted between use of these medications and outcome following thrombolysis. This large prospective cohort study is consistent with previous published reports, and supports the notion that pre admission antithrombotics may mitigate brain injury during acute stroke.","DOI":"10.1111/j.1747-4949.2009.00331.x","ISSN":"1747-4949","note":"PMID: 19765119","title-short":"Pre admission antithrombotics are associated with improved outcomes following ischaemic stroke","journalAbbreviation":"Int J Stroke","language":"eng","author":[{"family":"Dowlatshahi","given":"D."},{"family":"Hakim","given":"A."},{"family":"Fang","given":"J."},{"family":"Sharma","given":"M."},{"literal":"Investigators of the Registry of the Canadian Stroke Network"}],"issued":{"date-parts":[["2009",10]]}}}],"schema":"https://github.com/citation-style-language/schema/raw/master/csl-citation.json"}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rPr>
              <w:t>[32]</w:t>
            </w:r>
            <w:r w:rsidRPr="008442F9">
              <w:rPr>
                <w:rFonts w:ascii="Arial" w:hAnsi="Arial" w:cs="Arial"/>
                <w:sz w:val="10"/>
                <w:szCs w:val="10"/>
                <w:lang w:val="en-US"/>
              </w:rPr>
              <w:fldChar w:fldCharType="end"/>
            </w:r>
          </w:p>
        </w:tc>
        <w:tc>
          <w:tcPr>
            <w:tcW w:w="567" w:type="dxa"/>
          </w:tcPr>
          <w:p w14:paraId="310F938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cohort</w:t>
            </w:r>
          </w:p>
        </w:tc>
        <w:tc>
          <w:tcPr>
            <w:tcW w:w="567" w:type="dxa"/>
            <w:tcBorders>
              <w:right w:val="single" w:sz="12" w:space="0" w:color="auto"/>
            </w:tcBorders>
          </w:tcPr>
          <w:p w14:paraId="3D9B0C6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00371F3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1591</w:t>
            </w:r>
          </w:p>
        </w:tc>
        <w:tc>
          <w:tcPr>
            <w:tcW w:w="567" w:type="dxa"/>
          </w:tcPr>
          <w:p w14:paraId="5DB52E0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3977</w:t>
            </w:r>
          </w:p>
        </w:tc>
        <w:tc>
          <w:tcPr>
            <w:tcW w:w="567" w:type="dxa"/>
            <w:tcBorders>
              <w:right w:val="single" w:sz="4" w:space="0" w:color="auto"/>
            </w:tcBorders>
          </w:tcPr>
          <w:p w14:paraId="0AB3094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1.24 (0.97-1.</w:t>
            </w:r>
            <w:proofErr w:type="gramStart"/>
            <w:r w:rsidRPr="008442F9">
              <w:rPr>
                <w:rFonts w:ascii="Arial" w:hAnsi="Arial" w:cs="Arial"/>
                <w:sz w:val="10"/>
                <w:szCs w:val="10"/>
                <w:lang w:val="en-US"/>
              </w:rPr>
              <w:t>58)</w:t>
            </w:r>
            <w:r w:rsidRPr="008442F9">
              <w:rPr>
                <w:rFonts w:ascii="Arial" w:hAnsi="Arial" w:cs="Arial"/>
                <w:sz w:val="10"/>
                <w:szCs w:val="10"/>
                <w:vertAlign w:val="superscript"/>
                <w:lang w:val="en-US"/>
              </w:rPr>
              <w:t>a</w:t>
            </w:r>
            <w:proofErr w:type="gramEnd"/>
          </w:p>
        </w:tc>
        <w:tc>
          <w:tcPr>
            <w:tcW w:w="567" w:type="dxa"/>
            <w:tcBorders>
              <w:left w:val="single" w:sz="4" w:space="0" w:color="auto"/>
              <w:right w:val="single" w:sz="12" w:space="0" w:color="auto"/>
            </w:tcBorders>
          </w:tcPr>
          <w:p w14:paraId="1178998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c>
          <w:tcPr>
            <w:tcW w:w="567" w:type="dxa"/>
            <w:tcBorders>
              <w:left w:val="single" w:sz="12" w:space="0" w:color="auto"/>
            </w:tcBorders>
          </w:tcPr>
          <w:p w14:paraId="5AA69F9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1591</w:t>
            </w:r>
          </w:p>
        </w:tc>
        <w:tc>
          <w:tcPr>
            <w:tcW w:w="567" w:type="dxa"/>
          </w:tcPr>
          <w:p w14:paraId="4546467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3977</w:t>
            </w:r>
          </w:p>
        </w:tc>
        <w:tc>
          <w:tcPr>
            <w:tcW w:w="567" w:type="dxa"/>
            <w:tcBorders>
              <w:right w:val="single" w:sz="2" w:space="0" w:color="auto"/>
            </w:tcBorders>
          </w:tcPr>
          <w:p w14:paraId="340B1E4D" w14:textId="77777777" w:rsidR="001C1082" w:rsidRPr="008442F9" w:rsidRDefault="001C1082" w:rsidP="001C1082">
            <w:pPr>
              <w:spacing w:line="276" w:lineRule="auto"/>
              <w:rPr>
                <w:rFonts w:ascii="Arial" w:hAnsi="Arial" w:cs="Arial"/>
                <w:sz w:val="10"/>
                <w:szCs w:val="10"/>
                <w:vertAlign w:val="superscript"/>
                <w:lang w:val="en-US"/>
              </w:rPr>
            </w:pPr>
            <w:r w:rsidRPr="008442F9">
              <w:rPr>
                <w:rFonts w:ascii="Arial" w:hAnsi="Arial" w:cs="Arial"/>
                <w:sz w:val="10"/>
                <w:szCs w:val="10"/>
                <w:lang w:val="en-US"/>
              </w:rPr>
              <w:t>1.00 (0.84-1.</w:t>
            </w:r>
            <w:proofErr w:type="gramStart"/>
            <w:r w:rsidRPr="008442F9">
              <w:rPr>
                <w:rFonts w:ascii="Arial" w:hAnsi="Arial" w:cs="Arial"/>
                <w:sz w:val="10"/>
                <w:szCs w:val="10"/>
                <w:lang w:val="en-US"/>
              </w:rPr>
              <w:t>19)</w:t>
            </w:r>
            <w:r w:rsidRPr="008442F9">
              <w:rPr>
                <w:rFonts w:ascii="Arial" w:hAnsi="Arial" w:cs="Arial"/>
                <w:sz w:val="10"/>
                <w:szCs w:val="10"/>
                <w:vertAlign w:val="superscript"/>
                <w:lang w:val="en-US"/>
              </w:rPr>
              <w:t>a</w:t>
            </w:r>
            <w:proofErr w:type="gramEnd"/>
          </w:p>
        </w:tc>
        <w:tc>
          <w:tcPr>
            <w:tcW w:w="425" w:type="dxa"/>
            <w:tcBorders>
              <w:left w:val="single" w:sz="2" w:space="0" w:color="auto"/>
              <w:right w:val="single" w:sz="2" w:space="0" w:color="auto"/>
            </w:tcBorders>
          </w:tcPr>
          <w:p w14:paraId="2996313D"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4-6</w:t>
            </w:r>
          </w:p>
        </w:tc>
        <w:tc>
          <w:tcPr>
            <w:tcW w:w="425" w:type="dxa"/>
            <w:tcBorders>
              <w:left w:val="single" w:sz="2" w:space="0" w:color="auto"/>
              <w:right w:val="single" w:sz="12" w:space="0" w:color="auto"/>
            </w:tcBorders>
          </w:tcPr>
          <w:p w14:paraId="01EBACA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discharge</w:t>
            </w:r>
          </w:p>
        </w:tc>
        <w:tc>
          <w:tcPr>
            <w:tcW w:w="567" w:type="dxa"/>
            <w:tcBorders>
              <w:left w:val="single" w:sz="12" w:space="0" w:color="auto"/>
            </w:tcBorders>
          </w:tcPr>
          <w:p w14:paraId="494B650C" w14:textId="77777777" w:rsidR="001C1082" w:rsidRPr="008442F9" w:rsidRDefault="001C1082" w:rsidP="001C1082">
            <w:pPr>
              <w:spacing w:line="276" w:lineRule="auto"/>
              <w:rPr>
                <w:rFonts w:ascii="Arial" w:hAnsi="Arial" w:cs="Arial"/>
                <w:sz w:val="10"/>
                <w:szCs w:val="10"/>
                <w:lang w:val="en-US"/>
              </w:rPr>
            </w:pPr>
          </w:p>
        </w:tc>
        <w:tc>
          <w:tcPr>
            <w:tcW w:w="567" w:type="dxa"/>
          </w:tcPr>
          <w:p w14:paraId="6C706A28" w14:textId="77777777" w:rsidR="001C1082" w:rsidRPr="008442F9" w:rsidRDefault="001C1082" w:rsidP="001C1082">
            <w:pPr>
              <w:spacing w:line="276" w:lineRule="auto"/>
              <w:rPr>
                <w:rFonts w:ascii="Arial" w:hAnsi="Arial" w:cs="Arial"/>
                <w:sz w:val="10"/>
                <w:szCs w:val="10"/>
                <w:lang w:val="en-US"/>
              </w:rPr>
            </w:pPr>
          </w:p>
        </w:tc>
        <w:tc>
          <w:tcPr>
            <w:tcW w:w="426" w:type="dxa"/>
            <w:tcBorders>
              <w:right w:val="single" w:sz="2" w:space="0" w:color="auto"/>
            </w:tcBorders>
          </w:tcPr>
          <w:p w14:paraId="2FA5677C"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777FC9B3" w14:textId="77777777" w:rsidR="001C1082" w:rsidRPr="008442F9" w:rsidRDefault="001C1082" w:rsidP="001C1082">
            <w:pPr>
              <w:spacing w:line="276" w:lineRule="auto"/>
              <w:rPr>
                <w:rFonts w:ascii="Arial" w:hAnsi="Arial" w:cs="Arial"/>
                <w:sz w:val="10"/>
                <w:szCs w:val="10"/>
                <w:lang w:val="en-US"/>
              </w:rPr>
            </w:pPr>
          </w:p>
        </w:tc>
        <w:tc>
          <w:tcPr>
            <w:tcW w:w="709" w:type="dxa"/>
            <w:tcBorders>
              <w:left w:val="single" w:sz="2" w:space="0" w:color="auto"/>
              <w:right w:val="single" w:sz="12" w:space="0" w:color="auto"/>
            </w:tcBorders>
          </w:tcPr>
          <w:p w14:paraId="7C69C711" w14:textId="77777777" w:rsidR="001C1082" w:rsidRPr="008442F9" w:rsidRDefault="001C1082" w:rsidP="001C1082">
            <w:pPr>
              <w:spacing w:line="276" w:lineRule="auto"/>
              <w:rPr>
                <w:rFonts w:ascii="Arial" w:hAnsi="Arial" w:cs="Arial"/>
                <w:sz w:val="10"/>
                <w:szCs w:val="10"/>
                <w:lang w:val="en-US"/>
              </w:rPr>
            </w:pPr>
          </w:p>
        </w:tc>
      </w:tr>
      <w:tr w:rsidR="001C1082" w:rsidRPr="00A405FA" w14:paraId="1A2A8384" w14:textId="77777777" w:rsidTr="0072087E">
        <w:tc>
          <w:tcPr>
            <w:tcW w:w="851" w:type="dxa"/>
            <w:tcBorders>
              <w:left w:val="single" w:sz="12" w:space="0" w:color="auto"/>
            </w:tcBorders>
          </w:tcPr>
          <w:p w14:paraId="7FA0E90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Potter J (2009)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1TZB0pqu","properties":{"formattedCitation":"[33]","plainCitation":"[33]","noteIndex":0},"citationItems":[{"id":7673,"uris":["http://zotero.org/users/5097183/items/AS3HVG82"],"uri":["http://zotero.org/users/5097183/items/AS3HVG82"],"itemData":{"id":7673,"type":"article-journal","title":"Controlling hypertension and hypotension immediately post stroke (CHHIPS)--a randomised controlled trial","container-title":"Health Technology Assessment (Winchester, England)","page":"iii, ix-xi, 1-73","volume":"13","issue":"9","source":"PubMed","abstract":"OBJECTIVES: To assess the effects of acute pressor and depressor blood pressure (BP) manipulation on 2-week death and dependency following acute stroke and investigate the safety and efficacy of such treatments.\nDESIGN: A multicentre, prospective, randomised, double-blind, placebo-controlled titrated-dose trial.\nSETTING: Five hospitals in England.\nPARTICIPANTS: Patients over 18 years admitted to hospital with a clinical diagnosis of suspected stroke and either (1) symptom onset &lt; 36 hours and hypertension, defined as systolic BP (SBP) &lt; 160 mmHg (depressor arm), or (2) symptom onset &lt; 12 hours and hypotension, defined as SBP &lt; or = 140 mmHg (pressor arm).\nINTERVENTIONS: Patients were allocated to either the pressor or the depressor arm depending on blood pressure at randomisation. The ratio of allocation to active intervention versus matched placebo was 2:1 for the depressor arm and 1:1 for the pressor arm.\nMAIN OUTCOME MEASURES: The primary end point was death and dependency at 2 weeks, with dependency defined as a modified Rankin score &lt; 3. Secondary end points were the safety of acute pressor (0-12 hours post stroke) and depressor (0-36 hours post stroke) BP manipulation in stroke patients; whether effects of BP reduction are influenced by stroke type (ischaemic versus haemorrhagic); whether alternative routes for administration of antihypertensive therapy (including sublingual and intravenous) are effective in dysphagic stroke patients; whether effects of BP manipulation are influenced by the time to treatment; and the short- and medium-term cost-effectiveness of such therapy in the acute post-stroke period on subsequent disability or death.\nRESULTS: 180 patients were recruited over the 36-month trial period, 179 in the depressor arm and one in the pressor arm (who received placebo). No significant difference was found in death or dependency at 2 weeks between those receiving active depressor treatment with lisinopril or labetalol and those receiving placebo, although numbers recruited to the trial were lower than projected. Active treatment was not associated with an increase in early neurological deterioration despite significantly greater reductions in BP at 24 hours and 2 weeks with active therapy compared with placebo. Active treatment was generally well tolerated and treatment discontinuation rates were similar in active and placebo groups. Survival analysis showed that the active treatment group had a lower mortality at 3 months than the placebo group (p = 0.05). The pressor arm was closed early because of problems with recruitment, so no conclusions can be drawn regarding this therapy.\nCONCLUSIONS: Oral and sublingual lisinopril and oral and intravenous labetalol are effective BP-lowering agents in acute cerebral infarction and haemorrhage and do not increase the likelihood of early neurological deterioration. The study was not sufficiently powered to detect a difference in disability or death at 2 weeks. However, the 3-month difference in mortality in favour of active treatment is of interest, although care must be taken in interpretation of the results. Further work is needed to confirm this and to assess whether there are differences in the effectiveness of labetalol compared with lisinopril in terms of reducing death or dependency after acute stroke, and whether the introduction of treatment post stroke earlier than was achieved here would be of greater benefit.","DOI":"10.3310/hta13090","ISSN":"2046-4924","note":"PMID: 19208305","journalAbbreviation":"Health Technol Assess","language":"eng","author":[{"family":"Potter","given":"J."},{"family":"Mistri","given":"A."},{"family":"Brodie","given":"F."},{"family":"Chernova","given":"J."},{"family":"Wilson","given":"E."},{"family":"Jagger","given":"C."},{"family":"James","given":"M."},{"family":"Ford","given":"G."},{"family":"Robinson","given":"T."}],"issued":{"date-parts":[["2009",1]]}}}],"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lang w:val="en-GB"/>
              </w:rPr>
              <w:t>[33]</w:t>
            </w:r>
            <w:r w:rsidRPr="008442F9">
              <w:rPr>
                <w:rFonts w:ascii="Arial" w:hAnsi="Arial" w:cs="Arial"/>
                <w:sz w:val="10"/>
                <w:szCs w:val="10"/>
                <w:lang w:val="en-US"/>
              </w:rPr>
              <w:fldChar w:fldCharType="end"/>
            </w:r>
          </w:p>
        </w:tc>
        <w:tc>
          <w:tcPr>
            <w:tcW w:w="567" w:type="dxa"/>
          </w:tcPr>
          <w:p w14:paraId="5B1981F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RCT</w:t>
            </w:r>
          </w:p>
        </w:tc>
        <w:tc>
          <w:tcPr>
            <w:tcW w:w="567" w:type="dxa"/>
            <w:tcBorders>
              <w:right w:val="single" w:sz="12" w:space="0" w:color="auto"/>
            </w:tcBorders>
          </w:tcPr>
          <w:p w14:paraId="7C9C023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Ischemic or </w:t>
            </w:r>
            <w:proofErr w:type="spellStart"/>
            <w:r w:rsidRPr="008442F9">
              <w:rPr>
                <w:rFonts w:ascii="Arial" w:hAnsi="Arial" w:cs="Arial"/>
                <w:sz w:val="10"/>
                <w:szCs w:val="10"/>
                <w:lang w:val="en-US"/>
              </w:rPr>
              <w:t>haemorrhagic</w:t>
            </w:r>
            <w:proofErr w:type="spellEnd"/>
            <w:r w:rsidRPr="008442F9">
              <w:rPr>
                <w:rFonts w:ascii="Arial" w:hAnsi="Arial" w:cs="Arial"/>
                <w:sz w:val="10"/>
                <w:szCs w:val="10"/>
                <w:lang w:val="en-US"/>
              </w:rPr>
              <w:t xml:space="preserve"> stroke</w:t>
            </w:r>
          </w:p>
        </w:tc>
        <w:tc>
          <w:tcPr>
            <w:tcW w:w="567" w:type="dxa"/>
            <w:tcBorders>
              <w:left w:val="single" w:sz="12" w:space="0" w:color="auto"/>
            </w:tcBorders>
          </w:tcPr>
          <w:p w14:paraId="080D491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56 (4)</w:t>
            </w:r>
          </w:p>
        </w:tc>
        <w:tc>
          <w:tcPr>
            <w:tcW w:w="567" w:type="dxa"/>
          </w:tcPr>
          <w:p w14:paraId="00B94322"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116 (19)</w:t>
            </w:r>
          </w:p>
        </w:tc>
        <w:tc>
          <w:tcPr>
            <w:tcW w:w="567" w:type="dxa"/>
            <w:tcBorders>
              <w:right w:val="single" w:sz="4" w:space="0" w:color="auto"/>
            </w:tcBorders>
          </w:tcPr>
          <w:p w14:paraId="5E513209"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4" w:space="0" w:color="auto"/>
              <w:right w:val="single" w:sz="12" w:space="0" w:color="auto"/>
            </w:tcBorders>
          </w:tcPr>
          <w:p w14:paraId="6BF9766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3-moths from ictus</w:t>
            </w:r>
          </w:p>
        </w:tc>
        <w:tc>
          <w:tcPr>
            <w:tcW w:w="567" w:type="dxa"/>
            <w:tcBorders>
              <w:left w:val="single" w:sz="12" w:space="0" w:color="auto"/>
            </w:tcBorders>
          </w:tcPr>
          <w:p w14:paraId="5C416C9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56 (34)</w:t>
            </w:r>
          </w:p>
        </w:tc>
        <w:tc>
          <w:tcPr>
            <w:tcW w:w="567" w:type="dxa"/>
          </w:tcPr>
          <w:p w14:paraId="54EFEF3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116 (70)</w:t>
            </w:r>
          </w:p>
        </w:tc>
        <w:tc>
          <w:tcPr>
            <w:tcW w:w="567" w:type="dxa"/>
            <w:tcBorders>
              <w:right w:val="single" w:sz="2" w:space="0" w:color="auto"/>
            </w:tcBorders>
          </w:tcPr>
          <w:p w14:paraId="13B7FAD4"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141E4A32"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&gt;3</w:t>
            </w:r>
          </w:p>
        </w:tc>
        <w:tc>
          <w:tcPr>
            <w:tcW w:w="425" w:type="dxa"/>
            <w:tcBorders>
              <w:left w:val="single" w:sz="2" w:space="0" w:color="auto"/>
              <w:right w:val="single" w:sz="12" w:space="0" w:color="auto"/>
            </w:tcBorders>
          </w:tcPr>
          <w:p w14:paraId="691115F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2 weeks from ictus</w:t>
            </w:r>
          </w:p>
        </w:tc>
        <w:tc>
          <w:tcPr>
            <w:tcW w:w="567" w:type="dxa"/>
            <w:tcBorders>
              <w:left w:val="single" w:sz="12" w:space="0" w:color="auto"/>
            </w:tcBorders>
          </w:tcPr>
          <w:p w14:paraId="4F84683E" w14:textId="77777777" w:rsidR="001C1082" w:rsidRPr="008442F9" w:rsidRDefault="001C1082" w:rsidP="001C1082">
            <w:pPr>
              <w:spacing w:line="276" w:lineRule="auto"/>
              <w:rPr>
                <w:rFonts w:ascii="Arial" w:hAnsi="Arial" w:cs="Arial"/>
                <w:sz w:val="10"/>
                <w:szCs w:val="10"/>
                <w:lang w:val="en-US"/>
              </w:rPr>
            </w:pPr>
          </w:p>
        </w:tc>
        <w:tc>
          <w:tcPr>
            <w:tcW w:w="567" w:type="dxa"/>
          </w:tcPr>
          <w:p w14:paraId="259FDF40" w14:textId="77777777" w:rsidR="001C1082" w:rsidRPr="008442F9" w:rsidRDefault="001C1082" w:rsidP="001C1082">
            <w:pPr>
              <w:spacing w:line="276" w:lineRule="auto"/>
              <w:rPr>
                <w:rFonts w:ascii="Arial" w:hAnsi="Arial" w:cs="Arial"/>
                <w:sz w:val="10"/>
                <w:szCs w:val="10"/>
                <w:lang w:val="en-US"/>
              </w:rPr>
            </w:pPr>
          </w:p>
        </w:tc>
        <w:tc>
          <w:tcPr>
            <w:tcW w:w="426" w:type="dxa"/>
            <w:tcBorders>
              <w:right w:val="single" w:sz="2" w:space="0" w:color="auto"/>
            </w:tcBorders>
          </w:tcPr>
          <w:p w14:paraId="01447418"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3A266807" w14:textId="77777777" w:rsidR="001C1082" w:rsidRPr="008442F9" w:rsidRDefault="001C1082" w:rsidP="001C1082">
            <w:pPr>
              <w:spacing w:line="276" w:lineRule="auto"/>
              <w:rPr>
                <w:rFonts w:ascii="Arial" w:hAnsi="Arial" w:cs="Arial"/>
                <w:sz w:val="10"/>
                <w:szCs w:val="10"/>
                <w:lang w:val="en-US"/>
              </w:rPr>
            </w:pPr>
          </w:p>
        </w:tc>
        <w:tc>
          <w:tcPr>
            <w:tcW w:w="709" w:type="dxa"/>
            <w:tcBorders>
              <w:left w:val="single" w:sz="2" w:space="0" w:color="auto"/>
              <w:right w:val="single" w:sz="12" w:space="0" w:color="auto"/>
            </w:tcBorders>
          </w:tcPr>
          <w:p w14:paraId="6E71ADEE" w14:textId="77777777" w:rsidR="001C1082" w:rsidRPr="008442F9" w:rsidRDefault="001C1082" w:rsidP="001C1082">
            <w:pPr>
              <w:spacing w:line="276" w:lineRule="auto"/>
              <w:rPr>
                <w:rFonts w:ascii="Arial" w:hAnsi="Arial" w:cs="Arial"/>
                <w:sz w:val="10"/>
                <w:szCs w:val="10"/>
                <w:lang w:val="en-US"/>
              </w:rPr>
            </w:pPr>
          </w:p>
        </w:tc>
      </w:tr>
      <w:tr w:rsidR="001C1082" w:rsidRPr="008442F9" w14:paraId="590B52AB" w14:textId="77777777" w:rsidTr="0072087E">
        <w:tc>
          <w:tcPr>
            <w:tcW w:w="851" w:type="dxa"/>
            <w:tcBorders>
              <w:left w:val="single" w:sz="12" w:space="0" w:color="auto"/>
            </w:tcBorders>
          </w:tcPr>
          <w:p w14:paraId="6C0422C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Fuentes B (2010)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LZ0Pl6HR","properties":{"formattedCitation":"[45]","plainCitation":"[45]","noteIndex":0},"citationItems":[{"id":7089,"uris":["http://zotero.org/users/5097183/items/RLS2HH3G"],"uri":["http://zotero.org/users/5097183/items/RLS2HH3G"],"itemData":{"id":7089,"type":"article-journal","title":"Treatment with angiotensin receptor blockers before stroke could exert a favourable effect in acute cerebral infarction","container-title":"Journal of Hypertension","page":"575-581","volume":"28","issue":"3","source":"PubMed","abstract":"INTRODUCTION: Evidence from experimental and clinical studies is accumulating about the possible cerebral protective properties of antihypertensive drugs, mainly angiotensin receptor blockers (ARB) or angiotensin-converting enzyme inhibitors (ACEI). Our aim was to analyse the impact of prestroke use of antihypertensive drugs on stroke severity and outcome.\nMETHODS: We analysed 1968 consecutive patients with first-ever acute cerebral infarction admitted to an acute stroke unit. Stroke severity was evaluated using the Canadian Neurological Scale and the modified Rankin Score (mRS) was used to evaluate the outcome at discharge.\nRESULTS: Previous diagnosis of arterial hypertension was reported in 1212 patients and 73% were on antihypertensive treatment. No significant differences in stroke severity were found between patients with or without previous arterial hypertension, either in patients with or without antihypertensive treatment. Patients taking antihypertensive drugs at stroke onset had lower rates of poor outcome than those not on antihypertensive treatment (47 vs. 53%; P = 0.047) and those taking ARB had better outcomes than those without ARB (mRS &lt;or= 2: 75 vs. 65.8%; P = 0.029), with no differences in the analysis of other antihypertensive drugs. The multivariable logistic regression analysis showed that previous treatment with ARB was independently associated with reduced stroke severity (OR: 0.40; 95%CI 0.24-0.65; P &lt; 0.001) and against poor outcome (OR: 0.41; 95%CI 0.23-0.78; P = 0.003).\nCONCLUSION: Our study suggests that prestroke treatment with ARB may be associated with reduced stroke severity and also with better outcome. This finding agrees with experimental data that suggest a cerebral protective effect.","DOI":"10.1097/HJH.0b013e3283350f50","ISSN":"1473-5598","note":"PMID: 20090554","journalAbbreviation":"J. Hypertens.","language":"eng","author":[{"family":"Fuentes","given":"Blanca"},{"family":"Fernández-Domínguez","given":"Jessica"},{"family":"Ortega-Casarrubios","given":"M. Angeles"},{"family":"SanJosé","given":"Belén"},{"family":"Martínez-Sánchez","given":"Patricia"},{"family":"Díez-Tejedor","given":"Exuperio"}],"issued":{"date-parts":[["2010",3]]}}}],"schema":"https://github.com/citation-style-language/schema/raw/master/csl-citation.json"}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lang w:val="en-US"/>
              </w:rPr>
              <w:t>[45]</w:t>
            </w:r>
            <w:r w:rsidRPr="008442F9">
              <w:rPr>
                <w:rFonts w:ascii="Arial" w:hAnsi="Arial" w:cs="Arial"/>
                <w:sz w:val="10"/>
                <w:szCs w:val="10"/>
                <w:lang w:val="en-US"/>
              </w:rPr>
              <w:fldChar w:fldCharType="end"/>
            </w:r>
          </w:p>
        </w:tc>
        <w:tc>
          <w:tcPr>
            <w:tcW w:w="567" w:type="dxa"/>
          </w:tcPr>
          <w:p w14:paraId="75B67B7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 retrospective</w:t>
            </w:r>
          </w:p>
        </w:tc>
        <w:tc>
          <w:tcPr>
            <w:tcW w:w="567" w:type="dxa"/>
            <w:tcBorders>
              <w:right w:val="single" w:sz="12" w:space="0" w:color="auto"/>
            </w:tcBorders>
          </w:tcPr>
          <w:p w14:paraId="74AA676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484DD407" w14:textId="77777777" w:rsidR="001C1082" w:rsidRPr="008442F9" w:rsidRDefault="001C1082" w:rsidP="001C1082">
            <w:pPr>
              <w:spacing w:line="276" w:lineRule="auto"/>
              <w:rPr>
                <w:rFonts w:ascii="Arial" w:hAnsi="Arial" w:cs="Arial"/>
                <w:sz w:val="10"/>
                <w:szCs w:val="10"/>
                <w:lang w:val="en-US"/>
              </w:rPr>
            </w:pPr>
          </w:p>
        </w:tc>
        <w:tc>
          <w:tcPr>
            <w:tcW w:w="567" w:type="dxa"/>
          </w:tcPr>
          <w:p w14:paraId="6CCBE2E3" w14:textId="77777777" w:rsidR="001C1082" w:rsidRPr="008442F9" w:rsidRDefault="001C1082" w:rsidP="001C1082">
            <w:pPr>
              <w:spacing w:line="276" w:lineRule="auto"/>
              <w:rPr>
                <w:rFonts w:ascii="Arial" w:hAnsi="Arial" w:cs="Arial"/>
                <w:sz w:val="10"/>
                <w:szCs w:val="10"/>
                <w:lang w:val="en-US"/>
              </w:rPr>
            </w:pPr>
          </w:p>
        </w:tc>
        <w:tc>
          <w:tcPr>
            <w:tcW w:w="567" w:type="dxa"/>
            <w:tcBorders>
              <w:right w:val="single" w:sz="4" w:space="0" w:color="auto"/>
            </w:tcBorders>
          </w:tcPr>
          <w:p w14:paraId="64CC1034"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4" w:space="0" w:color="auto"/>
              <w:right w:val="single" w:sz="12" w:space="0" w:color="auto"/>
            </w:tcBorders>
          </w:tcPr>
          <w:p w14:paraId="039690E8"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tcBorders>
          </w:tcPr>
          <w:p w14:paraId="4241CAF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195</w:t>
            </w:r>
          </w:p>
        </w:tc>
        <w:tc>
          <w:tcPr>
            <w:tcW w:w="567" w:type="dxa"/>
          </w:tcPr>
          <w:p w14:paraId="7114C99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1773</w:t>
            </w:r>
          </w:p>
        </w:tc>
        <w:tc>
          <w:tcPr>
            <w:tcW w:w="567" w:type="dxa"/>
            <w:tcBorders>
              <w:right w:val="single" w:sz="2" w:space="0" w:color="auto"/>
            </w:tcBorders>
          </w:tcPr>
          <w:p w14:paraId="4586677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0.980 (0.728-1.</w:t>
            </w:r>
            <w:proofErr w:type="gramStart"/>
            <w:r w:rsidRPr="008442F9">
              <w:rPr>
                <w:rFonts w:ascii="Arial" w:hAnsi="Arial" w:cs="Arial"/>
                <w:sz w:val="10"/>
                <w:szCs w:val="10"/>
                <w:lang w:val="en-US"/>
              </w:rPr>
              <w:t>318)</w:t>
            </w:r>
            <w:r w:rsidRPr="008442F9">
              <w:rPr>
                <w:rFonts w:ascii="Arial" w:hAnsi="Arial" w:cs="Arial"/>
                <w:sz w:val="10"/>
                <w:szCs w:val="10"/>
                <w:vertAlign w:val="superscript"/>
                <w:lang w:val="en-US"/>
              </w:rPr>
              <w:t>d</w:t>
            </w:r>
            <w:proofErr w:type="gramEnd"/>
          </w:p>
        </w:tc>
        <w:tc>
          <w:tcPr>
            <w:tcW w:w="425" w:type="dxa"/>
            <w:tcBorders>
              <w:left w:val="single" w:sz="2" w:space="0" w:color="auto"/>
              <w:right w:val="single" w:sz="2" w:space="0" w:color="auto"/>
            </w:tcBorders>
          </w:tcPr>
          <w:p w14:paraId="503D2B1C"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&gt; 2</w:t>
            </w:r>
          </w:p>
        </w:tc>
        <w:tc>
          <w:tcPr>
            <w:tcW w:w="425" w:type="dxa"/>
            <w:tcBorders>
              <w:left w:val="single" w:sz="2" w:space="0" w:color="auto"/>
              <w:right w:val="single" w:sz="12" w:space="0" w:color="auto"/>
            </w:tcBorders>
          </w:tcPr>
          <w:p w14:paraId="55AB9EF2"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discharge</w:t>
            </w:r>
          </w:p>
        </w:tc>
        <w:tc>
          <w:tcPr>
            <w:tcW w:w="567" w:type="dxa"/>
            <w:tcBorders>
              <w:left w:val="single" w:sz="12" w:space="0" w:color="auto"/>
            </w:tcBorders>
          </w:tcPr>
          <w:p w14:paraId="33FD9896" w14:textId="77777777" w:rsidR="001C1082" w:rsidRPr="008442F9" w:rsidRDefault="001C1082" w:rsidP="001C1082">
            <w:pPr>
              <w:spacing w:line="276" w:lineRule="auto"/>
              <w:rPr>
                <w:rFonts w:ascii="Arial" w:hAnsi="Arial" w:cs="Arial"/>
                <w:sz w:val="10"/>
                <w:szCs w:val="10"/>
                <w:lang w:val="en-US"/>
              </w:rPr>
            </w:pPr>
          </w:p>
        </w:tc>
        <w:tc>
          <w:tcPr>
            <w:tcW w:w="567" w:type="dxa"/>
          </w:tcPr>
          <w:p w14:paraId="22D370D6" w14:textId="77777777" w:rsidR="001C1082" w:rsidRPr="008442F9" w:rsidRDefault="001C1082" w:rsidP="001C1082">
            <w:pPr>
              <w:spacing w:line="276" w:lineRule="auto"/>
              <w:rPr>
                <w:rFonts w:ascii="Arial" w:hAnsi="Arial" w:cs="Arial"/>
                <w:sz w:val="10"/>
                <w:szCs w:val="10"/>
                <w:lang w:val="en-US"/>
              </w:rPr>
            </w:pPr>
          </w:p>
        </w:tc>
        <w:tc>
          <w:tcPr>
            <w:tcW w:w="426" w:type="dxa"/>
            <w:tcBorders>
              <w:right w:val="single" w:sz="2" w:space="0" w:color="auto"/>
            </w:tcBorders>
          </w:tcPr>
          <w:p w14:paraId="249C7A04"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2201AEBE" w14:textId="77777777" w:rsidR="001C1082" w:rsidRPr="008442F9" w:rsidRDefault="001C1082" w:rsidP="001C1082">
            <w:pPr>
              <w:spacing w:line="276" w:lineRule="auto"/>
              <w:rPr>
                <w:rFonts w:ascii="Arial" w:hAnsi="Arial" w:cs="Arial"/>
                <w:sz w:val="10"/>
                <w:szCs w:val="10"/>
                <w:lang w:val="en-US"/>
              </w:rPr>
            </w:pPr>
          </w:p>
        </w:tc>
        <w:tc>
          <w:tcPr>
            <w:tcW w:w="709" w:type="dxa"/>
            <w:tcBorders>
              <w:left w:val="single" w:sz="2" w:space="0" w:color="auto"/>
              <w:right w:val="single" w:sz="12" w:space="0" w:color="auto"/>
            </w:tcBorders>
          </w:tcPr>
          <w:p w14:paraId="359966D9" w14:textId="77777777" w:rsidR="001C1082" w:rsidRPr="008442F9" w:rsidRDefault="001C1082" w:rsidP="001C1082">
            <w:pPr>
              <w:spacing w:line="276" w:lineRule="auto"/>
              <w:rPr>
                <w:rFonts w:ascii="Arial" w:hAnsi="Arial" w:cs="Arial"/>
                <w:sz w:val="10"/>
                <w:szCs w:val="10"/>
                <w:lang w:val="en-US"/>
              </w:rPr>
            </w:pPr>
          </w:p>
        </w:tc>
      </w:tr>
      <w:tr w:rsidR="001C1082" w:rsidRPr="008442F9" w14:paraId="1B8516BD" w14:textId="77777777" w:rsidTr="0072087E">
        <w:tc>
          <w:tcPr>
            <w:tcW w:w="851" w:type="dxa"/>
            <w:tcBorders>
              <w:left w:val="single" w:sz="12" w:space="0" w:color="auto"/>
            </w:tcBorders>
          </w:tcPr>
          <w:p w14:paraId="226F610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De </w:t>
            </w:r>
            <w:proofErr w:type="spellStart"/>
            <w:r w:rsidRPr="008442F9">
              <w:rPr>
                <w:rFonts w:ascii="Arial" w:hAnsi="Arial" w:cs="Arial"/>
                <w:sz w:val="10"/>
                <w:szCs w:val="10"/>
                <w:lang w:val="en-US"/>
              </w:rPr>
              <w:t>Raedt</w:t>
            </w:r>
            <w:proofErr w:type="spellEnd"/>
            <w:r w:rsidRPr="008442F9">
              <w:rPr>
                <w:rFonts w:ascii="Arial" w:hAnsi="Arial" w:cs="Arial"/>
                <w:sz w:val="10"/>
                <w:szCs w:val="10"/>
                <w:lang w:val="en-US"/>
              </w:rPr>
              <w:t xml:space="preserve"> S (2012)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0BE08scA","properties":{"formattedCitation":"[46]","plainCitation":"[46]","noteIndex":0},"citationItems":[{"id":8511,"uris":["http://zotero.org/users/5097183/items/CIJH3JWH"],"uri":["http://zotero.org/users/5097183/items/CIJH3JWH"],"itemData":{"id":8511,"type":"article-journal","title":"Pre-stroke use of beta-blockers does not affect ischaemic stroke severity and outcome","container-title":"European Journal of Neurology","page":"234-240","volume":"19","issue":"2","source":"PubMed","abstract":"BACKGROUND AND PURPOSE: It is unclear whether pre-stroke beta-blockers use may influence stroke outcome. This study evaluates the independent effect of pre-stroke use of beta-blockers on ischaemic stroke severity and 3 months functional outcome.\nMETHODS: Pre-stroke use of beta-blockers was investigated in 1375 ischaemic stroke patients who had been included in two placebo-controlled trials with lubeluzole. Stroke severity was assessed by either the National Institute of Health Stroke Scale (NIHSS) or the European Stroke Scale (ESS). A modified Rankin scale (mRS) score of &gt;3 at 3 months was used as measure for the poor functional outcome.\nRESULTS: Two hundred and sixty four patients were on beta-blockers prior to stroke onset, and 105 patients continued treatment after their stroke. Pretreatment with beta-blockers did not influence baseline stroke severity. There was no difference in stroke severity between nonusers and those on either a selective beta(1)-blocker or a non-selective beta-blocker. The likelihood of a poor outcome at 3 months was not influenced by pre-stroke beta-blocker use or beta-blocker use before and continued after stroke onset.\nCONCLUSIONS: Pre-stroke use of beta-blockers does not appear to influence stroke severity and functional outcome at 3 months.","DOI":"10.1111/j.1468-1331.2011.03475.x","ISSN":"1468-1331","note":"PMID: 21777353","journalAbbreviation":"Eur. J. Neurol.","language":"eng","author":[{"family":"De Raedt","given":"S."},{"family":"Haentjens","given":"P."},{"family":"De Smedt","given":"A."},{"family":"Brouns","given":"R."},{"family":"Uyttenboogaart","given":"M."},{"family":"Luijckx","given":"G. J."},{"family":"De Keyser","given":"J."}],"issued":{"date-parts":[["2012",2]]}}}],"schema":"https://github.com/citation-style-language/schema/raw/master/csl-citation.json"}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lang w:val="en-US"/>
              </w:rPr>
              <w:t>[46]</w:t>
            </w:r>
            <w:r w:rsidRPr="008442F9">
              <w:rPr>
                <w:rFonts w:ascii="Arial" w:hAnsi="Arial" w:cs="Arial"/>
                <w:sz w:val="10"/>
                <w:szCs w:val="10"/>
                <w:lang w:val="en-US"/>
              </w:rPr>
              <w:fldChar w:fldCharType="end"/>
            </w:r>
          </w:p>
        </w:tc>
        <w:tc>
          <w:tcPr>
            <w:tcW w:w="567" w:type="dxa"/>
          </w:tcPr>
          <w:p w14:paraId="25EA53D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Cohort</w:t>
            </w:r>
          </w:p>
        </w:tc>
        <w:tc>
          <w:tcPr>
            <w:tcW w:w="567" w:type="dxa"/>
            <w:tcBorders>
              <w:right w:val="single" w:sz="12" w:space="0" w:color="auto"/>
            </w:tcBorders>
          </w:tcPr>
          <w:p w14:paraId="29A0049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7ADD4E13" w14:textId="77777777" w:rsidR="001C1082" w:rsidRPr="008442F9" w:rsidRDefault="001C1082" w:rsidP="001C1082">
            <w:pPr>
              <w:spacing w:line="276" w:lineRule="auto"/>
              <w:rPr>
                <w:rFonts w:ascii="Arial" w:hAnsi="Arial" w:cs="Arial"/>
                <w:sz w:val="10"/>
                <w:szCs w:val="10"/>
                <w:lang w:val="en-US"/>
              </w:rPr>
            </w:pPr>
          </w:p>
        </w:tc>
        <w:tc>
          <w:tcPr>
            <w:tcW w:w="567" w:type="dxa"/>
          </w:tcPr>
          <w:p w14:paraId="17092FB5" w14:textId="77777777" w:rsidR="001C1082" w:rsidRPr="008442F9" w:rsidRDefault="001C1082" w:rsidP="001C1082">
            <w:pPr>
              <w:spacing w:line="276" w:lineRule="auto"/>
              <w:rPr>
                <w:rFonts w:ascii="Arial" w:hAnsi="Arial" w:cs="Arial"/>
                <w:sz w:val="10"/>
                <w:szCs w:val="10"/>
                <w:lang w:val="en-US"/>
              </w:rPr>
            </w:pPr>
          </w:p>
        </w:tc>
        <w:tc>
          <w:tcPr>
            <w:tcW w:w="567" w:type="dxa"/>
            <w:tcBorders>
              <w:right w:val="single" w:sz="4" w:space="0" w:color="auto"/>
            </w:tcBorders>
          </w:tcPr>
          <w:p w14:paraId="5677EF85"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4" w:space="0" w:color="auto"/>
              <w:right w:val="single" w:sz="12" w:space="0" w:color="auto"/>
            </w:tcBorders>
          </w:tcPr>
          <w:p w14:paraId="522CA711"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tcBorders>
          </w:tcPr>
          <w:p w14:paraId="16122AA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103 (52)</w:t>
            </w:r>
          </w:p>
        </w:tc>
        <w:tc>
          <w:tcPr>
            <w:tcW w:w="567" w:type="dxa"/>
          </w:tcPr>
          <w:p w14:paraId="51FAABE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1080 (589)</w:t>
            </w:r>
          </w:p>
        </w:tc>
        <w:tc>
          <w:tcPr>
            <w:tcW w:w="567" w:type="dxa"/>
            <w:tcBorders>
              <w:right w:val="single" w:sz="2" w:space="0" w:color="auto"/>
            </w:tcBorders>
          </w:tcPr>
          <w:p w14:paraId="18A153A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0.85 (0.57-1.</w:t>
            </w:r>
            <w:proofErr w:type="gramStart"/>
            <w:r w:rsidRPr="008442F9">
              <w:rPr>
                <w:rFonts w:ascii="Arial" w:hAnsi="Arial" w:cs="Arial"/>
                <w:sz w:val="10"/>
                <w:szCs w:val="10"/>
                <w:lang w:val="en-US"/>
              </w:rPr>
              <w:t>27)</w:t>
            </w:r>
            <w:r w:rsidRPr="008442F9">
              <w:rPr>
                <w:rFonts w:ascii="Arial" w:hAnsi="Arial" w:cs="Arial"/>
                <w:sz w:val="10"/>
                <w:szCs w:val="10"/>
                <w:vertAlign w:val="superscript"/>
                <w:lang w:val="en-US"/>
              </w:rPr>
              <w:t>d</w:t>
            </w:r>
            <w:proofErr w:type="gramEnd"/>
          </w:p>
        </w:tc>
        <w:tc>
          <w:tcPr>
            <w:tcW w:w="425" w:type="dxa"/>
            <w:tcBorders>
              <w:left w:val="single" w:sz="2" w:space="0" w:color="auto"/>
              <w:right w:val="single" w:sz="2" w:space="0" w:color="auto"/>
            </w:tcBorders>
          </w:tcPr>
          <w:p w14:paraId="0011D607"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&gt;3</w:t>
            </w:r>
          </w:p>
        </w:tc>
        <w:tc>
          <w:tcPr>
            <w:tcW w:w="425" w:type="dxa"/>
            <w:tcBorders>
              <w:left w:val="single" w:sz="2" w:space="0" w:color="auto"/>
              <w:right w:val="single" w:sz="12" w:space="0" w:color="auto"/>
            </w:tcBorders>
          </w:tcPr>
          <w:p w14:paraId="474C872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3-months from ictus</w:t>
            </w:r>
          </w:p>
        </w:tc>
        <w:tc>
          <w:tcPr>
            <w:tcW w:w="567" w:type="dxa"/>
            <w:tcBorders>
              <w:left w:val="single" w:sz="12" w:space="0" w:color="auto"/>
            </w:tcBorders>
          </w:tcPr>
          <w:p w14:paraId="5DEA07B6" w14:textId="77777777" w:rsidR="001C1082" w:rsidRPr="008442F9" w:rsidRDefault="001C1082" w:rsidP="001C1082">
            <w:pPr>
              <w:spacing w:line="276" w:lineRule="auto"/>
              <w:rPr>
                <w:rFonts w:ascii="Arial" w:hAnsi="Arial" w:cs="Arial"/>
                <w:sz w:val="10"/>
                <w:szCs w:val="10"/>
                <w:lang w:val="en-US"/>
              </w:rPr>
            </w:pPr>
          </w:p>
        </w:tc>
        <w:tc>
          <w:tcPr>
            <w:tcW w:w="567" w:type="dxa"/>
          </w:tcPr>
          <w:p w14:paraId="7636B418" w14:textId="77777777" w:rsidR="001C1082" w:rsidRPr="008442F9" w:rsidRDefault="001C1082" w:rsidP="001C1082">
            <w:pPr>
              <w:spacing w:line="276" w:lineRule="auto"/>
              <w:rPr>
                <w:rFonts w:ascii="Arial" w:hAnsi="Arial" w:cs="Arial"/>
                <w:sz w:val="10"/>
                <w:szCs w:val="10"/>
                <w:lang w:val="en-US"/>
              </w:rPr>
            </w:pPr>
          </w:p>
        </w:tc>
        <w:tc>
          <w:tcPr>
            <w:tcW w:w="426" w:type="dxa"/>
            <w:tcBorders>
              <w:right w:val="single" w:sz="2" w:space="0" w:color="auto"/>
            </w:tcBorders>
          </w:tcPr>
          <w:p w14:paraId="2BA7FAE6"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66511EE5" w14:textId="77777777" w:rsidR="001C1082" w:rsidRPr="008442F9" w:rsidRDefault="001C1082" w:rsidP="001C1082">
            <w:pPr>
              <w:spacing w:line="276" w:lineRule="auto"/>
              <w:rPr>
                <w:rFonts w:ascii="Arial" w:hAnsi="Arial" w:cs="Arial"/>
                <w:sz w:val="10"/>
                <w:szCs w:val="10"/>
                <w:lang w:val="en-US"/>
              </w:rPr>
            </w:pPr>
          </w:p>
        </w:tc>
        <w:tc>
          <w:tcPr>
            <w:tcW w:w="709" w:type="dxa"/>
            <w:tcBorders>
              <w:left w:val="single" w:sz="2" w:space="0" w:color="auto"/>
              <w:right w:val="single" w:sz="12" w:space="0" w:color="auto"/>
            </w:tcBorders>
          </w:tcPr>
          <w:p w14:paraId="511B331F" w14:textId="77777777" w:rsidR="001C1082" w:rsidRPr="008442F9" w:rsidRDefault="001C1082" w:rsidP="001C1082">
            <w:pPr>
              <w:spacing w:line="276" w:lineRule="auto"/>
              <w:rPr>
                <w:rFonts w:ascii="Arial" w:hAnsi="Arial" w:cs="Arial"/>
                <w:sz w:val="10"/>
                <w:szCs w:val="10"/>
                <w:lang w:val="en-US"/>
              </w:rPr>
            </w:pPr>
          </w:p>
        </w:tc>
      </w:tr>
      <w:tr w:rsidR="001C1082" w:rsidRPr="008442F9" w14:paraId="6CD67BB5" w14:textId="77777777" w:rsidTr="0072087E">
        <w:tc>
          <w:tcPr>
            <w:tcW w:w="851" w:type="dxa"/>
            <w:tcBorders>
              <w:left w:val="single" w:sz="12" w:space="0" w:color="auto"/>
            </w:tcBorders>
          </w:tcPr>
          <w:p w14:paraId="5BC60868"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Kalita</w:t>
            </w:r>
            <w:proofErr w:type="spellEnd"/>
            <w:r w:rsidRPr="008442F9">
              <w:rPr>
                <w:rFonts w:ascii="Arial" w:hAnsi="Arial" w:cs="Arial"/>
                <w:sz w:val="10"/>
                <w:szCs w:val="10"/>
                <w:lang w:val="en-US"/>
              </w:rPr>
              <w:t xml:space="preserve"> J (2013)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Ibi2TRTd","properties":{"formattedCitation":"[34]","plainCitation":"[34]","noteIndex":0},"citationItems":[{"id":8145,"uris":["http://zotero.org/users/5097183/items/WVZEZ2DB"],"uri":["http://zotero.org/users/5097183/items/WVZEZ2DB"],"itemData":{"id":8145,"type":"article-journal","title":"Is β-blocker (atenolol) a preferred antihypertensive in acute intracerebral hemorrhage?","container-title":"Neurological Sciences: Official Journal of the Italian Neurological Society and of the Italian Society of Clinical Neurophysiology","page":"1099-1104","volume":"34","issue":"7","source":"PubMed","abstract":"The mortality in intracerebral hemorrhage (ICH) is mainly due to raised intracranial pressure, and its complications mediated by sympathetic overactivity. There is paucity of studies evaluating the role of β-blockers in the outcome of ICH. This study reports the role of atenolol in reducing mortality, pneumonia, systemic inflammatory response syndrome (SIRS), and 3 months outcome in the patients with hypertensive ICH. 138 consecutive patients with hypertensive ICH were included and their stroke risk factors and clinical details were recorded. Consciousness was assessed by Glasgow Coma Scale and severity of stroke by Canadian Neurological Scale. Volume of hematoma was measures on CT scan and occurrence of SIRS and pneumonia were noted. 3 months outcome was categorized into good (Barthel index &gt;12) and poor (BI &lt; 12). The patients were categorized into those receiving atenolol and nonatenolol. The effects of atenolol on stroke outcome parameters were evaluated. Seventy-nine patients received atenolol and 59 did not and they mainly received amlodipine. There was no difference in the base line clinical characteristics between the two groups except smoking (P = 0.01) and baseline blood pressure (P = 0.007). Atenolol significantly reduced the mortality (11.4 vs 37.3 %, P &lt; 0.0001), SIRS (16.4 vs 40.9 %, P = 0.007), and pneumonia (8.9 vs 30.5 %, P = 0.002) compared to those not receiving atenolol. At 3 months, patients with atenolol had insignificantly better outcome compared to nonatenolol group (49.1 vs 31.9 %, P = 0.11). Use of atenolol in hypertensive ICH results in reduction in mortality, SIRS, and pneumonia which may be due to its β-adrenergic blocking effect.","DOI":"10.1007/s10072-012-1210-y","ISSN":"1590-3478","note":"PMID: 23053838","journalAbbreviation":"Neurol. Sci.","language":"eng","author":[{"family":"Kalita","given":"Jayantee"},{"family":"Misra","given":"Usha Kant"},{"family":"Kumar","given":"Bishwanath"}],"issued":{"date-parts":[["2013",7]]}}}],"schema":"https://github.com/citation-style-language/schema/raw/master/csl-citation.json"}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rPr>
              <w:t>[34]</w:t>
            </w:r>
            <w:r w:rsidRPr="008442F9">
              <w:rPr>
                <w:rFonts w:ascii="Arial" w:hAnsi="Arial" w:cs="Arial"/>
                <w:sz w:val="10"/>
                <w:szCs w:val="10"/>
                <w:lang w:val="en-US"/>
              </w:rPr>
              <w:fldChar w:fldCharType="end"/>
            </w:r>
          </w:p>
        </w:tc>
        <w:tc>
          <w:tcPr>
            <w:tcW w:w="567" w:type="dxa"/>
          </w:tcPr>
          <w:p w14:paraId="573D5D0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w:t>
            </w:r>
          </w:p>
        </w:tc>
        <w:tc>
          <w:tcPr>
            <w:tcW w:w="567" w:type="dxa"/>
            <w:tcBorders>
              <w:right w:val="single" w:sz="12" w:space="0" w:color="auto"/>
            </w:tcBorders>
          </w:tcPr>
          <w:p w14:paraId="6826371F"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Haemorrhagic</w:t>
            </w:r>
            <w:proofErr w:type="spellEnd"/>
            <w:r w:rsidRPr="008442F9">
              <w:rPr>
                <w:rFonts w:ascii="Arial" w:hAnsi="Arial" w:cs="Arial"/>
                <w:sz w:val="10"/>
                <w:szCs w:val="10"/>
                <w:lang w:val="en-US"/>
              </w:rPr>
              <w:t xml:space="preserve"> stroke</w:t>
            </w:r>
          </w:p>
        </w:tc>
        <w:tc>
          <w:tcPr>
            <w:tcW w:w="567" w:type="dxa"/>
            <w:tcBorders>
              <w:left w:val="single" w:sz="12" w:space="0" w:color="auto"/>
            </w:tcBorders>
          </w:tcPr>
          <w:p w14:paraId="1D1D83D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79 (9)</w:t>
            </w:r>
          </w:p>
        </w:tc>
        <w:tc>
          <w:tcPr>
            <w:tcW w:w="567" w:type="dxa"/>
          </w:tcPr>
          <w:p w14:paraId="1057B84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59 (22)</w:t>
            </w:r>
          </w:p>
        </w:tc>
        <w:tc>
          <w:tcPr>
            <w:tcW w:w="567" w:type="dxa"/>
            <w:tcBorders>
              <w:right w:val="single" w:sz="4" w:space="0" w:color="auto"/>
            </w:tcBorders>
          </w:tcPr>
          <w:p w14:paraId="1046631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0.83 (0.006-1.</w:t>
            </w:r>
            <w:proofErr w:type="gramStart"/>
            <w:r w:rsidRPr="008442F9">
              <w:rPr>
                <w:rFonts w:ascii="Arial" w:hAnsi="Arial" w:cs="Arial"/>
                <w:sz w:val="10"/>
                <w:szCs w:val="10"/>
                <w:lang w:val="en-US"/>
              </w:rPr>
              <w:t>09)</w:t>
            </w:r>
            <w:r w:rsidRPr="008442F9">
              <w:rPr>
                <w:rFonts w:ascii="Arial" w:hAnsi="Arial" w:cs="Arial"/>
                <w:sz w:val="10"/>
                <w:szCs w:val="10"/>
                <w:vertAlign w:val="superscript"/>
                <w:lang w:val="en-US"/>
              </w:rPr>
              <w:t>a</w:t>
            </w:r>
            <w:proofErr w:type="gramEnd"/>
          </w:p>
        </w:tc>
        <w:tc>
          <w:tcPr>
            <w:tcW w:w="567" w:type="dxa"/>
            <w:tcBorders>
              <w:left w:val="single" w:sz="4" w:space="0" w:color="auto"/>
              <w:right w:val="single" w:sz="12" w:space="0" w:color="auto"/>
            </w:tcBorders>
          </w:tcPr>
          <w:p w14:paraId="7753A87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1-month from ictus</w:t>
            </w:r>
          </w:p>
        </w:tc>
        <w:tc>
          <w:tcPr>
            <w:tcW w:w="567" w:type="dxa"/>
            <w:tcBorders>
              <w:left w:val="single" w:sz="12" w:space="0" w:color="auto"/>
            </w:tcBorders>
          </w:tcPr>
          <w:p w14:paraId="5F72D1E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55 (28)</w:t>
            </w:r>
          </w:p>
        </w:tc>
        <w:tc>
          <w:tcPr>
            <w:tcW w:w="567" w:type="dxa"/>
          </w:tcPr>
          <w:p w14:paraId="52EB10F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47 (32)</w:t>
            </w:r>
          </w:p>
        </w:tc>
        <w:tc>
          <w:tcPr>
            <w:tcW w:w="567" w:type="dxa"/>
            <w:tcBorders>
              <w:right w:val="single" w:sz="2" w:space="0" w:color="auto"/>
            </w:tcBorders>
          </w:tcPr>
          <w:p w14:paraId="1EF788BD"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1945716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BI ≤ 12</w:t>
            </w:r>
          </w:p>
        </w:tc>
        <w:tc>
          <w:tcPr>
            <w:tcW w:w="425" w:type="dxa"/>
            <w:tcBorders>
              <w:left w:val="single" w:sz="2" w:space="0" w:color="auto"/>
              <w:right w:val="single" w:sz="12" w:space="0" w:color="auto"/>
            </w:tcBorders>
          </w:tcPr>
          <w:p w14:paraId="181D80B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3-months from ictus</w:t>
            </w:r>
          </w:p>
        </w:tc>
        <w:tc>
          <w:tcPr>
            <w:tcW w:w="567" w:type="dxa"/>
            <w:tcBorders>
              <w:left w:val="single" w:sz="12" w:space="0" w:color="auto"/>
            </w:tcBorders>
          </w:tcPr>
          <w:p w14:paraId="3EDF108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79 (7)</w:t>
            </w:r>
          </w:p>
        </w:tc>
        <w:tc>
          <w:tcPr>
            <w:tcW w:w="567" w:type="dxa"/>
          </w:tcPr>
          <w:p w14:paraId="0E8A833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59 (18)</w:t>
            </w:r>
          </w:p>
        </w:tc>
        <w:tc>
          <w:tcPr>
            <w:tcW w:w="426" w:type="dxa"/>
            <w:tcBorders>
              <w:right w:val="single" w:sz="2" w:space="0" w:color="auto"/>
            </w:tcBorders>
          </w:tcPr>
          <w:p w14:paraId="72D85281"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6FE21F4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Pneumonia</w:t>
            </w:r>
          </w:p>
        </w:tc>
        <w:tc>
          <w:tcPr>
            <w:tcW w:w="709" w:type="dxa"/>
            <w:tcBorders>
              <w:left w:val="single" w:sz="2" w:space="0" w:color="auto"/>
              <w:right w:val="single" w:sz="12" w:space="0" w:color="auto"/>
            </w:tcBorders>
          </w:tcPr>
          <w:p w14:paraId="50D7409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r>
      <w:tr w:rsidR="001C1082" w:rsidRPr="008442F9" w14:paraId="2BB3EA5E" w14:textId="77777777" w:rsidTr="0072087E">
        <w:tc>
          <w:tcPr>
            <w:tcW w:w="851" w:type="dxa"/>
            <w:tcBorders>
              <w:left w:val="single" w:sz="12" w:space="0" w:color="auto"/>
            </w:tcBorders>
          </w:tcPr>
          <w:p w14:paraId="7B54C330"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Shoup</w:t>
            </w:r>
            <w:proofErr w:type="spellEnd"/>
            <w:r w:rsidRPr="008442F9">
              <w:rPr>
                <w:rFonts w:ascii="Arial" w:hAnsi="Arial" w:cs="Arial"/>
                <w:sz w:val="10"/>
                <w:szCs w:val="10"/>
                <w:lang w:val="en-US"/>
              </w:rPr>
              <w:t xml:space="preserve"> JP (2014)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I87UXFt2","properties":{"formattedCitation":"[35]","plainCitation":"[35]","noteIndex":0},"citationItems":[{"id":36,"uris":["http://zotero.org/users/5097183/items/XUCJDPBL"],"uri":["http://zotero.org/users/5097183/items/XUCJDPBL"],"itemData":{"id":36,"type":"article-journal","title":"β-Blockers associated with no class-specific survival benefit in acute intracerebral hemorrhage","container-title":"Journal of the Neurological Sciences","page":"127-131","volume":"336","issue":"1-2","source":"PubMed","abstract":"OBJECTIVES: Despite the high mortality, there is currently no specific treatment for intracerebral hemorrhage (ICH). Research investigating optimum degree of blood pressure control in patients presenting with ICH and hypertension is ongoing. However, there is limited understanding of the potential benefits of specific classes of antihypertensive therapy. β-Adrenergic antagonists may provide neuroprotection from inflammation-induced injury by inhibiting sympathetic nervous system mediated immune activation. We examined mortality in ICH patients receiving β-adrenergic antagonists to determine whether this class of antihypertensive therapy was associated with improved survival.\nMETHODS: A retrospective analysis of a large, prospectively collected database of patients presenting with acute ICH was performed. Patients were grouped by inpatient β-blocker treatment to determine an effect on mortality during the inpatient stay and at 3 months of follow-up. Additional analysis was conducted comparing β-blocker therapy to any other antihypertensive treatment to determine a class-specific association of β-blocker treatment with mortality.\nRESULTS: The study population included 426 patients with acute, spontaneous ICH. Inpatient β-blocker use was independently associated with decreased rates of inpatient death and mortality at 3 months of follow-up. However, univariate and multivariable analyses comparing β-blocker use to other antihypertensives failed to show any class-specific reduction in mortality at either time point.\nDISCUSSION: Our study demonstrates that the improvement seen in patients treated with β-adrenergic antagonists is not an effect unique to this class. This supports ongoing trials to determine optimum levels of blood pressure control using multiple classes of antihypertensives.","DOI":"10.1016/j.jns.2013.10.022","ISSN":"1878-5883","note":"PMID: 24183854\nPMCID: PMC4956481","journalAbbreviation":"J. Neurol. Sci.","language":"eng","author":[{"family":"Shoup","given":"J. P."},{"family":"Winkler","given":"J."},{"family":"Czap","given":"A."},{"family":"Staff","given":"I."},{"family":"Fortunato","given":"G."},{"family":"McCullough","given":"L. D."},{"family":"Sansing","given":"L. H."}],"issued":{"date-parts":[["2014",1,15]]}}}],"schema":"https://github.com/citation-style-language/schema/raw/master/csl-citation.json"}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rPr>
              <w:t>[35]</w:t>
            </w:r>
            <w:r w:rsidRPr="008442F9">
              <w:rPr>
                <w:rFonts w:ascii="Arial" w:hAnsi="Arial" w:cs="Arial"/>
                <w:sz w:val="10"/>
                <w:szCs w:val="10"/>
                <w:lang w:val="en-US"/>
              </w:rPr>
              <w:fldChar w:fldCharType="end"/>
            </w:r>
          </w:p>
        </w:tc>
        <w:tc>
          <w:tcPr>
            <w:tcW w:w="567" w:type="dxa"/>
          </w:tcPr>
          <w:p w14:paraId="7DD1132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 retrospective</w:t>
            </w:r>
          </w:p>
        </w:tc>
        <w:tc>
          <w:tcPr>
            <w:tcW w:w="567" w:type="dxa"/>
            <w:tcBorders>
              <w:right w:val="single" w:sz="12" w:space="0" w:color="auto"/>
            </w:tcBorders>
          </w:tcPr>
          <w:p w14:paraId="58D7BB38"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Haemorrhagic</w:t>
            </w:r>
            <w:proofErr w:type="spellEnd"/>
            <w:r w:rsidRPr="008442F9">
              <w:rPr>
                <w:rFonts w:ascii="Arial" w:hAnsi="Arial" w:cs="Arial"/>
                <w:sz w:val="10"/>
                <w:szCs w:val="10"/>
                <w:lang w:val="en-US"/>
              </w:rPr>
              <w:t xml:space="preserve"> stroke</w:t>
            </w:r>
          </w:p>
        </w:tc>
        <w:tc>
          <w:tcPr>
            <w:tcW w:w="567" w:type="dxa"/>
            <w:tcBorders>
              <w:left w:val="single" w:sz="12" w:space="0" w:color="auto"/>
            </w:tcBorders>
          </w:tcPr>
          <w:p w14:paraId="6736324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275 (75)</w:t>
            </w:r>
          </w:p>
        </w:tc>
        <w:tc>
          <w:tcPr>
            <w:tcW w:w="567" w:type="dxa"/>
          </w:tcPr>
          <w:p w14:paraId="2533ACF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151 (76)</w:t>
            </w:r>
          </w:p>
        </w:tc>
        <w:tc>
          <w:tcPr>
            <w:tcW w:w="567" w:type="dxa"/>
            <w:tcBorders>
              <w:right w:val="single" w:sz="4" w:space="0" w:color="auto"/>
            </w:tcBorders>
          </w:tcPr>
          <w:p w14:paraId="4A7EDA5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0.21 (0.07-0.</w:t>
            </w:r>
            <w:proofErr w:type="gramStart"/>
            <w:r w:rsidRPr="008442F9">
              <w:rPr>
                <w:rFonts w:ascii="Arial" w:hAnsi="Arial" w:cs="Arial"/>
                <w:sz w:val="10"/>
                <w:szCs w:val="10"/>
                <w:lang w:val="en-US"/>
              </w:rPr>
              <w:t>59)</w:t>
            </w:r>
            <w:r w:rsidRPr="008442F9">
              <w:rPr>
                <w:rFonts w:ascii="Arial" w:hAnsi="Arial" w:cs="Arial"/>
                <w:sz w:val="10"/>
                <w:szCs w:val="10"/>
                <w:vertAlign w:val="superscript"/>
                <w:lang w:val="en-US"/>
              </w:rPr>
              <w:t>a</w:t>
            </w:r>
            <w:proofErr w:type="gramEnd"/>
          </w:p>
        </w:tc>
        <w:tc>
          <w:tcPr>
            <w:tcW w:w="567" w:type="dxa"/>
            <w:tcBorders>
              <w:left w:val="single" w:sz="4" w:space="0" w:color="auto"/>
              <w:right w:val="single" w:sz="12" w:space="0" w:color="auto"/>
            </w:tcBorders>
          </w:tcPr>
          <w:p w14:paraId="7F8B234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c>
          <w:tcPr>
            <w:tcW w:w="567" w:type="dxa"/>
            <w:tcBorders>
              <w:left w:val="single" w:sz="12" w:space="0" w:color="auto"/>
            </w:tcBorders>
          </w:tcPr>
          <w:p w14:paraId="17D6502A" w14:textId="77777777" w:rsidR="001C1082" w:rsidRPr="008442F9" w:rsidRDefault="001C1082" w:rsidP="001C1082">
            <w:pPr>
              <w:spacing w:line="276" w:lineRule="auto"/>
              <w:rPr>
                <w:rFonts w:ascii="Arial" w:hAnsi="Arial" w:cs="Arial"/>
                <w:sz w:val="10"/>
                <w:szCs w:val="10"/>
                <w:lang w:val="en-US"/>
              </w:rPr>
            </w:pPr>
          </w:p>
        </w:tc>
        <w:tc>
          <w:tcPr>
            <w:tcW w:w="567" w:type="dxa"/>
          </w:tcPr>
          <w:p w14:paraId="13CE133B" w14:textId="77777777" w:rsidR="001C1082" w:rsidRPr="008442F9" w:rsidRDefault="001C1082" w:rsidP="001C1082">
            <w:pPr>
              <w:spacing w:line="276" w:lineRule="auto"/>
              <w:rPr>
                <w:rFonts w:ascii="Arial" w:hAnsi="Arial" w:cs="Arial"/>
                <w:sz w:val="10"/>
                <w:szCs w:val="10"/>
                <w:lang w:val="en-US"/>
              </w:rPr>
            </w:pPr>
          </w:p>
        </w:tc>
        <w:tc>
          <w:tcPr>
            <w:tcW w:w="567" w:type="dxa"/>
            <w:tcBorders>
              <w:right w:val="single" w:sz="2" w:space="0" w:color="auto"/>
            </w:tcBorders>
          </w:tcPr>
          <w:p w14:paraId="63C48C35"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0643BBED"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12" w:space="0" w:color="auto"/>
            </w:tcBorders>
          </w:tcPr>
          <w:p w14:paraId="6F8D316F"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tcBorders>
          </w:tcPr>
          <w:p w14:paraId="16AE745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275 (88)</w:t>
            </w:r>
          </w:p>
        </w:tc>
        <w:tc>
          <w:tcPr>
            <w:tcW w:w="567" w:type="dxa"/>
          </w:tcPr>
          <w:p w14:paraId="3DB1578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151 (24)</w:t>
            </w:r>
          </w:p>
        </w:tc>
        <w:tc>
          <w:tcPr>
            <w:tcW w:w="426" w:type="dxa"/>
            <w:tcBorders>
              <w:right w:val="single" w:sz="2" w:space="0" w:color="auto"/>
            </w:tcBorders>
          </w:tcPr>
          <w:p w14:paraId="577721BE"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1056581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Infection</w:t>
            </w:r>
          </w:p>
        </w:tc>
        <w:tc>
          <w:tcPr>
            <w:tcW w:w="709" w:type="dxa"/>
            <w:tcBorders>
              <w:left w:val="single" w:sz="2" w:space="0" w:color="auto"/>
              <w:right w:val="single" w:sz="12" w:space="0" w:color="auto"/>
            </w:tcBorders>
          </w:tcPr>
          <w:p w14:paraId="5B7ED4B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r>
      <w:tr w:rsidR="001C1082" w:rsidRPr="008442F9" w14:paraId="25223B67" w14:textId="77777777" w:rsidTr="0072087E">
        <w:tc>
          <w:tcPr>
            <w:tcW w:w="851" w:type="dxa"/>
            <w:tcBorders>
              <w:left w:val="single" w:sz="12" w:space="0" w:color="auto"/>
            </w:tcBorders>
          </w:tcPr>
          <w:p w14:paraId="3032E93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Maier IL (2015)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WqVsyXkS","properties":{"formattedCitation":"[36]","plainCitation":"[36]","noteIndex":0},"citationItems":[{"id":7658,"uris":["http://zotero.org/users/5097183/items/8SP4YJSE"],"uri":["http://zotero.org/users/5097183/items/8SP4YJSE"],"itemData":{"id":7658,"type":"article-journal","title":"Effect of beta-blocker therapy on the risk of infections and death after acute stroke--a historical cohort study","container-title":"PloS One","page":"e0116836","volume":"10","issue":"2","source":"PubMed","abstract":"BACKGROUND: Infections are a frequent cause for prolonged hospitalization and increased mortality after stroke. Recent studies revealed a stroke-induced depression of the peripheral immune system associated with an increased susceptibility for infections. In a mice model for stroke, this immunosuppressive effect was reversible after beta-blocker administration. The aim of our study was to investigate the effect of beta-blocker therapy on the risk of infections and death after stroke in humans.\nMETHODS: 625 consecutive patients with ischemic or hemorrhagic stroke, admitted to a university hospital stroke unit, were included in this historical cohort study. The effect of beta-blocker therapy on post-stroke pneumonia, urinary tract infections and death was investigated using multivariable Poisson and Cox regression models.\nRESULTS: 553 (88.3%) patients were admitted with ischemic stroke, the remaining 72 (11.7%) had a hemorrhagic stroke. Median baseline NIHSS was 8 (IQR 5-16) points. 301 (48.2%) patients received beta-blocker therapy. There was no difference in the risk of post-stroke pneumonia between patients with and without beta-blocker therapy (Rate Ratio = 1.00, 95%CI 0.77-1.30, p = 0.995). Patients with beta-blocker therapy showed a decreased risk for urinary tract infections (RR = 0.65, 95%CI 0.43-0.98, p = 0.040). 7-days mortality did not differ between groups (Hazard Ratio = 1.36, 95%CI 0.65-2.77, p = 0.425), while patients with beta-blocker therapy showed a higher 30-days mortality (HR = 1.93, 95%CI 1.20-3.10, p = 0.006).\nCONCLUSIONS: Beta-blocker therapy did not reduce the risk for post-stroke pneumonia, but significantly reduced the risk for urinary tract infections. Different immune mechanisms underlying both diseases might explain these findings that need to be confirmed in future studies.","DOI":"10.1371/journal.pone.0116836","ISSN":"1932-6203","note":"PMID: 25643360\nPMCID: PMC4314079","journalAbbreviation":"PLoS ONE","language":"eng","author":[{"family":"Maier","given":"Ilko L."},{"family":"Karch","given":"André"},{"family":"Mikolajczyk","given":"Rafael"},{"family":"Bähr","given":"Mathias"},{"family":"Liman","given":"Jan"}],"issued":{"date-parts":[["2015"]]}}}],"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rPr>
              <w:t>[36]</w:t>
            </w:r>
            <w:r w:rsidRPr="008442F9">
              <w:rPr>
                <w:rFonts w:ascii="Arial" w:hAnsi="Arial" w:cs="Arial"/>
                <w:sz w:val="10"/>
                <w:szCs w:val="10"/>
                <w:lang w:val="en-US"/>
              </w:rPr>
              <w:fldChar w:fldCharType="end"/>
            </w:r>
          </w:p>
        </w:tc>
        <w:tc>
          <w:tcPr>
            <w:tcW w:w="567" w:type="dxa"/>
          </w:tcPr>
          <w:p w14:paraId="2C29F7B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Historical cohort</w:t>
            </w:r>
          </w:p>
        </w:tc>
        <w:tc>
          <w:tcPr>
            <w:tcW w:w="567" w:type="dxa"/>
            <w:tcBorders>
              <w:right w:val="single" w:sz="12" w:space="0" w:color="auto"/>
            </w:tcBorders>
          </w:tcPr>
          <w:p w14:paraId="6110F04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Ischemic or </w:t>
            </w:r>
            <w:proofErr w:type="spellStart"/>
            <w:r w:rsidRPr="008442F9">
              <w:rPr>
                <w:rFonts w:ascii="Arial" w:hAnsi="Arial" w:cs="Arial"/>
                <w:sz w:val="10"/>
                <w:szCs w:val="10"/>
                <w:lang w:val="en-US"/>
              </w:rPr>
              <w:t>haemorrhagic</w:t>
            </w:r>
            <w:proofErr w:type="spellEnd"/>
            <w:r w:rsidRPr="008442F9">
              <w:rPr>
                <w:rFonts w:ascii="Arial" w:hAnsi="Arial" w:cs="Arial"/>
                <w:sz w:val="10"/>
                <w:szCs w:val="10"/>
                <w:lang w:val="en-US"/>
              </w:rPr>
              <w:t xml:space="preserve"> stroke</w:t>
            </w:r>
          </w:p>
        </w:tc>
        <w:tc>
          <w:tcPr>
            <w:tcW w:w="567" w:type="dxa"/>
            <w:tcBorders>
              <w:left w:val="single" w:sz="12" w:space="0" w:color="auto"/>
            </w:tcBorders>
          </w:tcPr>
          <w:p w14:paraId="61DFF5D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301 (42) </w:t>
            </w:r>
          </w:p>
        </w:tc>
        <w:tc>
          <w:tcPr>
            <w:tcW w:w="567" w:type="dxa"/>
          </w:tcPr>
          <w:p w14:paraId="67E63B1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324 (22)</w:t>
            </w:r>
          </w:p>
        </w:tc>
        <w:tc>
          <w:tcPr>
            <w:tcW w:w="567" w:type="dxa"/>
            <w:tcBorders>
              <w:right w:val="single" w:sz="4" w:space="0" w:color="auto"/>
            </w:tcBorders>
          </w:tcPr>
          <w:p w14:paraId="0675342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1.93 (1.20-3.</w:t>
            </w:r>
            <w:proofErr w:type="gramStart"/>
            <w:r w:rsidRPr="008442F9">
              <w:rPr>
                <w:rFonts w:ascii="Arial" w:hAnsi="Arial" w:cs="Arial"/>
                <w:sz w:val="10"/>
                <w:szCs w:val="10"/>
                <w:lang w:val="en-US"/>
              </w:rPr>
              <w:t>10)</w:t>
            </w:r>
            <w:r w:rsidRPr="008442F9">
              <w:rPr>
                <w:rFonts w:ascii="Arial" w:hAnsi="Arial" w:cs="Arial"/>
                <w:sz w:val="10"/>
                <w:szCs w:val="10"/>
                <w:vertAlign w:val="superscript"/>
                <w:lang w:val="en-US"/>
              </w:rPr>
              <w:t>a</w:t>
            </w:r>
            <w:proofErr w:type="gramEnd"/>
          </w:p>
        </w:tc>
        <w:tc>
          <w:tcPr>
            <w:tcW w:w="567" w:type="dxa"/>
            <w:tcBorders>
              <w:left w:val="single" w:sz="4" w:space="0" w:color="auto"/>
              <w:right w:val="single" w:sz="12" w:space="0" w:color="auto"/>
            </w:tcBorders>
          </w:tcPr>
          <w:p w14:paraId="595F67E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30-day from ictus</w:t>
            </w:r>
          </w:p>
        </w:tc>
        <w:tc>
          <w:tcPr>
            <w:tcW w:w="567" w:type="dxa"/>
            <w:tcBorders>
              <w:left w:val="single" w:sz="12" w:space="0" w:color="auto"/>
            </w:tcBorders>
          </w:tcPr>
          <w:p w14:paraId="3C211228" w14:textId="77777777" w:rsidR="001C1082" w:rsidRPr="008442F9" w:rsidRDefault="001C1082" w:rsidP="001C1082">
            <w:pPr>
              <w:spacing w:line="276" w:lineRule="auto"/>
              <w:rPr>
                <w:rFonts w:ascii="Arial" w:hAnsi="Arial" w:cs="Arial"/>
                <w:sz w:val="10"/>
                <w:szCs w:val="10"/>
                <w:lang w:val="en-US"/>
              </w:rPr>
            </w:pPr>
          </w:p>
        </w:tc>
        <w:tc>
          <w:tcPr>
            <w:tcW w:w="567" w:type="dxa"/>
          </w:tcPr>
          <w:p w14:paraId="5BC26631" w14:textId="77777777" w:rsidR="001C1082" w:rsidRPr="008442F9" w:rsidRDefault="001C1082" w:rsidP="001C1082">
            <w:pPr>
              <w:spacing w:line="276" w:lineRule="auto"/>
              <w:rPr>
                <w:rFonts w:ascii="Arial" w:hAnsi="Arial" w:cs="Arial"/>
                <w:sz w:val="10"/>
                <w:szCs w:val="10"/>
                <w:lang w:val="en-US"/>
              </w:rPr>
            </w:pPr>
          </w:p>
        </w:tc>
        <w:tc>
          <w:tcPr>
            <w:tcW w:w="567" w:type="dxa"/>
            <w:tcBorders>
              <w:right w:val="single" w:sz="2" w:space="0" w:color="auto"/>
            </w:tcBorders>
          </w:tcPr>
          <w:p w14:paraId="4BD74196"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1BFC04E4"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12" w:space="0" w:color="auto"/>
            </w:tcBorders>
          </w:tcPr>
          <w:p w14:paraId="2E5459CC"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tcBorders>
          </w:tcPr>
          <w:p w14:paraId="7505BF1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301 (114)</w:t>
            </w:r>
          </w:p>
        </w:tc>
        <w:tc>
          <w:tcPr>
            <w:tcW w:w="567" w:type="dxa"/>
          </w:tcPr>
          <w:p w14:paraId="78801F2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324 (123)</w:t>
            </w:r>
          </w:p>
        </w:tc>
        <w:tc>
          <w:tcPr>
            <w:tcW w:w="426" w:type="dxa"/>
            <w:tcBorders>
              <w:right w:val="single" w:sz="2" w:space="0" w:color="auto"/>
            </w:tcBorders>
          </w:tcPr>
          <w:p w14:paraId="66391B7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1.00 (0.77-1.</w:t>
            </w:r>
            <w:proofErr w:type="gramStart"/>
            <w:r w:rsidRPr="008442F9">
              <w:rPr>
                <w:rFonts w:ascii="Arial" w:hAnsi="Arial" w:cs="Arial"/>
                <w:sz w:val="10"/>
                <w:szCs w:val="10"/>
                <w:lang w:val="en-US"/>
              </w:rPr>
              <w:t>30)</w:t>
            </w:r>
            <w:r w:rsidRPr="008442F9">
              <w:rPr>
                <w:rFonts w:ascii="Arial" w:hAnsi="Arial" w:cs="Arial"/>
                <w:sz w:val="10"/>
                <w:szCs w:val="10"/>
                <w:vertAlign w:val="superscript"/>
                <w:lang w:val="en-US"/>
              </w:rPr>
              <w:t>a</w:t>
            </w:r>
            <w:proofErr w:type="gramEnd"/>
          </w:p>
        </w:tc>
        <w:tc>
          <w:tcPr>
            <w:tcW w:w="425" w:type="dxa"/>
            <w:tcBorders>
              <w:left w:val="single" w:sz="2" w:space="0" w:color="auto"/>
              <w:right w:val="single" w:sz="2" w:space="0" w:color="auto"/>
            </w:tcBorders>
          </w:tcPr>
          <w:p w14:paraId="37DFE33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Pneumonia</w:t>
            </w:r>
          </w:p>
        </w:tc>
        <w:tc>
          <w:tcPr>
            <w:tcW w:w="709" w:type="dxa"/>
            <w:tcBorders>
              <w:left w:val="single" w:sz="2" w:space="0" w:color="auto"/>
              <w:right w:val="single" w:sz="12" w:space="0" w:color="auto"/>
            </w:tcBorders>
          </w:tcPr>
          <w:p w14:paraId="231CDBA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Within 7 days from ictus </w:t>
            </w:r>
          </w:p>
        </w:tc>
      </w:tr>
      <w:tr w:rsidR="001C1082" w:rsidRPr="008442F9" w14:paraId="6F31BD74" w14:textId="77777777" w:rsidTr="0072087E">
        <w:tc>
          <w:tcPr>
            <w:tcW w:w="851" w:type="dxa"/>
            <w:tcBorders>
              <w:left w:val="single" w:sz="12" w:space="0" w:color="auto"/>
            </w:tcBorders>
          </w:tcPr>
          <w:p w14:paraId="2D4DB3B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Phelan C (2015)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kcyg46dp","properties":{"formattedCitation":"[37]","plainCitation":"[37]","noteIndex":0},"citationItems":[{"id":8922,"uris":["http://zotero.org/users/5097183/items/YWIDIFWY"],"uri":["http://zotero.org/users/5097183/items/YWIDIFWY"],"itemData":{"id":8922,"type":"article-journal","title":"Effect of β-Adrenergic Antagonists on In-Hospital Mortality after Ischemic Stroke","container-title":"Journal of Stroke and Cerebrovascular Diseases: The Official Journal of National Stroke Association","page":"1998-2004","volume":"24","issue":"9","source":"PubMed","abstract":"BACKGROUND: Ischemic stroke accounts for 85%-90% of all strokes and currently has very limited therapeutic options. Recent studies of β-adrenergic antagonists suggest they may have neuroprotective effects that lead to improved functional outcomes in rodent models of ischemic stroke; however, there are limited data in patients. We aimed to determine whether there was an improvement in mortality rates among patients who were taking β-blockers during the acute phase of their ischemic stroke.\nMETHODS: A retrospective analysis of a prospectively collected database of ischemic stroke patients was performed. Patients who were on β-adrenergic antagonists both at home and during the first 3 days of hospitalization were compared with patients who were not on β-adrenergic antagonists to determine the association with patient mortality rates.\nRESULTS: The study included a patient population of 2804 patients. In univariate analysis, use of β-adrenergic antagonists was associated with older age, atrial fibrillation, hypertension, and more-severe initial stroke presentation. Despite this, multivariable analysis revealed a reduction in in-hospital mortality among patients who were treated with β-adrenergic antagonists (odds ratio, .657; 95% confidence interval, .655-.658).\nCONCLUSIONS: The continuation of home β-adrenergic antagonist medication during the first 3 days of hospitalization after an ischemic stroke is associated with a decrease in patient mortality. This supports the work done in rodent models suggesting neuroprotective effects of β-blockers after ischemic stroke.","DOI":"10.1016/j.jstrokecerebrovasdis.2015.04.035","ISSN":"1532-8511","note":"PMID: 26163891\nPMCID: PMC4564292","journalAbbreviation":"J Stroke Cerebrovasc Dis","language":"eng","author":[{"family":"Phelan","given":"Christopher"},{"family":"Alaigh","given":"Vivek"},{"family":"Fortunato","given":"Gil"},{"family":"Staff","given":"Ilene"},{"family":"Sansing","given":"Lauren"}],"issued":{"date-parts":[["2015",9]]}}}],"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rPr>
              <w:t>[37]</w:t>
            </w:r>
            <w:r w:rsidRPr="008442F9">
              <w:rPr>
                <w:rFonts w:ascii="Arial" w:hAnsi="Arial" w:cs="Arial"/>
                <w:sz w:val="10"/>
                <w:szCs w:val="10"/>
                <w:lang w:val="en-US"/>
              </w:rPr>
              <w:fldChar w:fldCharType="end"/>
            </w:r>
          </w:p>
        </w:tc>
        <w:tc>
          <w:tcPr>
            <w:tcW w:w="567" w:type="dxa"/>
          </w:tcPr>
          <w:p w14:paraId="18F3358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 retrospective</w:t>
            </w:r>
          </w:p>
        </w:tc>
        <w:tc>
          <w:tcPr>
            <w:tcW w:w="567" w:type="dxa"/>
            <w:tcBorders>
              <w:right w:val="single" w:sz="12" w:space="0" w:color="auto"/>
            </w:tcBorders>
          </w:tcPr>
          <w:p w14:paraId="4559B75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1DDC488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436 (66)</w:t>
            </w:r>
          </w:p>
        </w:tc>
        <w:tc>
          <w:tcPr>
            <w:tcW w:w="567" w:type="dxa"/>
          </w:tcPr>
          <w:p w14:paraId="26D6F91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2368 (343)</w:t>
            </w:r>
          </w:p>
        </w:tc>
        <w:tc>
          <w:tcPr>
            <w:tcW w:w="567" w:type="dxa"/>
            <w:tcBorders>
              <w:right w:val="single" w:sz="4" w:space="0" w:color="auto"/>
            </w:tcBorders>
          </w:tcPr>
          <w:p w14:paraId="201E10D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0.657 (0.655-0.</w:t>
            </w:r>
            <w:proofErr w:type="gramStart"/>
            <w:r w:rsidRPr="008442F9">
              <w:rPr>
                <w:rFonts w:ascii="Arial" w:hAnsi="Arial" w:cs="Arial"/>
                <w:sz w:val="10"/>
                <w:szCs w:val="10"/>
                <w:lang w:val="en-US"/>
              </w:rPr>
              <w:t>658)</w:t>
            </w:r>
            <w:r w:rsidRPr="008442F9">
              <w:rPr>
                <w:rFonts w:ascii="Arial" w:hAnsi="Arial" w:cs="Arial"/>
                <w:sz w:val="10"/>
                <w:szCs w:val="10"/>
                <w:vertAlign w:val="superscript"/>
                <w:lang w:val="en-US"/>
              </w:rPr>
              <w:t>a</w:t>
            </w:r>
            <w:proofErr w:type="gramEnd"/>
          </w:p>
        </w:tc>
        <w:tc>
          <w:tcPr>
            <w:tcW w:w="567" w:type="dxa"/>
            <w:tcBorders>
              <w:left w:val="single" w:sz="4" w:space="0" w:color="auto"/>
              <w:right w:val="single" w:sz="12" w:space="0" w:color="auto"/>
            </w:tcBorders>
          </w:tcPr>
          <w:p w14:paraId="3C77DD4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c>
          <w:tcPr>
            <w:tcW w:w="567" w:type="dxa"/>
            <w:tcBorders>
              <w:left w:val="single" w:sz="12" w:space="0" w:color="auto"/>
            </w:tcBorders>
          </w:tcPr>
          <w:p w14:paraId="5D707482" w14:textId="77777777" w:rsidR="001C1082" w:rsidRPr="008442F9" w:rsidRDefault="001C1082" w:rsidP="001C1082">
            <w:pPr>
              <w:spacing w:line="276" w:lineRule="auto"/>
              <w:rPr>
                <w:rFonts w:ascii="Arial" w:hAnsi="Arial" w:cs="Arial"/>
                <w:sz w:val="10"/>
                <w:szCs w:val="10"/>
                <w:lang w:val="en-US"/>
              </w:rPr>
            </w:pPr>
          </w:p>
        </w:tc>
        <w:tc>
          <w:tcPr>
            <w:tcW w:w="567" w:type="dxa"/>
          </w:tcPr>
          <w:p w14:paraId="3E329444" w14:textId="77777777" w:rsidR="001C1082" w:rsidRPr="008442F9" w:rsidRDefault="001C1082" w:rsidP="001C1082">
            <w:pPr>
              <w:spacing w:line="276" w:lineRule="auto"/>
              <w:rPr>
                <w:rFonts w:ascii="Arial" w:hAnsi="Arial" w:cs="Arial"/>
                <w:sz w:val="10"/>
                <w:szCs w:val="10"/>
                <w:lang w:val="en-US"/>
              </w:rPr>
            </w:pPr>
          </w:p>
        </w:tc>
        <w:tc>
          <w:tcPr>
            <w:tcW w:w="567" w:type="dxa"/>
            <w:tcBorders>
              <w:right w:val="single" w:sz="2" w:space="0" w:color="auto"/>
            </w:tcBorders>
          </w:tcPr>
          <w:p w14:paraId="356EC3E7"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755E4E87"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12" w:space="0" w:color="auto"/>
            </w:tcBorders>
          </w:tcPr>
          <w:p w14:paraId="3DF79A89"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tcBorders>
          </w:tcPr>
          <w:p w14:paraId="5EF05F9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436 (139)</w:t>
            </w:r>
          </w:p>
        </w:tc>
        <w:tc>
          <w:tcPr>
            <w:tcW w:w="567" w:type="dxa"/>
          </w:tcPr>
          <w:p w14:paraId="469044A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2368 (633)</w:t>
            </w:r>
          </w:p>
        </w:tc>
        <w:tc>
          <w:tcPr>
            <w:tcW w:w="426" w:type="dxa"/>
            <w:tcBorders>
              <w:right w:val="single" w:sz="2" w:space="0" w:color="auto"/>
            </w:tcBorders>
          </w:tcPr>
          <w:p w14:paraId="27A68CDE"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3B76DE1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Infection </w:t>
            </w:r>
          </w:p>
        </w:tc>
        <w:tc>
          <w:tcPr>
            <w:tcW w:w="709" w:type="dxa"/>
            <w:tcBorders>
              <w:left w:val="single" w:sz="2" w:space="0" w:color="auto"/>
              <w:right w:val="single" w:sz="12" w:space="0" w:color="auto"/>
            </w:tcBorders>
          </w:tcPr>
          <w:p w14:paraId="5A32F01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In-hospital </w:t>
            </w:r>
          </w:p>
        </w:tc>
      </w:tr>
      <w:tr w:rsidR="001C1082" w:rsidRPr="008442F9" w14:paraId="390D3280" w14:textId="77777777" w:rsidTr="0072087E">
        <w:tc>
          <w:tcPr>
            <w:tcW w:w="851" w:type="dxa"/>
            <w:tcBorders>
              <w:left w:val="single" w:sz="12" w:space="0" w:color="auto"/>
            </w:tcBorders>
          </w:tcPr>
          <w:p w14:paraId="623E0B31"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Sundbøll</w:t>
            </w:r>
            <w:proofErr w:type="spellEnd"/>
            <w:r w:rsidRPr="008442F9">
              <w:rPr>
                <w:rFonts w:ascii="Arial" w:hAnsi="Arial" w:cs="Arial"/>
                <w:sz w:val="10"/>
                <w:szCs w:val="10"/>
                <w:lang w:val="en-US"/>
              </w:rPr>
              <w:t xml:space="preserve"> J (2015)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Lh9dcuaj","properties":{"formattedCitation":"[29]","plainCitation":"[29]","noteIndex":0},"citationItems":[{"id":7905,"uris":["http://zotero.org/users/5097183/items/E8UVPYYK"],"uri":["http://zotero.org/users/5097183/items/E8UVPYYK"],"itemData":{"id":7905,"type":"article-journal","title":"Impact of preadmission treatment with calcium channel blockers or beta blockers on short-term mortality after stroke: a nationwide cohort study","container-title":"BMC neurology","page":"24","volume":"15","source":"PubMed","abstract":"BACKGROUND: The prognostic impact of preadmission use of calcium channel blockers (CCBs) and beta blockers (BBs) on stroke mortality remains unclear. We aimed to examine whether preadmission use of CCBs or BBs was associated with improved short-term mortality following ischemic stroke, intracerebral hemorrhage (ICH), or subarachnoid hemorrhage (SAH).\nMETHODS: We conducted a nationwide population-based cohort study using Danish medical registries. We identified all patients with a first-time inpatient diagnosis of stroke between 2004 and 2012 and their comorbidities. We defined CCB/BB use as current use, former use, or non-use. Current use was further classified as new or long-term use. We used Cox regression modeling to compute 30-day mortality rate ratios (MRRs) with 95% confidence intervals (CIs), controlling for potential confounders.\nRESULTS: We identified 100,043 patients with a first-time stroke. Of these, 83,736 (83.7%) patients had ischemic stroke, 11,779 (11.8%) had ICH, and 4,528 (4.5%) had SAH. Comparing current users of CCBs or BBs with non-users, we found no association with mortality for ischemic stroke [adjusted 30-day MRR = 0.99 (95% CI: 0.94-1.05) for CCBs and 1.01 (95% CI: 0.96-1.07) for BBs], ICH [adjusted 30-day MRR = 1.05 (95% CI: 0.95-1.16) for CCBs and 0.95 (95% CI: 0.87-1.04) for BBs], or SAH [adjusted 30-day MRR = 1.05 (95% CI: 0.85-1.29) for CCBs and 0.89 (95% CI: 0.72-1.11) for BBs]. Former use of CCBs or BBs was not associated with mortality.\nCONCLUSIONS: Preadmission use of CCBs or BBs was not associated with 30-day mortality following ischemic stroke, ICH, or SAH.","DOI":"10.1186/s12883-015-0279-3","ISSN":"1471-2377","note":"PMID: 25884780\nPMCID: PMC4365558","title-short":"Impact of preadmission treatment with calcium channel blockers or beta blockers on short-term mortality after stroke","journalAbbreviation":"BMC Neurol","language":"eng","author":[{"family":"Sundbøll","given":"Jens"},{"family":"Schmidt","given":"Morten"},{"family":"Horváth-Puhó","given":"Erzsébet"},{"family":"Christiansen","given":"Christian F."},{"family":"Pedersen","given":"Lars"},{"family":"Bøtker","given":"Hans Erik"},{"family":"Sørensen","given":"Henrik T."}],"issued":{"date-parts":[["2015",3,7]]}}}],"schema":"https://github.com/citation-style-language/schema/raw/master/csl-citation.json"}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rPr>
              <w:t>[29]</w:t>
            </w:r>
            <w:r w:rsidRPr="008442F9">
              <w:rPr>
                <w:rFonts w:ascii="Arial" w:hAnsi="Arial" w:cs="Arial"/>
                <w:sz w:val="10"/>
                <w:szCs w:val="10"/>
                <w:lang w:val="en-US"/>
              </w:rPr>
              <w:fldChar w:fldCharType="end"/>
            </w:r>
          </w:p>
        </w:tc>
        <w:tc>
          <w:tcPr>
            <w:tcW w:w="567" w:type="dxa"/>
          </w:tcPr>
          <w:p w14:paraId="014040F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cohort</w:t>
            </w:r>
          </w:p>
        </w:tc>
        <w:tc>
          <w:tcPr>
            <w:tcW w:w="567" w:type="dxa"/>
            <w:tcBorders>
              <w:right w:val="single" w:sz="12" w:space="0" w:color="auto"/>
            </w:tcBorders>
          </w:tcPr>
          <w:p w14:paraId="1909790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1B75FDC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17189 (2389)</w:t>
            </w:r>
          </w:p>
        </w:tc>
        <w:tc>
          <w:tcPr>
            <w:tcW w:w="567" w:type="dxa"/>
          </w:tcPr>
          <w:p w14:paraId="1896A68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63402 (6213)</w:t>
            </w:r>
          </w:p>
        </w:tc>
        <w:tc>
          <w:tcPr>
            <w:tcW w:w="567" w:type="dxa"/>
            <w:tcBorders>
              <w:right w:val="single" w:sz="4" w:space="0" w:color="auto"/>
            </w:tcBorders>
          </w:tcPr>
          <w:p w14:paraId="667EA32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1.01 (0.96- </w:t>
            </w:r>
            <w:proofErr w:type="gramStart"/>
            <w:r w:rsidRPr="008442F9">
              <w:rPr>
                <w:rFonts w:ascii="Arial" w:hAnsi="Arial" w:cs="Arial"/>
                <w:sz w:val="10"/>
                <w:szCs w:val="10"/>
                <w:lang w:val="en-US"/>
              </w:rPr>
              <w:t>1.07)</w:t>
            </w:r>
            <w:r w:rsidRPr="008442F9">
              <w:rPr>
                <w:rFonts w:ascii="Arial" w:hAnsi="Arial" w:cs="Arial"/>
                <w:sz w:val="10"/>
                <w:szCs w:val="10"/>
                <w:vertAlign w:val="superscript"/>
                <w:lang w:val="en-US"/>
              </w:rPr>
              <w:t>b</w:t>
            </w:r>
            <w:proofErr w:type="gramEnd"/>
          </w:p>
        </w:tc>
        <w:tc>
          <w:tcPr>
            <w:tcW w:w="567" w:type="dxa"/>
            <w:tcBorders>
              <w:left w:val="single" w:sz="4" w:space="0" w:color="auto"/>
              <w:right w:val="single" w:sz="12" w:space="0" w:color="auto"/>
            </w:tcBorders>
          </w:tcPr>
          <w:p w14:paraId="2346E4A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30-days from ictus</w:t>
            </w:r>
          </w:p>
        </w:tc>
        <w:tc>
          <w:tcPr>
            <w:tcW w:w="567" w:type="dxa"/>
            <w:tcBorders>
              <w:left w:val="single" w:sz="12" w:space="0" w:color="auto"/>
            </w:tcBorders>
          </w:tcPr>
          <w:p w14:paraId="71BEC104" w14:textId="77777777" w:rsidR="001C1082" w:rsidRPr="008442F9" w:rsidRDefault="001C1082" w:rsidP="001C1082">
            <w:pPr>
              <w:spacing w:line="276" w:lineRule="auto"/>
              <w:rPr>
                <w:rFonts w:ascii="Arial" w:hAnsi="Arial" w:cs="Arial"/>
                <w:sz w:val="10"/>
                <w:szCs w:val="10"/>
                <w:lang w:val="en-US"/>
              </w:rPr>
            </w:pPr>
          </w:p>
        </w:tc>
        <w:tc>
          <w:tcPr>
            <w:tcW w:w="567" w:type="dxa"/>
          </w:tcPr>
          <w:p w14:paraId="3DFFBB4D" w14:textId="77777777" w:rsidR="001C1082" w:rsidRPr="008442F9" w:rsidRDefault="001C1082" w:rsidP="001C1082">
            <w:pPr>
              <w:spacing w:line="276" w:lineRule="auto"/>
              <w:rPr>
                <w:rFonts w:ascii="Arial" w:hAnsi="Arial" w:cs="Arial"/>
                <w:sz w:val="10"/>
                <w:szCs w:val="10"/>
                <w:lang w:val="en-US"/>
              </w:rPr>
            </w:pPr>
          </w:p>
        </w:tc>
        <w:tc>
          <w:tcPr>
            <w:tcW w:w="567" w:type="dxa"/>
            <w:tcBorders>
              <w:right w:val="single" w:sz="2" w:space="0" w:color="auto"/>
            </w:tcBorders>
          </w:tcPr>
          <w:p w14:paraId="16C154C3"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11DD83E0"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12" w:space="0" w:color="auto"/>
            </w:tcBorders>
          </w:tcPr>
          <w:p w14:paraId="7A18E357"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tcBorders>
          </w:tcPr>
          <w:p w14:paraId="27D67EF0" w14:textId="77777777" w:rsidR="001C1082" w:rsidRPr="008442F9" w:rsidRDefault="001C1082" w:rsidP="001C1082">
            <w:pPr>
              <w:spacing w:line="276" w:lineRule="auto"/>
              <w:rPr>
                <w:rFonts w:ascii="Arial" w:hAnsi="Arial" w:cs="Arial"/>
                <w:sz w:val="10"/>
                <w:szCs w:val="10"/>
                <w:lang w:val="en-US"/>
              </w:rPr>
            </w:pPr>
          </w:p>
        </w:tc>
        <w:tc>
          <w:tcPr>
            <w:tcW w:w="567" w:type="dxa"/>
          </w:tcPr>
          <w:p w14:paraId="6AD07A40" w14:textId="77777777" w:rsidR="001C1082" w:rsidRPr="008442F9" w:rsidRDefault="001C1082" w:rsidP="001C1082">
            <w:pPr>
              <w:spacing w:line="276" w:lineRule="auto"/>
              <w:rPr>
                <w:rFonts w:ascii="Arial" w:hAnsi="Arial" w:cs="Arial"/>
                <w:sz w:val="10"/>
                <w:szCs w:val="10"/>
                <w:lang w:val="en-US"/>
              </w:rPr>
            </w:pPr>
          </w:p>
        </w:tc>
        <w:tc>
          <w:tcPr>
            <w:tcW w:w="426" w:type="dxa"/>
            <w:tcBorders>
              <w:right w:val="single" w:sz="2" w:space="0" w:color="auto"/>
            </w:tcBorders>
          </w:tcPr>
          <w:p w14:paraId="5AEEEAE0"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1AB57682" w14:textId="77777777" w:rsidR="001C1082" w:rsidRPr="008442F9" w:rsidRDefault="001C1082" w:rsidP="001C1082">
            <w:pPr>
              <w:spacing w:line="276" w:lineRule="auto"/>
              <w:rPr>
                <w:rFonts w:ascii="Arial" w:hAnsi="Arial" w:cs="Arial"/>
                <w:sz w:val="10"/>
                <w:szCs w:val="10"/>
                <w:lang w:val="en-US"/>
              </w:rPr>
            </w:pPr>
          </w:p>
        </w:tc>
        <w:tc>
          <w:tcPr>
            <w:tcW w:w="709" w:type="dxa"/>
            <w:tcBorders>
              <w:left w:val="single" w:sz="2" w:space="0" w:color="auto"/>
              <w:right w:val="single" w:sz="12" w:space="0" w:color="auto"/>
            </w:tcBorders>
          </w:tcPr>
          <w:p w14:paraId="3E90189E" w14:textId="77777777" w:rsidR="001C1082" w:rsidRPr="008442F9" w:rsidRDefault="001C1082" w:rsidP="001C1082">
            <w:pPr>
              <w:spacing w:line="276" w:lineRule="auto"/>
              <w:rPr>
                <w:rFonts w:ascii="Arial" w:hAnsi="Arial" w:cs="Arial"/>
                <w:sz w:val="10"/>
                <w:szCs w:val="10"/>
                <w:lang w:val="en-US"/>
              </w:rPr>
            </w:pPr>
          </w:p>
        </w:tc>
      </w:tr>
      <w:tr w:rsidR="001C1082" w:rsidRPr="008442F9" w14:paraId="29D3F587" w14:textId="77777777" w:rsidTr="0072087E">
        <w:tc>
          <w:tcPr>
            <w:tcW w:w="851" w:type="dxa"/>
            <w:tcBorders>
              <w:left w:val="single" w:sz="12" w:space="0" w:color="auto"/>
            </w:tcBorders>
          </w:tcPr>
          <w:p w14:paraId="4A572ED1"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Sundbøll</w:t>
            </w:r>
            <w:proofErr w:type="spellEnd"/>
            <w:r w:rsidRPr="008442F9">
              <w:rPr>
                <w:rFonts w:ascii="Arial" w:hAnsi="Arial" w:cs="Arial"/>
                <w:sz w:val="10"/>
                <w:szCs w:val="10"/>
                <w:lang w:val="en-US"/>
              </w:rPr>
              <w:t xml:space="preserve"> J (2015)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3DVtJ35l","properties":{"formattedCitation":"[29]","plainCitation":"[29]","noteIndex":0},"citationItems":[{"id":7905,"uris":["http://zotero.org/users/5097183/items/E8UVPYYK"],"uri":["http://zotero.org/users/5097183/items/E8UVPYYK"],"itemData":{"id":7905,"type":"article-journal","title":"Impact of preadmission treatment with calcium channel blockers or beta blockers on short-term mortality after stroke: a nationwide cohort study","container-title":"BMC neurology","page":"24","volume":"15","source":"PubMed","abstract":"BACKGROUND: The prognostic impact of preadmission use of calcium channel blockers (CCBs) and beta blockers (BBs) on stroke mortality remains unclear. We aimed to examine whether preadmission use of CCBs or BBs was associated with improved short-term mortality following ischemic stroke, intracerebral hemorrhage (ICH), or subarachnoid hemorrhage (SAH).\nMETHODS: We conducted a nationwide population-based cohort study using Danish medical registries. We identified all patients with a first-time inpatient diagnosis of stroke between 2004 and 2012 and their comorbidities. We defined CCB/BB use as current use, former use, or non-use. Current use was further classified as new or long-term use. We used Cox regression modeling to compute 30-day mortality rate ratios (MRRs) with 95% confidence intervals (CIs), controlling for potential confounders.\nRESULTS: We identified 100,043 patients with a first-time stroke. Of these, 83,736 (83.7%) patients had ischemic stroke, 11,779 (11.8%) had ICH, and 4,528 (4.5%) had SAH. Comparing current users of CCBs or BBs with non-users, we found no association with mortality for ischemic stroke [adjusted 30-day MRR = 0.99 (95% CI: 0.94-1.05) for CCBs and 1.01 (95% CI: 0.96-1.07) for BBs], ICH [adjusted 30-day MRR = 1.05 (95% CI: 0.95-1.16) for CCBs and 0.95 (95% CI: 0.87-1.04) for BBs], or SAH [adjusted 30-day MRR = 1.05 (95% CI: 0.85-1.29) for CCBs and 0.89 (95% CI: 0.72-1.11) for BBs]. Former use of CCBs or BBs was not associated with mortality.\nCONCLUSIONS: Preadmission use of CCBs or BBs was not associated with 30-day mortality following ischemic stroke, ICH, or SAH.","DOI":"10.1186/s12883-015-0279-3","ISSN":"1471-2377","note":"PMID: 25884780\nPMCID: PMC4365558","title-short":"Impact of preadmission treatment with calcium channel blockers or beta blockers on short-term mortality after stroke","journalAbbreviation":"BMC Neurol","language":"eng","author":[{"family":"Sundbøll","given":"Jens"},{"family":"Schmidt","given":"Morten"},{"family":"Horváth-Puhó","given":"Erzsébet"},{"family":"Christiansen","given":"Christian F."},{"family":"Pedersen","given":"Lars"},{"family":"Bøtker","given":"Hans Erik"},{"family":"Sørensen","given":"Henrik T."}],"issued":{"date-parts":[["2015",3,7]]}}}],"schema":"https://github.com/citation-style-language/schema/raw/master/csl-citation.json"}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rPr>
              <w:t>[29]</w:t>
            </w:r>
            <w:r w:rsidRPr="008442F9">
              <w:rPr>
                <w:rFonts w:ascii="Arial" w:hAnsi="Arial" w:cs="Arial"/>
                <w:sz w:val="10"/>
                <w:szCs w:val="10"/>
                <w:lang w:val="en-US"/>
              </w:rPr>
              <w:fldChar w:fldCharType="end"/>
            </w:r>
          </w:p>
        </w:tc>
        <w:tc>
          <w:tcPr>
            <w:tcW w:w="567" w:type="dxa"/>
          </w:tcPr>
          <w:p w14:paraId="0DABEB5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cohort</w:t>
            </w:r>
          </w:p>
        </w:tc>
        <w:tc>
          <w:tcPr>
            <w:tcW w:w="567" w:type="dxa"/>
            <w:tcBorders>
              <w:right w:val="single" w:sz="12" w:space="0" w:color="auto"/>
            </w:tcBorders>
          </w:tcPr>
          <w:p w14:paraId="1770DD53"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Haemorrhagic</w:t>
            </w:r>
            <w:proofErr w:type="spellEnd"/>
            <w:r w:rsidRPr="008442F9">
              <w:rPr>
                <w:rFonts w:ascii="Arial" w:hAnsi="Arial" w:cs="Arial"/>
                <w:sz w:val="10"/>
                <w:szCs w:val="10"/>
                <w:lang w:val="en-US"/>
              </w:rPr>
              <w:t xml:space="preserve"> stroke</w:t>
            </w:r>
          </w:p>
        </w:tc>
        <w:tc>
          <w:tcPr>
            <w:tcW w:w="567" w:type="dxa"/>
            <w:tcBorders>
              <w:left w:val="single" w:sz="12" w:space="0" w:color="auto"/>
            </w:tcBorders>
          </w:tcPr>
          <w:p w14:paraId="5FE775C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1913 (802)</w:t>
            </w:r>
          </w:p>
        </w:tc>
        <w:tc>
          <w:tcPr>
            <w:tcW w:w="567" w:type="dxa"/>
          </w:tcPr>
          <w:p w14:paraId="4D9DDE62"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9494 (3162)</w:t>
            </w:r>
          </w:p>
        </w:tc>
        <w:tc>
          <w:tcPr>
            <w:tcW w:w="567" w:type="dxa"/>
            <w:tcBorders>
              <w:right w:val="single" w:sz="4" w:space="0" w:color="auto"/>
            </w:tcBorders>
          </w:tcPr>
          <w:p w14:paraId="3C692AF2"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0.95 (0.87-1.</w:t>
            </w:r>
            <w:proofErr w:type="gramStart"/>
            <w:r w:rsidRPr="008442F9">
              <w:rPr>
                <w:rFonts w:ascii="Arial" w:hAnsi="Arial" w:cs="Arial"/>
                <w:sz w:val="10"/>
                <w:szCs w:val="10"/>
                <w:lang w:val="en-US"/>
              </w:rPr>
              <w:t>04)</w:t>
            </w:r>
            <w:r w:rsidRPr="008442F9">
              <w:rPr>
                <w:rFonts w:ascii="Arial" w:hAnsi="Arial" w:cs="Arial"/>
                <w:sz w:val="10"/>
                <w:szCs w:val="10"/>
                <w:vertAlign w:val="superscript"/>
                <w:lang w:val="en-US"/>
              </w:rPr>
              <w:t>b</w:t>
            </w:r>
            <w:proofErr w:type="gramEnd"/>
          </w:p>
        </w:tc>
        <w:tc>
          <w:tcPr>
            <w:tcW w:w="567" w:type="dxa"/>
            <w:tcBorders>
              <w:left w:val="single" w:sz="4" w:space="0" w:color="auto"/>
              <w:right w:val="single" w:sz="12" w:space="0" w:color="auto"/>
            </w:tcBorders>
          </w:tcPr>
          <w:p w14:paraId="29A15B7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30-days from ictus</w:t>
            </w:r>
          </w:p>
        </w:tc>
        <w:tc>
          <w:tcPr>
            <w:tcW w:w="567" w:type="dxa"/>
            <w:tcBorders>
              <w:left w:val="single" w:sz="12" w:space="0" w:color="auto"/>
            </w:tcBorders>
          </w:tcPr>
          <w:p w14:paraId="2E3F6828" w14:textId="77777777" w:rsidR="001C1082" w:rsidRPr="008442F9" w:rsidRDefault="001C1082" w:rsidP="001C1082">
            <w:pPr>
              <w:spacing w:line="276" w:lineRule="auto"/>
              <w:rPr>
                <w:rFonts w:ascii="Arial" w:hAnsi="Arial" w:cs="Arial"/>
                <w:sz w:val="10"/>
                <w:szCs w:val="10"/>
                <w:lang w:val="en-US"/>
              </w:rPr>
            </w:pPr>
          </w:p>
        </w:tc>
        <w:tc>
          <w:tcPr>
            <w:tcW w:w="567" w:type="dxa"/>
          </w:tcPr>
          <w:p w14:paraId="518BA4A4" w14:textId="77777777" w:rsidR="001C1082" w:rsidRPr="008442F9" w:rsidRDefault="001C1082" w:rsidP="001C1082">
            <w:pPr>
              <w:spacing w:line="276" w:lineRule="auto"/>
              <w:rPr>
                <w:rFonts w:ascii="Arial" w:hAnsi="Arial" w:cs="Arial"/>
                <w:sz w:val="10"/>
                <w:szCs w:val="10"/>
                <w:lang w:val="en-US"/>
              </w:rPr>
            </w:pPr>
          </w:p>
        </w:tc>
        <w:tc>
          <w:tcPr>
            <w:tcW w:w="567" w:type="dxa"/>
            <w:tcBorders>
              <w:right w:val="single" w:sz="2" w:space="0" w:color="auto"/>
            </w:tcBorders>
          </w:tcPr>
          <w:p w14:paraId="753806CF"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016A2E3C"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12" w:space="0" w:color="auto"/>
            </w:tcBorders>
          </w:tcPr>
          <w:p w14:paraId="617C7129"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tcBorders>
          </w:tcPr>
          <w:p w14:paraId="7E0E2907" w14:textId="77777777" w:rsidR="001C1082" w:rsidRPr="008442F9" w:rsidRDefault="001C1082" w:rsidP="001C1082">
            <w:pPr>
              <w:spacing w:line="276" w:lineRule="auto"/>
              <w:rPr>
                <w:rFonts w:ascii="Arial" w:hAnsi="Arial" w:cs="Arial"/>
                <w:sz w:val="10"/>
                <w:szCs w:val="10"/>
                <w:lang w:val="en-US"/>
              </w:rPr>
            </w:pPr>
          </w:p>
        </w:tc>
        <w:tc>
          <w:tcPr>
            <w:tcW w:w="567" w:type="dxa"/>
          </w:tcPr>
          <w:p w14:paraId="0048F5DF" w14:textId="77777777" w:rsidR="001C1082" w:rsidRPr="008442F9" w:rsidRDefault="001C1082" w:rsidP="001C1082">
            <w:pPr>
              <w:spacing w:line="276" w:lineRule="auto"/>
              <w:rPr>
                <w:rFonts w:ascii="Arial" w:hAnsi="Arial" w:cs="Arial"/>
                <w:sz w:val="10"/>
                <w:szCs w:val="10"/>
                <w:lang w:val="en-US"/>
              </w:rPr>
            </w:pPr>
          </w:p>
        </w:tc>
        <w:tc>
          <w:tcPr>
            <w:tcW w:w="426" w:type="dxa"/>
            <w:tcBorders>
              <w:right w:val="single" w:sz="2" w:space="0" w:color="auto"/>
            </w:tcBorders>
          </w:tcPr>
          <w:p w14:paraId="0A0D1719"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333BDE92" w14:textId="77777777" w:rsidR="001C1082" w:rsidRPr="008442F9" w:rsidRDefault="001C1082" w:rsidP="001C1082">
            <w:pPr>
              <w:spacing w:line="276" w:lineRule="auto"/>
              <w:rPr>
                <w:rFonts w:ascii="Arial" w:hAnsi="Arial" w:cs="Arial"/>
                <w:sz w:val="10"/>
                <w:szCs w:val="10"/>
                <w:lang w:val="en-US"/>
              </w:rPr>
            </w:pPr>
          </w:p>
        </w:tc>
        <w:tc>
          <w:tcPr>
            <w:tcW w:w="709" w:type="dxa"/>
            <w:tcBorders>
              <w:left w:val="single" w:sz="2" w:space="0" w:color="auto"/>
              <w:right w:val="single" w:sz="12" w:space="0" w:color="auto"/>
            </w:tcBorders>
          </w:tcPr>
          <w:p w14:paraId="1AD649A5" w14:textId="77777777" w:rsidR="001C1082" w:rsidRPr="008442F9" w:rsidRDefault="001C1082" w:rsidP="001C1082">
            <w:pPr>
              <w:spacing w:line="276" w:lineRule="auto"/>
              <w:rPr>
                <w:rFonts w:ascii="Arial" w:hAnsi="Arial" w:cs="Arial"/>
                <w:sz w:val="10"/>
                <w:szCs w:val="10"/>
                <w:lang w:val="en-US"/>
              </w:rPr>
            </w:pPr>
          </w:p>
        </w:tc>
      </w:tr>
      <w:tr w:rsidR="001C1082" w:rsidRPr="008442F9" w14:paraId="3518626E" w14:textId="77777777" w:rsidTr="0072087E">
        <w:tc>
          <w:tcPr>
            <w:tcW w:w="851" w:type="dxa"/>
            <w:tcBorders>
              <w:left w:val="single" w:sz="12" w:space="0" w:color="auto"/>
            </w:tcBorders>
          </w:tcPr>
          <w:p w14:paraId="437F0F2D"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Sykora</w:t>
            </w:r>
            <w:proofErr w:type="spellEnd"/>
            <w:r w:rsidRPr="008442F9">
              <w:rPr>
                <w:rFonts w:ascii="Arial" w:hAnsi="Arial" w:cs="Arial"/>
                <w:sz w:val="10"/>
                <w:szCs w:val="10"/>
                <w:lang w:val="en-US"/>
              </w:rPr>
              <w:t xml:space="preserve"> M (2015)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JwuSJotC","properties":{"formattedCitation":"[38]","plainCitation":"[38]","noteIndex":0},"citationItems":[{"id":20,"uris":["http://zotero.org/users/5097183/items/ZUX3HSPQ"],"uri":["http://zotero.org/users/5097183/items/ZUX3HSPQ"],"itemData":{"id":20,"type":"article-journal","title":"β-Blockers, Pneumonia, and Outcome After Ischemic Stroke: Evidence From Virtual International Stroke Trials Archive","container-title":"Stroke","page":"1269-1274","volume":"46","issue":"5","source":"PubMed","abstract":"BACKGROUND AND PURPOSE: Increased sympathetic drive after stroke is involved in the pathophysiology of several complications including poststroke immunudepression. β-Blocker (BB) therapy has been suggested to have neuroprotective properties and to decrease infectious complications after stroke. We aimed to examine the effects of random pre- and on-stroke BB exposure on mortality, functional outcome, and occurrence of pneumonia after ischemic stroke.\nMETHODS: Data including standard demographic and clinical variables as well as prestroke and on-stroke antihypertensive medication, incidence of pneumonia, functional outcome defined using modified Rankin Scale and mortality at 3 months were extracted from the Virtual International Stroke Trials Archive. For statistical analysis multivariable Poisson regression was used.\nRESULTS: In total, 5212 patients were analyzed. A total of 1155 (22.2%) patients were treated with BB before stroke onset and 244 (4.7%) patients were newly started with BB in the acute phase of stroke. Mortality was 17.5%, favorable outcome (defined as modified Rankin Scale, 0-2) occurred in 58.2% and pneumonia in 8.2% of patients. Prestroke BB showed no association with mortality. On-stroke BB was associated with reduced mortality (adjusted risk ratio, 0.63; 95% confidence interval, 0.42-0.96). Neither prestroke BB nor on-stroke BB showed an association with functional outcome. Both prestroke and on-stroke BB were associated with reduced frequency of pneumonia (adjusted risk ratio, 0.77; 95% confidence interval, 0.6-0.98 and risk ratio, 0.49; 95% confidence interval, 0.25-0.95).\nCONCLUSIONS: In this large nonrandomized comparison, on-stroke BB was associated with reduced mortality. Prestroke and on-stroke BB were inversely associated with incidence of nosocomial pneumonia. Randomized trials investigating the potential of β-blockade in acute stroke may be warranted.","DOI":"10.1161/STROKEAHA.114.008260","ISSN":"1524-4628","note":"PMID: 25899243","title-short":"β-Blockers, Pneumonia, and Outcome After Ischemic Stroke","journalAbbreviation":"Stroke","language":"eng","author":[{"family":"Sykora","given":"Marek"},{"family":"Siarnik","given":"Pavel"},{"family":"Diedler","given":"Jennifer"},{"literal":"VISTA Acute Collaborators"}],"issued":{"date-parts":[["2015",5]]}}}],"schema":"https://github.com/citation-style-language/schema/raw/master/csl-citation.json"}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szCs w:val="10"/>
                <w:lang w:val="en-US"/>
              </w:rPr>
              <w:t>[38]</w:t>
            </w:r>
            <w:r w:rsidRPr="008442F9">
              <w:rPr>
                <w:rFonts w:ascii="Arial" w:hAnsi="Arial" w:cs="Arial"/>
                <w:sz w:val="10"/>
                <w:szCs w:val="10"/>
                <w:lang w:val="en-US"/>
              </w:rPr>
              <w:fldChar w:fldCharType="end"/>
            </w:r>
          </w:p>
        </w:tc>
        <w:tc>
          <w:tcPr>
            <w:tcW w:w="567" w:type="dxa"/>
          </w:tcPr>
          <w:p w14:paraId="7C760C5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w:t>
            </w:r>
          </w:p>
        </w:tc>
        <w:tc>
          <w:tcPr>
            <w:tcW w:w="567" w:type="dxa"/>
            <w:tcBorders>
              <w:right w:val="single" w:sz="12" w:space="0" w:color="auto"/>
            </w:tcBorders>
          </w:tcPr>
          <w:p w14:paraId="57C4902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2ADA9EC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244 (23)</w:t>
            </w:r>
          </w:p>
        </w:tc>
        <w:tc>
          <w:tcPr>
            <w:tcW w:w="567" w:type="dxa"/>
          </w:tcPr>
          <w:p w14:paraId="200B03A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4968 (891)</w:t>
            </w:r>
          </w:p>
        </w:tc>
        <w:tc>
          <w:tcPr>
            <w:tcW w:w="567" w:type="dxa"/>
            <w:tcBorders>
              <w:right w:val="single" w:sz="4" w:space="0" w:color="auto"/>
            </w:tcBorders>
          </w:tcPr>
          <w:p w14:paraId="6196F33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0.63 (0.42-0.</w:t>
            </w:r>
            <w:proofErr w:type="gramStart"/>
            <w:r w:rsidRPr="008442F9">
              <w:rPr>
                <w:rFonts w:ascii="Arial" w:hAnsi="Arial" w:cs="Arial"/>
                <w:sz w:val="10"/>
                <w:szCs w:val="10"/>
                <w:lang w:val="en-US"/>
              </w:rPr>
              <w:t>96)</w:t>
            </w:r>
            <w:r w:rsidRPr="008442F9">
              <w:rPr>
                <w:rFonts w:ascii="Arial" w:hAnsi="Arial" w:cs="Arial"/>
                <w:sz w:val="10"/>
                <w:szCs w:val="10"/>
                <w:vertAlign w:val="superscript"/>
                <w:lang w:val="en-US"/>
              </w:rPr>
              <w:t>c</w:t>
            </w:r>
            <w:proofErr w:type="gramEnd"/>
          </w:p>
        </w:tc>
        <w:tc>
          <w:tcPr>
            <w:tcW w:w="567" w:type="dxa"/>
            <w:tcBorders>
              <w:left w:val="single" w:sz="4" w:space="0" w:color="auto"/>
              <w:right w:val="single" w:sz="12" w:space="0" w:color="auto"/>
            </w:tcBorders>
          </w:tcPr>
          <w:p w14:paraId="76FD092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3-months from ictus</w:t>
            </w:r>
          </w:p>
        </w:tc>
        <w:tc>
          <w:tcPr>
            <w:tcW w:w="567" w:type="dxa"/>
            <w:tcBorders>
              <w:left w:val="single" w:sz="12" w:space="0" w:color="auto"/>
            </w:tcBorders>
          </w:tcPr>
          <w:p w14:paraId="6455E3C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234 (105)</w:t>
            </w:r>
          </w:p>
        </w:tc>
        <w:tc>
          <w:tcPr>
            <w:tcW w:w="567" w:type="dxa"/>
          </w:tcPr>
          <w:p w14:paraId="4E1040C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4846 (2016)</w:t>
            </w:r>
          </w:p>
        </w:tc>
        <w:tc>
          <w:tcPr>
            <w:tcW w:w="567" w:type="dxa"/>
            <w:tcBorders>
              <w:right w:val="single" w:sz="2" w:space="0" w:color="auto"/>
            </w:tcBorders>
          </w:tcPr>
          <w:p w14:paraId="6092EDC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0.96 (0.8-1.</w:t>
            </w:r>
            <w:proofErr w:type="gramStart"/>
            <w:r w:rsidRPr="008442F9">
              <w:rPr>
                <w:rFonts w:ascii="Arial" w:hAnsi="Arial" w:cs="Arial"/>
                <w:sz w:val="10"/>
                <w:szCs w:val="10"/>
                <w:lang w:val="en-US"/>
              </w:rPr>
              <w:t>15)</w:t>
            </w:r>
            <w:r w:rsidRPr="008442F9">
              <w:rPr>
                <w:rFonts w:ascii="Arial" w:hAnsi="Arial" w:cs="Arial"/>
                <w:sz w:val="10"/>
                <w:szCs w:val="10"/>
                <w:vertAlign w:val="superscript"/>
                <w:lang w:val="en-US"/>
              </w:rPr>
              <w:t>e</w:t>
            </w:r>
            <w:proofErr w:type="gramEnd"/>
          </w:p>
        </w:tc>
        <w:tc>
          <w:tcPr>
            <w:tcW w:w="425" w:type="dxa"/>
            <w:tcBorders>
              <w:left w:val="single" w:sz="2" w:space="0" w:color="auto"/>
              <w:right w:val="single" w:sz="2" w:space="0" w:color="auto"/>
            </w:tcBorders>
          </w:tcPr>
          <w:p w14:paraId="7FBA0945"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3-6</w:t>
            </w:r>
          </w:p>
        </w:tc>
        <w:tc>
          <w:tcPr>
            <w:tcW w:w="425" w:type="dxa"/>
            <w:tcBorders>
              <w:left w:val="single" w:sz="2" w:space="0" w:color="auto"/>
              <w:right w:val="single" w:sz="12" w:space="0" w:color="auto"/>
            </w:tcBorders>
          </w:tcPr>
          <w:p w14:paraId="1F028B9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3-months from ictus</w:t>
            </w:r>
          </w:p>
        </w:tc>
        <w:tc>
          <w:tcPr>
            <w:tcW w:w="567" w:type="dxa"/>
            <w:tcBorders>
              <w:left w:val="single" w:sz="12" w:space="0" w:color="auto"/>
            </w:tcBorders>
          </w:tcPr>
          <w:p w14:paraId="3FB0D19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244 (9)</w:t>
            </w:r>
          </w:p>
        </w:tc>
        <w:tc>
          <w:tcPr>
            <w:tcW w:w="567" w:type="dxa"/>
          </w:tcPr>
          <w:p w14:paraId="7D64F26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4968 (418)</w:t>
            </w:r>
          </w:p>
        </w:tc>
        <w:tc>
          <w:tcPr>
            <w:tcW w:w="426" w:type="dxa"/>
            <w:tcBorders>
              <w:right w:val="single" w:sz="2" w:space="0" w:color="auto"/>
            </w:tcBorders>
          </w:tcPr>
          <w:p w14:paraId="24B553BC" w14:textId="77777777" w:rsidR="001C1082" w:rsidRPr="008442F9" w:rsidRDefault="001C1082" w:rsidP="001C1082">
            <w:pPr>
              <w:spacing w:line="276" w:lineRule="auto"/>
              <w:rPr>
                <w:rFonts w:ascii="Arial" w:hAnsi="Arial" w:cs="Arial"/>
                <w:sz w:val="10"/>
                <w:szCs w:val="10"/>
                <w:vertAlign w:val="superscript"/>
                <w:lang w:val="en-US"/>
              </w:rPr>
            </w:pPr>
            <w:r w:rsidRPr="008442F9">
              <w:rPr>
                <w:rFonts w:ascii="Arial" w:hAnsi="Arial" w:cs="Arial"/>
                <w:sz w:val="10"/>
                <w:szCs w:val="10"/>
                <w:lang w:val="en-US"/>
              </w:rPr>
              <w:t>0.49 (0.25-0.</w:t>
            </w:r>
            <w:proofErr w:type="gramStart"/>
            <w:r w:rsidRPr="008442F9">
              <w:rPr>
                <w:rFonts w:ascii="Arial" w:hAnsi="Arial" w:cs="Arial"/>
                <w:sz w:val="10"/>
                <w:szCs w:val="10"/>
                <w:lang w:val="en-US"/>
              </w:rPr>
              <w:t>95)</w:t>
            </w:r>
            <w:r w:rsidRPr="008442F9">
              <w:rPr>
                <w:rFonts w:ascii="Arial" w:hAnsi="Arial" w:cs="Arial"/>
                <w:sz w:val="10"/>
                <w:szCs w:val="10"/>
                <w:vertAlign w:val="superscript"/>
                <w:lang w:val="en-US"/>
              </w:rPr>
              <w:t>c</w:t>
            </w:r>
            <w:proofErr w:type="gramEnd"/>
          </w:p>
        </w:tc>
        <w:tc>
          <w:tcPr>
            <w:tcW w:w="425" w:type="dxa"/>
            <w:tcBorders>
              <w:left w:val="single" w:sz="2" w:space="0" w:color="auto"/>
              <w:right w:val="single" w:sz="2" w:space="0" w:color="auto"/>
            </w:tcBorders>
          </w:tcPr>
          <w:p w14:paraId="5B5A0AD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Pneumonia</w:t>
            </w:r>
          </w:p>
        </w:tc>
        <w:tc>
          <w:tcPr>
            <w:tcW w:w="709" w:type="dxa"/>
            <w:tcBorders>
              <w:left w:val="single" w:sz="2" w:space="0" w:color="auto"/>
              <w:right w:val="single" w:sz="12" w:space="0" w:color="auto"/>
            </w:tcBorders>
          </w:tcPr>
          <w:p w14:paraId="285DE49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Within 10 days from ictus</w:t>
            </w:r>
          </w:p>
        </w:tc>
      </w:tr>
      <w:tr w:rsidR="001C1082" w:rsidRPr="008442F9" w14:paraId="7D02467B" w14:textId="77777777" w:rsidTr="0072087E">
        <w:trPr>
          <w:trHeight w:val="426"/>
        </w:trPr>
        <w:tc>
          <w:tcPr>
            <w:tcW w:w="851" w:type="dxa"/>
            <w:tcBorders>
              <w:left w:val="single" w:sz="12" w:space="0" w:color="auto"/>
            </w:tcBorders>
          </w:tcPr>
          <w:p w14:paraId="0384F86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Tziomalos K (2015)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FVOdDMcU","properties":{"formattedCitation":"[39]","plainCitation":"[39]","noteIndex":0},"citationItems":[{"id":201,"uris":["http://zotero.org/users/5097183/items/KUR5JR6B"],"uri":["http://zotero.org/users/5097183/items/KUR5JR6B"],"itemData":{"id":201,"type":"article-journal","title":"Effects of different classes of antihypertensive agents on the outcome of acute ischemic stroke","container-title":"Journal of Clinical Hypertension","page":"275-280","volume":"17","issue":"4","archive":"Scopus","DOI":"10.1111/jch.12498","author":[{"family":"Tziomalos","given":"K."},{"family":"Giampatzis","given":"V."},{"family":"Bouziana","given":"S.D."},{"family":"Spanou","given":"M."},{"family":"Papadopoulou","given":"M."},{"family":"Kazantzidou","given":"P."},{"family":"Kostaki","given":"S."},{"family":"Kouparanis","given":"A."},{"family":"Savopoulos","given":"C."},{"family":"Hatzitolios","given":"A.I."}],"issued":{"date-parts":[["2015"]]}}}],"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szCs w:val="10"/>
                <w:lang w:val="en-US"/>
              </w:rPr>
              <w:t>[39]</w:t>
            </w:r>
            <w:r w:rsidRPr="008442F9">
              <w:rPr>
                <w:rFonts w:ascii="Arial" w:hAnsi="Arial" w:cs="Arial"/>
                <w:sz w:val="10"/>
                <w:szCs w:val="10"/>
                <w:lang w:val="en-US"/>
              </w:rPr>
              <w:fldChar w:fldCharType="end"/>
            </w:r>
          </w:p>
        </w:tc>
        <w:tc>
          <w:tcPr>
            <w:tcW w:w="567" w:type="dxa"/>
          </w:tcPr>
          <w:p w14:paraId="1F3AEE4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w:t>
            </w:r>
          </w:p>
        </w:tc>
        <w:tc>
          <w:tcPr>
            <w:tcW w:w="567" w:type="dxa"/>
            <w:tcBorders>
              <w:right w:val="single" w:sz="12" w:space="0" w:color="auto"/>
            </w:tcBorders>
          </w:tcPr>
          <w:p w14:paraId="32D3BF42"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005D19E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183 (18)</w:t>
            </w:r>
          </w:p>
        </w:tc>
        <w:tc>
          <w:tcPr>
            <w:tcW w:w="567" w:type="dxa"/>
          </w:tcPr>
          <w:p w14:paraId="0EB84F8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299 (28)</w:t>
            </w:r>
          </w:p>
        </w:tc>
        <w:tc>
          <w:tcPr>
            <w:tcW w:w="567" w:type="dxa"/>
            <w:tcBorders>
              <w:right w:val="single" w:sz="4" w:space="0" w:color="auto"/>
            </w:tcBorders>
          </w:tcPr>
          <w:p w14:paraId="4FCE9008"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4" w:space="0" w:color="auto"/>
              <w:right w:val="single" w:sz="12" w:space="0" w:color="auto"/>
            </w:tcBorders>
          </w:tcPr>
          <w:p w14:paraId="4278636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c>
          <w:tcPr>
            <w:tcW w:w="567" w:type="dxa"/>
            <w:tcBorders>
              <w:left w:val="single" w:sz="12" w:space="0" w:color="auto"/>
            </w:tcBorders>
          </w:tcPr>
          <w:p w14:paraId="1F89F99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188 (109)</w:t>
            </w:r>
          </w:p>
        </w:tc>
        <w:tc>
          <w:tcPr>
            <w:tcW w:w="567" w:type="dxa"/>
          </w:tcPr>
          <w:p w14:paraId="0B394F9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294 (201)</w:t>
            </w:r>
          </w:p>
        </w:tc>
        <w:tc>
          <w:tcPr>
            <w:tcW w:w="567" w:type="dxa"/>
            <w:tcBorders>
              <w:right w:val="single" w:sz="2" w:space="0" w:color="auto"/>
            </w:tcBorders>
          </w:tcPr>
          <w:p w14:paraId="30AFABCD"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5E5E9DAE"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 2</w:t>
            </w:r>
          </w:p>
        </w:tc>
        <w:tc>
          <w:tcPr>
            <w:tcW w:w="425" w:type="dxa"/>
            <w:tcBorders>
              <w:left w:val="single" w:sz="2" w:space="0" w:color="auto"/>
              <w:right w:val="single" w:sz="12" w:space="0" w:color="auto"/>
            </w:tcBorders>
          </w:tcPr>
          <w:p w14:paraId="6ED3FD9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discharge</w:t>
            </w:r>
          </w:p>
        </w:tc>
        <w:tc>
          <w:tcPr>
            <w:tcW w:w="567" w:type="dxa"/>
            <w:tcBorders>
              <w:left w:val="single" w:sz="12" w:space="0" w:color="auto"/>
            </w:tcBorders>
          </w:tcPr>
          <w:p w14:paraId="55B57555" w14:textId="77777777" w:rsidR="001C1082" w:rsidRPr="008442F9" w:rsidRDefault="001C1082" w:rsidP="001C1082">
            <w:pPr>
              <w:spacing w:line="276" w:lineRule="auto"/>
              <w:rPr>
                <w:rFonts w:ascii="Arial" w:hAnsi="Arial" w:cs="Arial"/>
                <w:sz w:val="10"/>
                <w:szCs w:val="10"/>
                <w:lang w:val="en-US"/>
              </w:rPr>
            </w:pPr>
          </w:p>
        </w:tc>
        <w:tc>
          <w:tcPr>
            <w:tcW w:w="567" w:type="dxa"/>
          </w:tcPr>
          <w:p w14:paraId="2D631D1D" w14:textId="77777777" w:rsidR="001C1082" w:rsidRPr="008442F9" w:rsidRDefault="001C1082" w:rsidP="001C1082">
            <w:pPr>
              <w:spacing w:line="276" w:lineRule="auto"/>
              <w:rPr>
                <w:rFonts w:ascii="Arial" w:hAnsi="Arial" w:cs="Arial"/>
                <w:sz w:val="10"/>
                <w:szCs w:val="10"/>
                <w:lang w:val="en-US"/>
              </w:rPr>
            </w:pPr>
          </w:p>
        </w:tc>
        <w:tc>
          <w:tcPr>
            <w:tcW w:w="426" w:type="dxa"/>
            <w:tcBorders>
              <w:right w:val="single" w:sz="2" w:space="0" w:color="auto"/>
            </w:tcBorders>
          </w:tcPr>
          <w:p w14:paraId="4E60B634"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6F3ACC78" w14:textId="77777777" w:rsidR="001C1082" w:rsidRPr="008442F9" w:rsidRDefault="001C1082" w:rsidP="001C1082">
            <w:pPr>
              <w:spacing w:line="276" w:lineRule="auto"/>
              <w:rPr>
                <w:rFonts w:ascii="Arial" w:hAnsi="Arial" w:cs="Arial"/>
                <w:sz w:val="10"/>
                <w:szCs w:val="10"/>
                <w:lang w:val="en-US"/>
              </w:rPr>
            </w:pPr>
          </w:p>
        </w:tc>
        <w:tc>
          <w:tcPr>
            <w:tcW w:w="709" w:type="dxa"/>
            <w:tcBorders>
              <w:left w:val="single" w:sz="2" w:space="0" w:color="auto"/>
              <w:right w:val="single" w:sz="12" w:space="0" w:color="auto"/>
            </w:tcBorders>
          </w:tcPr>
          <w:p w14:paraId="3DC300CB" w14:textId="77777777" w:rsidR="001C1082" w:rsidRPr="008442F9" w:rsidRDefault="001C1082" w:rsidP="001C1082">
            <w:pPr>
              <w:spacing w:line="276" w:lineRule="auto"/>
              <w:rPr>
                <w:rFonts w:ascii="Arial" w:hAnsi="Arial" w:cs="Arial"/>
                <w:sz w:val="10"/>
                <w:szCs w:val="10"/>
                <w:lang w:val="en-US"/>
              </w:rPr>
            </w:pPr>
          </w:p>
        </w:tc>
      </w:tr>
      <w:tr w:rsidR="001C1082" w:rsidRPr="008442F9" w14:paraId="663ED387" w14:textId="77777777" w:rsidTr="0072087E">
        <w:tc>
          <w:tcPr>
            <w:tcW w:w="851" w:type="dxa"/>
            <w:tcBorders>
              <w:left w:val="single" w:sz="12" w:space="0" w:color="auto"/>
            </w:tcBorders>
          </w:tcPr>
          <w:p w14:paraId="5B56DB9C"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Westendorp</w:t>
            </w:r>
            <w:proofErr w:type="spellEnd"/>
            <w:r w:rsidRPr="008442F9">
              <w:rPr>
                <w:rFonts w:ascii="Arial" w:hAnsi="Arial" w:cs="Arial"/>
                <w:sz w:val="10"/>
                <w:szCs w:val="10"/>
                <w:lang w:val="en-US"/>
              </w:rPr>
              <w:t xml:space="preserve"> WF (2016)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HlXHnZcN","properties":{"formattedCitation":"[40]","plainCitation":"[40]","noteIndex":0},"citationItems":[{"id":9450,"uris":["http://zotero.org/users/5097183/items/XQQVUGZA"],"uri":["http://zotero.org/users/5097183/items/XQQVUGZA"],"itemData":{"id":9450,"type":"article-journal","title":"Pre-Stroke Use of Beta-Blockers Does Not Lower Post-Stroke Infection Rate: An Exploratory Analysis of the Preventive Antibiotics in Stroke Study","container-title":"Cerebrovascular Diseases (Basel, Switzerland)","page":"506-511","volume":"42","issue":"5-6","source":"PubMed","abstract":"BACKGROUND: Stroke-associated infections occur frequently and are associated with unfavorable outcome. Previous cohort studies suggest a protective effect of beta-blockers (BBs) against infections. A sympathetic drive may increase immune suppression and infections.\nAIM: This study is aimed at investigating the association between BB treatment at baseline and post-stroke infection in the Preventive Antibiotics in Stroke Study (PASS), a prospective clinical trial.\nMETHODS: We performed an exploratory analysis in PASS, 2,538 patients with acute phase of stroke (24 h after onset) were randomized to ceftriaxone (intravenous, 2 g per day for 4 days) in addition to stroke unit care, or standard stroke unit care without preventive antibiotic treatment. All clinical data, including use of BBs, was prospectively collected. Infection was diagnosed by the treating physician, and independently by an expert panel blinded for all other data. Multivariable analysis was performed to investigate the relation between BB treatment and infection rate.\nRESULTS: Infection, as defined by the physician, occurred in 348 of 2,538 patients (14%). Multivariable analysis showed that the use of BBs at baseline was associated with the development of infection during clinical course (adjusted OR (aOR) 1.61, 95% CI 1.19-2.18; p &lt; 0.01). BB use at baseline was also associated with the development of pneumonia (aOR 1.56, 95% CI 1.05-2.30; p = 0.03). Baseline BB use was not associated with mortality (aOR 1.14, 95% CI 0.84-1.53; p = 0.41) or unfavorable outcome at 3 months (aOR 1.10, 95% CI 0.89-1.35; p = 0.39).\nCONCLUSIONS: Patients treated with BBs prior to stroke have a higher rate of infection and pneumonia.","DOI":"10.1159/000450926","ISSN":"1421-9786","note":"PMID: 27701170\nPMCID: PMC5296919","title-short":"Pre-Stroke Use of Beta-Blockers Does Not Lower Post-Stroke Infection Rate","journalAbbreviation":"Cerebrovasc. Dis.","language":"eng","author":[{"family":"Westendorp","given":"Willeke F."},{"family":"Vermeij","given":"Jan-Dirk"},{"family":"Brouwer","given":"Matthijs C."},{"family":"Roos","given":"Y. B. W. E. M."},{"family":"Nederkoorn","given":"Paul J."},{"family":"Beek","given":"Diederik","non-dropping-particle":"van de"},{"literal":"PASS Investigators"}],"issued":{"date-parts":[["2016"]]}}}],"schema":"https://github.com/citation-style-language/schema/raw/master/csl-citation.json"}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szCs w:val="10"/>
                <w:lang w:val="en-US"/>
              </w:rPr>
              <w:t>[40]</w:t>
            </w:r>
            <w:r w:rsidRPr="008442F9">
              <w:rPr>
                <w:rFonts w:ascii="Arial" w:hAnsi="Arial" w:cs="Arial"/>
                <w:sz w:val="10"/>
                <w:szCs w:val="10"/>
                <w:lang w:val="en-US"/>
              </w:rPr>
              <w:fldChar w:fldCharType="end"/>
            </w:r>
          </w:p>
        </w:tc>
        <w:tc>
          <w:tcPr>
            <w:tcW w:w="567" w:type="dxa"/>
          </w:tcPr>
          <w:p w14:paraId="2E33E47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 exploratory analysis</w:t>
            </w:r>
          </w:p>
        </w:tc>
        <w:tc>
          <w:tcPr>
            <w:tcW w:w="567" w:type="dxa"/>
            <w:tcBorders>
              <w:right w:val="single" w:sz="12" w:space="0" w:color="auto"/>
            </w:tcBorders>
          </w:tcPr>
          <w:p w14:paraId="17D149B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Ischemic or </w:t>
            </w:r>
            <w:proofErr w:type="spellStart"/>
            <w:r w:rsidRPr="008442F9">
              <w:rPr>
                <w:rFonts w:ascii="Arial" w:hAnsi="Arial" w:cs="Arial"/>
                <w:sz w:val="10"/>
                <w:szCs w:val="10"/>
                <w:lang w:val="en-US"/>
              </w:rPr>
              <w:t>haemorrhagic</w:t>
            </w:r>
            <w:proofErr w:type="spellEnd"/>
            <w:r w:rsidRPr="008442F9">
              <w:rPr>
                <w:rFonts w:ascii="Arial" w:hAnsi="Arial" w:cs="Arial"/>
                <w:sz w:val="10"/>
                <w:szCs w:val="10"/>
                <w:lang w:val="en-US"/>
              </w:rPr>
              <w:t xml:space="preserve"> stroke</w:t>
            </w:r>
          </w:p>
        </w:tc>
        <w:tc>
          <w:tcPr>
            <w:tcW w:w="567" w:type="dxa"/>
            <w:tcBorders>
              <w:left w:val="single" w:sz="12" w:space="0" w:color="auto"/>
            </w:tcBorders>
          </w:tcPr>
          <w:p w14:paraId="5305645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880 (123)</w:t>
            </w:r>
          </w:p>
        </w:tc>
        <w:tc>
          <w:tcPr>
            <w:tcW w:w="567" w:type="dxa"/>
          </w:tcPr>
          <w:p w14:paraId="10E84C2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1639 (144)</w:t>
            </w:r>
          </w:p>
        </w:tc>
        <w:tc>
          <w:tcPr>
            <w:tcW w:w="567" w:type="dxa"/>
            <w:tcBorders>
              <w:right w:val="single" w:sz="4" w:space="0" w:color="auto"/>
            </w:tcBorders>
          </w:tcPr>
          <w:p w14:paraId="3ABE647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1.14 (0.84-1.</w:t>
            </w:r>
            <w:proofErr w:type="gramStart"/>
            <w:r w:rsidRPr="008442F9">
              <w:rPr>
                <w:rFonts w:ascii="Arial" w:hAnsi="Arial" w:cs="Arial"/>
                <w:sz w:val="10"/>
                <w:szCs w:val="10"/>
                <w:lang w:val="en-US"/>
              </w:rPr>
              <w:t>53)</w:t>
            </w:r>
            <w:r w:rsidRPr="008442F9">
              <w:rPr>
                <w:rFonts w:ascii="Arial" w:hAnsi="Arial" w:cs="Arial"/>
                <w:sz w:val="10"/>
                <w:szCs w:val="10"/>
                <w:vertAlign w:val="superscript"/>
                <w:lang w:val="en-US"/>
              </w:rPr>
              <w:t>a</w:t>
            </w:r>
            <w:proofErr w:type="gramEnd"/>
          </w:p>
        </w:tc>
        <w:tc>
          <w:tcPr>
            <w:tcW w:w="567" w:type="dxa"/>
            <w:tcBorders>
              <w:left w:val="single" w:sz="4" w:space="0" w:color="auto"/>
              <w:right w:val="single" w:sz="12" w:space="0" w:color="auto"/>
            </w:tcBorders>
          </w:tcPr>
          <w:p w14:paraId="3521CD9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3-months from ictus</w:t>
            </w:r>
          </w:p>
        </w:tc>
        <w:tc>
          <w:tcPr>
            <w:tcW w:w="567" w:type="dxa"/>
            <w:tcBorders>
              <w:left w:val="single" w:sz="12" w:space="0" w:color="auto"/>
            </w:tcBorders>
          </w:tcPr>
          <w:p w14:paraId="6CD95DA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880 (392)</w:t>
            </w:r>
          </w:p>
        </w:tc>
        <w:tc>
          <w:tcPr>
            <w:tcW w:w="567" w:type="dxa"/>
          </w:tcPr>
          <w:p w14:paraId="69EA4E7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1629 (592)</w:t>
            </w:r>
          </w:p>
        </w:tc>
        <w:tc>
          <w:tcPr>
            <w:tcW w:w="567" w:type="dxa"/>
            <w:tcBorders>
              <w:right w:val="single" w:sz="2" w:space="0" w:color="auto"/>
            </w:tcBorders>
          </w:tcPr>
          <w:p w14:paraId="5CD12F07" w14:textId="77777777" w:rsidR="001C1082" w:rsidRPr="008442F9" w:rsidRDefault="001C1082" w:rsidP="001C1082">
            <w:pPr>
              <w:spacing w:line="276" w:lineRule="auto"/>
              <w:rPr>
                <w:rFonts w:ascii="Arial" w:hAnsi="Arial" w:cs="Arial"/>
                <w:sz w:val="10"/>
                <w:szCs w:val="10"/>
                <w:vertAlign w:val="superscript"/>
                <w:lang w:val="en-US"/>
              </w:rPr>
            </w:pPr>
            <w:r w:rsidRPr="008442F9">
              <w:rPr>
                <w:rFonts w:ascii="Arial" w:hAnsi="Arial" w:cs="Arial"/>
                <w:sz w:val="10"/>
                <w:szCs w:val="10"/>
                <w:lang w:val="en-US"/>
              </w:rPr>
              <w:t>1.10 (0.89-1.</w:t>
            </w:r>
            <w:proofErr w:type="gramStart"/>
            <w:r w:rsidRPr="008442F9">
              <w:rPr>
                <w:rFonts w:ascii="Arial" w:hAnsi="Arial" w:cs="Arial"/>
                <w:sz w:val="10"/>
                <w:szCs w:val="10"/>
                <w:lang w:val="en-US"/>
              </w:rPr>
              <w:t>35)</w:t>
            </w:r>
            <w:r w:rsidRPr="008442F9">
              <w:rPr>
                <w:rFonts w:ascii="Arial" w:hAnsi="Arial" w:cs="Arial"/>
                <w:sz w:val="10"/>
                <w:szCs w:val="10"/>
                <w:vertAlign w:val="superscript"/>
                <w:lang w:val="en-US"/>
              </w:rPr>
              <w:t>a</w:t>
            </w:r>
            <w:proofErr w:type="gramEnd"/>
          </w:p>
        </w:tc>
        <w:tc>
          <w:tcPr>
            <w:tcW w:w="425" w:type="dxa"/>
            <w:tcBorders>
              <w:left w:val="single" w:sz="2" w:space="0" w:color="auto"/>
              <w:right w:val="single" w:sz="2" w:space="0" w:color="auto"/>
            </w:tcBorders>
          </w:tcPr>
          <w:p w14:paraId="60060CC9"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3-6</w:t>
            </w:r>
          </w:p>
        </w:tc>
        <w:tc>
          <w:tcPr>
            <w:tcW w:w="425" w:type="dxa"/>
            <w:tcBorders>
              <w:left w:val="single" w:sz="2" w:space="0" w:color="auto"/>
              <w:right w:val="single" w:sz="12" w:space="0" w:color="auto"/>
            </w:tcBorders>
          </w:tcPr>
          <w:p w14:paraId="632574C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3-months from ictus</w:t>
            </w:r>
          </w:p>
        </w:tc>
        <w:tc>
          <w:tcPr>
            <w:tcW w:w="567" w:type="dxa"/>
            <w:tcBorders>
              <w:left w:val="single" w:sz="12" w:space="0" w:color="auto"/>
            </w:tcBorders>
          </w:tcPr>
          <w:p w14:paraId="2EFDD68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885 (168)</w:t>
            </w:r>
          </w:p>
        </w:tc>
        <w:tc>
          <w:tcPr>
            <w:tcW w:w="567" w:type="dxa"/>
          </w:tcPr>
          <w:p w14:paraId="5B1ACF0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1648 (179)</w:t>
            </w:r>
          </w:p>
        </w:tc>
        <w:tc>
          <w:tcPr>
            <w:tcW w:w="426" w:type="dxa"/>
            <w:tcBorders>
              <w:right w:val="single" w:sz="2" w:space="0" w:color="auto"/>
            </w:tcBorders>
          </w:tcPr>
          <w:p w14:paraId="2E853A4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1.61 (1.19-2.</w:t>
            </w:r>
            <w:proofErr w:type="gramStart"/>
            <w:r w:rsidRPr="008442F9">
              <w:rPr>
                <w:rFonts w:ascii="Arial" w:hAnsi="Arial" w:cs="Arial"/>
                <w:sz w:val="10"/>
                <w:szCs w:val="10"/>
                <w:lang w:val="en-US"/>
              </w:rPr>
              <w:t>18)</w:t>
            </w:r>
            <w:r w:rsidRPr="008442F9">
              <w:rPr>
                <w:rFonts w:ascii="Arial" w:hAnsi="Arial" w:cs="Arial"/>
                <w:sz w:val="10"/>
                <w:szCs w:val="10"/>
                <w:vertAlign w:val="superscript"/>
                <w:lang w:val="en-US"/>
              </w:rPr>
              <w:t>a</w:t>
            </w:r>
            <w:proofErr w:type="gramEnd"/>
          </w:p>
        </w:tc>
        <w:tc>
          <w:tcPr>
            <w:tcW w:w="425" w:type="dxa"/>
            <w:tcBorders>
              <w:left w:val="single" w:sz="2" w:space="0" w:color="auto"/>
              <w:right w:val="single" w:sz="2" w:space="0" w:color="auto"/>
            </w:tcBorders>
          </w:tcPr>
          <w:p w14:paraId="48197D8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Infection</w:t>
            </w:r>
          </w:p>
        </w:tc>
        <w:tc>
          <w:tcPr>
            <w:tcW w:w="709" w:type="dxa"/>
            <w:tcBorders>
              <w:left w:val="single" w:sz="2" w:space="0" w:color="auto"/>
              <w:right w:val="single" w:sz="12" w:space="0" w:color="auto"/>
            </w:tcBorders>
          </w:tcPr>
          <w:p w14:paraId="14F06AD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r>
      <w:tr w:rsidR="001C1082" w:rsidRPr="008442F9" w14:paraId="61FC7B66" w14:textId="77777777" w:rsidTr="0072087E">
        <w:tc>
          <w:tcPr>
            <w:tcW w:w="851" w:type="dxa"/>
            <w:tcBorders>
              <w:left w:val="single" w:sz="12" w:space="0" w:color="auto"/>
            </w:tcBorders>
          </w:tcPr>
          <w:p w14:paraId="1345C8B3"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Koton</w:t>
            </w:r>
            <w:proofErr w:type="spellEnd"/>
            <w:r w:rsidRPr="008442F9">
              <w:rPr>
                <w:rFonts w:ascii="Arial" w:hAnsi="Arial" w:cs="Arial"/>
                <w:sz w:val="10"/>
                <w:szCs w:val="10"/>
                <w:lang w:val="en-US"/>
              </w:rPr>
              <w:t xml:space="preserve"> S (2017)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1a4qQxXj","properties":{"formattedCitation":"[27]","plainCitation":"[27]","noteIndex":0},"citationItems":[{"id":9078,"uris":["http://zotero.org/users/5097183/items/UBQDBV5N"],"uri":["http://zotero.org/users/5097183/items/UBQDBV5N"],"itemData":{"id":9078,"type":"article-journal","title":"Prestroke treatment with beta-blockers for hypertension is not associatedwith severity and poor outcome in patients with ischemic stroke: Data from a national stroke registry","container-title":"Journal of Hypertension","page":"870-876","volume":"35","issue":"4","archive":"Scopus","DOI":"10.1097/HJH.0000000000001218","author":[{"family":"Koton","given":"S."},{"family":"Tanne","given":"D."},{"family":"Grossman","given":"E."}],"issued":{"date-parts":[["2017"]]}}}],"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lang w:val="en-US"/>
              </w:rPr>
              <w:t>[27]</w:t>
            </w:r>
            <w:r w:rsidRPr="008442F9">
              <w:rPr>
                <w:rFonts w:ascii="Arial" w:hAnsi="Arial" w:cs="Arial"/>
                <w:sz w:val="10"/>
                <w:szCs w:val="10"/>
                <w:lang w:val="en-US"/>
              </w:rPr>
              <w:fldChar w:fldCharType="end"/>
            </w:r>
          </w:p>
        </w:tc>
        <w:tc>
          <w:tcPr>
            <w:tcW w:w="567" w:type="dxa"/>
          </w:tcPr>
          <w:p w14:paraId="773128A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w:t>
            </w:r>
          </w:p>
        </w:tc>
        <w:tc>
          <w:tcPr>
            <w:tcW w:w="567" w:type="dxa"/>
            <w:tcBorders>
              <w:right w:val="single" w:sz="12" w:space="0" w:color="auto"/>
            </w:tcBorders>
          </w:tcPr>
          <w:p w14:paraId="33F1A6A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589209B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1470 (141)</w:t>
            </w:r>
          </w:p>
        </w:tc>
        <w:tc>
          <w:tcPr>
            <w:tcW w:w="567" w:type="dxa"/>
          </w:tcPr>
          <w:p w14:paraId="758A7C4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1327 (116)</w:t>
            </w:r>
          </w:p>
        </w:tc>
        <w:tc>
          <w:tcPr>
            <w:tcW w:w="567" w:type="dxa"/>
            <w:tcBorders>
              <w:right w:val="single" w:sz="4" w:space="0" w:color="auto"/>
            </w:tcBorders>
          </w:tcPr>
          <w:p w14:paraId="5CCF8E3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0.99 (0.74-1.</w:t>
            </w:r>
            <w:proofErr w:type="gramStart"/>
            <w:r w:rsidRPr="008442F9">
              <w:rPr>
                <w:rFonts w:ascii="Arial" w:hAnsi="Arial" w:cs="Arial"/>
                <w:sz w:val="10"/>
                <w:szCs w:val="10"/>
                <w:lang w:val="en-US"/>
              </w:rPr>
              <w:t>31)</w:t>
            </w:r>
            <w:r w:rsidRPr="008442F9">
              <w:rPr>
                <w:rFonts w:ascii="Arial" w:hAnsi="Arial" w:cs="Arial"/>
                <w:sz w:val="10"/>
                <w:szCs w:val="10"/>
                <w:vertAlign w:val="superscript"/>
                <w:lang w:val="en-US"/>
              </w:rPr>
              <w:t>a</w:t>
            </w:r>
            <w:proofErr w:type="gramEnd"/>
          </w:p>
        </w:tc>
        <w:tc>
          <w:tcPr>
            <w:tcW w:w="567" w:type="dxa"/>
            <w:tcBorders>
              <w:left w:val="single" w:sz="4" w:space="0" w:color="auto"/>
              <w:right w:val="single" w:sz="12" w:space="0" w:color="auto"/>
            </w:tcBorders>
          </w:tcPr>
          <w:p w14:paraId="21905BC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1-month mortality</w:t>
            </w:r>
          </w:p>
        </w:tc>
        <w:tc>
          <w:tcPr>
            <w:tcW w:w="567" w:type="dxa"/>
            <w:tcBorders>
              <w:left w:val="single" w:sz="12" w:space="0" w:color="auto"/>
            </w:tcBorders>
          </w:tcPr>
          <w:p w14:paraId="3A1EB6A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2026 (1375)</w:t>
            </w:r>
          </w:p>
        </w:tc>
        <w:tc>
          <w:tcPr>
            <w:tcW w:w="567" w:type="dxa"/>
          </w:tcPr>
          <w:p w14:paraId="475286E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1866 (1272)</w:t>
            </w:r>
          </w:p>
        </w:tc>
        <w:tc>
          <w:tcPr>
            <w:tcW w:w="567" w:type="dxa"/>
            <w:tcBorders>
              <w:right w:val="single" w:sz="2" w:space="0" w:color="auto"/>
            </w:tcBorders>
          </w:tcPr>
          <w:p w14:paraId="440D2787" w14:textId="77777777" w:rsidR="001C1082" w:rsidRPr="008442F9" w:rsidRDefault="001C1082" w:rsidP="001C1082">
            <w:pPr>
              <w:spacing w:line="276" w:lineRule="auto"/>
              <w:rPr>
                <w:rFonts w:ascii="Arial" w:hAnsi="Arial" w:cs="Arial"/>
                <w:sz w:val="10"/>
                <w:szCs w:val="10"/>
                <w:vertAlign w:val="superscript"/>
                <w:lang w:val="en-US"/>
              </w:rPr>
            </w:pPr>
            <w:r w:rsidRPr="008442F9">
              <w:rPr>
                <w:rFonts w:ascii="Arial" w:hAnsi="Arial" w:cs="Arial"/>
                <w:sz w:val="10"/>
                <w:szCs w:val="10"/>
                <w:lang w:val="en-US"/>
              </w:rPr>
              <w:t>0.87 (0.73-1.</w:t>
            </w:r>
            <w:proofErr w:type="gramStart"/>
            <w:r w:rsidRPr="008442F9">
              <w:rPr>
                <w:rFonts w:ascii="Arial" w:hAnsi="Arial" w:cs="Arial"/>
                <w:sz w:val="10"/>
                <w:szCs w:val="10"/>
                <w:lang w:val="en-US"/>
              </w:rPr>
              <w:t>03)</w:t>
            </w:r>
            <w:r w:rsidRPr="008442F9">
              <w:rPr>
                <w:rFonts w:ascii="Arial" w:hAnsi="Arial" w:cs="Arial"/>
                <w:sz w:val="10"/>
                <w:szCs w:val="10"/>
                <w:vertAlign w:val="superscript"/>
                <w:lang w:val="en-US"/>
              </w:rPr>
              <w:t>a</w:t>
            </w:r>
            <w:proofErr w:type="gramEnd"/>
          </w:p>
        </w:tc>
        <w:tc>
          <w:tcPr>
            <w:tcW w:w="425" w:type="dxa"/>
            <w:tcBorders>
              <w:left w:val="single" w:sz="2" w:space="0" w:color="auto"/>
              <w:right w:val="single" w:sz="2" w:space="0" w:color="auto"/>
            </w:tcBorders>
          </w:tcPr>
          <w:p w14:paraId="47B22BF3"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 2</w:t>
            </w:r>
          </w:p>
        </w:tc>
        <w:tc>
          <w:tcPr>
            <w:tcW w:w="425" w:type="dxa"/>
            <w:tcBorders>
              <w:left w:val="single" w:sz="2" w:space="0" w:color="auto"/>
              <w:right w:val="single" w:sz="12" w:space="0" w:color="auto"/>
            </w:tcBorders>
          </w:tcPr>
          <w:p w14:paraId="194CF52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discharge</w:t>
            </w:r>
          </w:p>
        </w:tc>
        <w:tc>
          <w:tcPr>
            <w:tcW w:w="567" w:type="dxa"/>
            <w:tcBorders>
              <w:left w:val="single" w:sz="12" w:space="0" w:color="auto"/>
            </w:tcBorders>
          </w:tcPr>
          <w:p w14:paraId="38668867" w14:textId="77777777" w:rsidR="001C1082" w:rsidRPr="008442F9" w:rsidRDefault="001C1082" w:rsidP="001C1082">
            <w:pPr>
              <w:spacing w:line="276" w:lineRule="auto"/>
              <w:rPr>
                <w:rFonts w:ascii="Arial" w:hAnsi="Arial" w:cs="Arial"/>
                <w:sz w:val="10"/>
                <w:szCs w:val="10"/>
                <w:lang w:val="en-US"/>
              </w:rPr>
            </w:pPr>
          </w:p>
        </w:tc>
        <w:tc>
          <w:tcPr>
            <w:tcW w:w="567" w:type="dxa"/>
          </w:tcPr>
          <w:p w14:paraId="508BB514" w14:textId="77777777" w:rsidR="001C1082" w:rsidRPr="008442F9" w:rsidRDefault="001C1082" w:rsidP="001C1082">
            <w:pPr>
              <w:spacing w:line="276" w:lineRule="auto"/>
              <w:rPr>
                <w:rFonts w:ascii="Arial" w:hAnsi="Arial" w:cs="Arial"/>
                <w:sz w:val="10"/>
                <w:szCs w:val="10"/>
                <w:lang w:val="en-US"/>
              </w:rPr>
            </w:pPr>
          </w:p>
        </w:tc>
        <w:tc>
          <w:tcPr>
            <w:tcW w:w="426" w:type="dxa"/>
            <w:tcBorders>
              <w:right w:val="single" w:sz="2" w:space="0" w:color="auto"/>
            </w:tcBorders>
          </w:tcPr>
          <w:p w14:paraId="1AAE9C0E"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37A58C1E" w14:textId="77777777" w:rsidR="001C1082" w:rsidRPr="008442F9" w:rsidRDefault="001C1082" w:rsidP="001C1082">
            <w:pPr>
              <w:spacing w:line="276" w:lineRule="auto"/>
              <w:rPr>
                <w:rFonts w:ascii="Arial" w:hAnsi="Arial" w:cs="Arial"/>
                <w:sz w:val="10"/>
                <w:szCs w:val="10"/>
                <w:lang w:val="en-US"/>
              </w:rPr>
            </w:pPr>
          </w:p>
        </w:tc>
        <w:tc>
          <w:tcPr>
            <w:tcW w:w="709" w:type="dxa"/>
            <w:tcBorders>
              <w:left w:val="single" w:sz="2" w:space="0" w:color="auto"/>
              <w:right w:val="single" w:sz="12" w:space="0" w:color="auto"/>
            </w:tcBorders>
          </w:tcPr>
          <w:p w14:paraId="64FD3C3A" w14:textId="77777777" w:rsidR="001C1082" w:rsidRPr="008442F9" w:rsidRDefault="001C1082" w:rsidP="001C1082">
            <w:pPr>
              <w:spacing w:line="276" w:lineRule="auto"/>
              <w:rPr>
                <w:rFonts w:ascii="Arial" w:hAnsi="Arial" w:cs="Arial"/>
                <w:sz w:val="10"/>
                <w:szCs w:val="10"/>
                <w:lang w:val="en-US"/>
              </w:rPr>
            </w:pPr>
          </w:p>
        </w:tc>
      </w:tr>
      <w:tr w:rsidR="001C1082" w:rsidRPr="008442F9" w14:paraId="073838C3" w14:textId="77777777" w:rsidTr="0072087E">
        <w:tc>
          <w:tcPr>
            <w:tcW w:w="851" w:type="dxa"/>
            <w:tcBorders>
              <w:left w:val="single" w:sz="12" w:space="0" w:color="auto"/>
            </w:tcBorders>
          </w:tcPr>
          <w:p w14:paraId="2E16DB5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Starr JB (2017a)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A8KTbKJh","properties":{"formattedCitation":"[41]","plainCitation":"[41]","noteIndex":0},"citationItems":[{"id":8257,"uris":["http://zotero.org/users/5097183/items/ET7FZ7NJ"],"uri":["http://zotero.org/users/5097183/items/ET7FZ7NJ"],"itemData":{"id":8257,"type":"article-journal","title":"Labetalol Use Is Associated With Increased In-Hospital Infection Compared With Nicardipine Use in Intracerebral Hemorrhage","container-title":"Stroke","page":"2693-2698","volume":"48","issue":"10","source":"PubMed","abstract":"BACKGROUND AND PURPOSE: Increased sympathetic tone causes hypertension after intracerebral hemorrhage, and blood pressure reduction has been studied as a way to decrease hemorrhage growth and improve outcomes. It is unknown if the antihypertensive used to achieve blood pressure goals influences either. Because sympatholytic drugs reduce death and infection in animal models, we hypothesized that labetalol would improve outcomes compared with nicardipine.\nMETHODS: Prospective data from a single center were retrospectively reviewed. Patients receiving labetalol, nicardipine, or both during their first 3 days of hospitalization were included. Outcomes included in-hospital death; discharge modified Rankin Score &gt;2; and in-hospital urinary tract infection, pneumonia, or bacteremia. Patients were compared with propensity scoring and analyzed with linear models adjusted for significant confounders.\nRESULTS: Of 1066 admissions, 525 were treated with labetalol or nicardipine and are included; 229 (43.6%) received labetalol, 107 (20.4%) received nicardipine, and 189 (36.0%) received both. Mortality and infection rates were 40.2% and 15.8%, respectively, 77.2% had a modified Rankin Score &gt;2. After adjustment, compared with nicardipine alone, labetalol alone was associated with infection (odds ratio, 3.12; confidence interval, 1.27-7.64; P=0.013) but not when combined with nicardipine (odds ratio, 2.44; confidence interval, 0.98-6.07; P=0.055). Labetalol, with or without nicardipine, was not associated with death or discharge modified Rankin Score &gt;2.\nCONCLUSIONS: Compared with nicardipine, labetalol was associated with increased in-hospital infections, but not mortality or modified Rankin Score &gt;2. These findings do not support our hypothesis that labetalol use improves outcomes relative to nicardipine in intracerebral hemorrhage.","DOI":"10.1161/STROKEAHA.117.017230","ISSN":"1524-4628","note":"PMID: 28904237","journalAbbreviation":"Stroke","language":"eng","author":[{"family":"Starr","given":"Jordan B."},{"family":"Tirschwell","given":"David L."},{"family":"Becker","given":"Kyra J."}],"issued":{"date-parts":[["2017"]]}}}],"schema":"https://github.com/citation-style-language/schema/raw/master/csl-citation.json"}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lang w:val="en-US"/>
              </w:rPr>
              <w:t>[41]</w:t>
            </w:r>
            <w:r w:rsidRPr="008442F9">
              <w:rPr>
                <w:rFonts w:ascii="Arial" w:hAnsi="Arial" w:cs="Arial"/>
                <w:sz w:val="10"/>
                <w:szCs w:val="10"/>
                <w:lang w:val="en-US"/>
              </w:rPr>
              <w:fldChar w:fldCharType="end"/>
            </w:r>
          </w:p>
        </w:tc>
        <w:tc>
          <w:tcPr>
            <w:tcW w:w="567" w:type="dxa"/>
          </w:tcPr>
          <w:p w14:paraId="3DE93F92"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Observational </w:t>
            </w:r>
          </w:p>
        </w:tc>
        <w:tc>
          <w:tcPr>
            <w:tcW w:w="567" w:type="dxa"/>
            <w:tcBorders>
              <w:right w:val="single" w:sz="12" w:space="0" w:color="auto"/>
            </w:tcBorders>
          </w:tcPr>
          <w:p w14:paraId="383888E6"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Haemorrhagic</w:t>
            </w:r>
            <w:proofErr w:type="spellEnd"/>
            <w:r w:rsidRPr="008442F9">
              <w:rPr>
                <w:rFonts w:ascii="Arial" w:hAnsi="Arial" w:cs="Arial"/>
                <w:sz w:val="10"/>
                <w:szCs w:val="10"/>
                <w:lang w:val="en-US"/>
              </w:rPr>
              <w:t xml:space="preserve"> stroke</w:t>
            </w:r>
          </w:p>
        </w:tc>
        <w:tc>
          <w:tcPr>
            <w:tcW w:w="567" w:type="dxa"/>
            <w:tcBorders>
              <w:left w:val="single" w:sz="12" w:space="0" w:color="auto"/>
            </w:tcBorders>
          </w:tcPr>
          <w:p w14:paraId="6BE8B69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418 (164)</w:t>
            </w:r>
          </w:p>
        </w:tc>
        <w:tc>
          <w:tcPr>
            <w:tcW w:w="567" w:type="dxa"/>
          </w:tcPr>
          <w:p w14:paraId="59B2CE2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107 (47)</w:t>
            </w:r>
          </w:p>
        </w:tc>
        <w:tc>
          <w:tcPr>
            <w:tcW w:w="567" w:type="dxa"/>
            <w:tcBorders>
              <w:right w:val="single" w:sz="4" w:space="0" w:color="auto"/>
            </w:tcBorders>
          </w:tcPr>
          <w:p w14:paraId="3B9B604C"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4" w:space="0" w:color="auto"/>
              <w:right w:val="single" w:sz="12" w:space="0" w:color="auto"/>
            </w:tcBorders>
          </w:tcPr>
          <w:p w14:paraId="52CA0AF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c>
          <w:tcPr>
            <w:tcW w:w="567" w:type="dxa"/>
            <w:tcBorders>
              <w:left w:val="single" w:sz="12" w:space="0" w:color="auto"/>
            </w:tcBorders>
          </w:tcPr>
          <w:p w14:paraId="2C12966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345 (268)</w:t>
            </w:r>
          </w:p>
        </w:tc>
        <w:tc>
          <w:tcPr>
            <w:tcW w:w="567" w:type="dxa"/>
          </w:tcPr>
          <w:p w14:paraId="6020682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94 (71)</w:t>
            </w:r>
          </w:p>
        </w:tc>
        <w:tc>
          <w:tcPr>
            <w:tcW w:w="567" w:type="dxa"/>
            <w:tcBorders>
              <w:right w:val="single" w:sz="2" w:space="0" w:color="auto"/>
            </w:tcBorders>
          </w:tcPr>
          <w:p w14:paraId="564944C3"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53DFD271"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&gt; 2 </w:t>
            </w:r>
          </w:p>
        </w:tc>
        <w:tc>
          <w:tcPr>
            <w:tcW w:w="425" w:type="dxa"/>
            <w:tcBorders>
              <w:left w:val="single" w:sz="2" w:space="0" w:color="auto"/>
              <w:right w:val="single" w:sz="12" w:space="0" w:color="auto"/>
            </w:tcBorders>
          </w:tcPr>
          <w:p w14:paraId="4C991E9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discharge</w:t>
            </w:r>
          </w:p>
        </w:tc>
        <w:tc>
          <w:tcPr>
            <w:tcW w:w="567" w:type="dxa"/>
            <w:tcBorders>
              <w:left w:val="single" w:sz="12" w:space="0" w:color="auto"/>
            </w:tcBorders>
          </w:tcPr>
          <w:p w14:paraId="2936F25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365 (65)</w:t>
            </w:r>
          </w:p>
        </w:tc>
        <w:tc>
          <w:tcPr>
            <w:tcW w:w="567" w:type="dxa"/>
          </w:tcPr>
          <w:p w14:paraId="3BFB3CD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92 (7)</w:t>
            </w:r>
          </w:p>
        </w:tc>
        <w:tc>
          <w:tcPr>
            <w:tcW w:w="426" w:type="dxa"/>
            <w:tcBorders>
              <w:right w:val="single" w:sz="2" w:space="0" w:color="auto"/>
            </w:tcBorders>
          </w:tcPr>
          <w:p w14:paraId="305999B0"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7869B46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Infection</w:t>
            </w:r>
          </w:p>
        </w:tc>
        <w:tc>
          <w:tcPr>
            <w:tcW w:w="709" w:type="dxa"/>
            <w:tcBorders>
              <w:left w:val="single" w:sz="2" w:space="0" w:color="auto"/>
              <w:right w:val="single" w:sz="12" w:space="0" w:color="auto"/>
            </w:tcBorders>
          </w:tcPr>
          <w:p w14:paraId="0A3AA77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r>
      <w:tr w:rsidR="001C1082" w:rsidRPr="008442F9" w14:paraId="01EEFBB2" w14:textId="77777777" w:rsidTr="0072087E">
        <w:tc>
          <w:tcPr>
            <w:tcW w:w="851" w:type="dxa"/>
            <w:tcBorders>
              <w:left w:val="single" w:sz="12" w:space="0" w:color="auto"/>
            </w:tcBorders>
          </w:tcPr>
          <w:p w14:paraId="12E635DC"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Starr JB (2017b)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vP86UdG7","properties":{"formattedCitation":"[42]","plainCitation":"[42]","noteIndex":0},"citationItems":[{"id":8057,"uris":["http://zotero.org/users/5097183/items/64KB7EK4"],"uri":["http://zotero.org/users/5097183/items/64KB7EK4"],"itemData":{"id":8057,"type":"article-journal","title":"Increased infections with β-blocker use in ischemic stroke, a β2-receptor mediated process?","container-title":"Neurological Sciences: Official Journal of the Italian Neurological Society and of the Italian Society of Clinical Neurophysiology","page":"967-974","volume":"38","issue":"6","source":"PubMed","abstract":"Strokes promote immunosuppression, partially from increased sympathetic activity. Altering sympathetic drive with β-blockers has variably been shown to improve stroke outcomes. This study adds to this literature using propensity score matching to limit confounding and by examining the effects of selective and non-selective β-blockers. Prospective data from acute ischemic stroke admissions at a single center from July 2010-June 2015 were analyzed. Outcomes included infection (urinary tract infection [UTI], pneumonia, or bacteremia), discharge modified Rankin Score (mRS), and in-hospital death. Any selective and non-selective β-blocker use during the first 3 days of admission were investigated with propensity score matching. A sensitivity analysis was also performed. This study included 1431 admissions. Any β-blocker use was associated with increased infections (16.4 vs. 10.7%, p = 0.030). Non-selective β-blocker use was associated with increased infections (18.9 vs. 9.7%, p = 0.005) and UTIs (13.0 vs. 5.5%, p = 0.009). Selective β-blocker use was not associated with infection. There were no associations between β-blocker use and in-hospital death or discharge mRS. In the sensitivity analysis, the association between non-selective β-blocker use and urinary tract infections persisted (12.5 vs. 4.2%, p = 0.044). No associations with death or mRS were found. Early β-blocker use after ischemic stroke may increase the risk of infection but did not change disability or mortality risk. The mechanism may be mediated by β2-adrenergic receptor antagonism given the different effects seen with selective versus non-selective β-blocker use.","DOI":"10.1007/s10072-017-2877-x","ISSN":"1590-3478","note":"PMID: 28258316","journalAbbreviation":"Neurol. Sci.","language":"eng","author":[{"family":"Starr","given":"Jordan B."},{"family":"Tirschwell","given":"David L."},{"family":"Becker","given":"Kyra J."}],"issued":{"date-parts":[["2017",6]]}}}],"schema":"https://github.com/citation-style-language/schema/raw/master/csl-citation.json"}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lang w:val="en-US"/>
              </w:rPr>
              <w:t>[42]</w:t>
            </w:r>
            <w:r w:rsidRPr="008442F9">
              <w:rPr>
                <w:rFonts w:ascii="Arial" w:hAnsi="Arial" w:cs="Arial"/>
                <w:sz w:val="10"/>
                <w:szCs w:val="10"/>
                <w:lang w:val="en-US"/>
              </w:rPr>
              <w:fldChar w:fldCharType="end"/>
            </w:r>
          </w:p>
        </w:tc>
        <w:tc>
          <w:tcPr>
            <w:tcW w:w="567" w:type="dxa"/>
          </w:tcPr>
          <w:p w14:paraId="24ACE20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w:t>
            </w:r>
          </w:p>
        </w:tc>
        <w:tc>
          <w:tcPr>
            <w:tcW w:w="567" w:type="dxa"/>
            <w:tcBorders>
              <w:right w:val="single" w:sz="12" w:space="0" w:color="auto"/>
            </w:tcBorders>
          </w:tcPr>
          <w:p w14:paraId="17692894"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tcBorders>
          </w:tcPr>
          <w:p w14:paraId="3846620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424 (54)</w:t>
            </w:r>
          </w:p>
        </w:tc>
        <w:tc>
          <w:tcPr>
            <w:tcW w:w="567" w:type="dxa"/>
          </w:tcPr>
          <w:p w14:paraId="7F2C4D9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424 (52)</w:t>
            </w:r>
          </w:p>
        </w:tc>
        <w:tc>
          <w:tcPr>
            <w:tcW w:w="567" w:type="dxa"/>
            <w:tcBorders>
              <w:right w:val="single" w:sz="4" w:space="0" w:color="auto"/>
            </w:tcBorders>
          </w:tcPr>
          <w:p w14:paraId="61AA3F0C"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4" w:space="0" w:color="auto"/>
              <w:right w:val="single" w:sz="12" w:space="0" w:color="auto"/>
            </w:tcBorders>
          </w:tcPr>
          <w:p w14:paraId="5B41A66B"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c>
          <w:tcPr>
            <w:tcW w:w="567" w:type="dxa"/>
            <w:tcBorders>
              <w:left w:val="single" w:sz="12" w:space="0" w:color="auto"/>
            </w:tcBorders>
          </w:tcPr>
          <w:p w14:paraId="009A48C4" w14:textId="77777777" w:rsidR="001C1082" w:rsidRPr="008442F9" w:rsidRDefault="001C1082" w:rsidP="001C1082">
            <w:pPr>
              <w:spacing w:line="276" w:lineRule="auto"/>
              <w:rPr>
                <w:rFonts w:ascii="Arial" w:hAnsi="Arial" w:cs="Arial"/>
                <w:sz w:val="10"/>
                <w:szCs w:val="10"/>
                <w:lang w:val="en-US"/>
              </w:rPr>
            </w:pPr>
            <w:proofErr w:type="gramStart"/>
            <w:r w:rsidRPr="008442F9">
              <w:rPr>
                <w:rFonts w:ascii="Arial" w:hAnsi="Arial" w:cs="Arial"/>
                <w:sz w:val="10"/>
                <w:szCs w:val="10"/>
                <w:lang w:val="en-US"/>
              </w:rPr>
              <w:t>339  (</w:t>
            </w:r>
            <w:proofErr w:type="gramEnd"/>
            <w:r w:rsidRPr="008442F9">
              <w:rPr>
                <w:rFonts w:ascii="Arial" w:hAnsi="Arial" w:cs="Arial"/>
                <w:sz w:val="10"/>
                <w:szCs w:val="10"/>
                <w:lang w:val="en-US"/>
              </w:rPr>
              <w:t>221)</w:t>
            </w:r>
          </w:p>
        </w:tc>
        <w:tc>
          <w:tcPr>
            <w:tcW w:w="567" w:type="dxa"/>
          </w:tcPr>
          <w:p w14:paraId="39E63E4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319 (193)</w:t>
            </w:r>
          </w:p>
        </w:tc>
        <w:tc>
          <w:tcPr>
            <w:tcW w:w="567" w:type="dxa"/>
            <w:tcBorders>
              <w:right w:val="single" w:sz="2" w:space="0" w:color="auto"/>
            </w:tcBorders>
          </w:tcPr>
          <w:p w14:paraId="50EFF0AD"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1FF0FBB6"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mRS</w:t>
            </w:r>
            <w:proofErr w:type="spellEnd"/>
            <w:r w:rsidRPr="008442F9">
              <w:rPr>
                <w:rFonts w:ascii="Arial" w:hAnsi="Arial" w:cs="Arial"/>
                <w:sz w:val="10"/>
                <w:szCs w:val="10"/>
                <w:lang w:val="en-US"/>
              </w:rPr>
              <w:t xml:space="preserve"> &gt; 2</w:t>
            </w:r>
          </w:p>
        </w:tc>
        <w:tc>
          <w:tcPr>
            <w:tcW w:w="425" w:type="dxa"/>
            <w:tcBorders>
              <w:left w:val="single" w:sz="2" w:space="0" w:color="auto"/>
              <w:right w:val="single" w:sz="12" w:space="0" w:color="auto"/>
            </w:tcBorders>
          </w:tcPr>
          <w:p w14:paraId="7AF526F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At discharge</w:t>
            </w:r>
          </w:p>
        </w:tc>
        <w:tc>
          <w:tcPr>
            <w:tcW w:w="567" w:type="dxa"/>
            <w:tcBorders>
              <w:left w:val="single" w:sz="12" w:space="0" w:color="auto"/>
            </w:tcBorders>
          </w:tcPr>
          <w:p w14:paraId="29E3E3B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384 (63)</w:t>
            </w:r>
          </w:p>
        </w:tc>
        <w:tc>
          <w:tcPr>
            <w:tcW w:w="567" w:type="dxa"/>
          </w:tcPr>
          <w:p w14:paraId="26A48AA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384 (41)</w:t>
            </w:r>
          </w:p>
        </w:tc>
        <w:tc>
          <w:tcPr>
            <w:tcW w:w="426" w:type="dxa"/>
            <w:tcBorders>
              <w:right w:val="single" w:sz="2" w:space="0" w:color="auto"/>
            </w:tcBorders>
          </w:tcPr>
          <w:p w14:paraId="1166E21C"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right w:val="single" w:sz="2" w:space="0" w:color="auto"/>
            </w:tcBorders>
          </w:tcPr>
          <w:p w14:paraId="32FD18A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Infection </w:t>
            </w:r>
          </w:p>
        </w:tc>
        <w:tc>
          <w:tcPr>
            <w:tcW w:w="709" w:type="dxa"/>
            <w:tcBorders>
              <w:left w:val="single" w:sz="2" w:space="0" w:color="auto"/>
              <w:right w:val="single" w:sz="12" w:space="0" w:color="auto"/>
            </w:tcBorders>
          </w:tcPr>
          <w:p w14:paraId="32A869C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r>
      <w:tr w:rsidR="001C1082" w:rsidRPr="008442F9" w14:paraId="13E69429" w14:textId="77777777" w:rsidTr="0072087E">
        <w:tc>
          <w:tcPr>
            <w:tcW w:w="851" w:type="dxa"/>
            <w:tcBorders>
              <w:left w:val="single" w:sz="12" w:space="0" w:color="auto"/>
              <w:bottom w:val="single" w:sz="4" w:space="0" w:color="auto"/>
            </w:tcBorders>
          </w:tcPr>
          <w:p w14:paraId="483A8D91"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Eizenberg</w:t>
            </w:r>
            <w:proofErr w:type="spellEnd"/>
            <w:r w:rsidRPr="008442F9">
              <w:rPr>
                <w:rFonts w:ascii="Arial" w:hAnsi="Arial" w:cs="Arial"/>
                <w:sz w:val="10"/>
                <w:szCs w:val="10"/>
                <w:lang w:val="en-US"/>
              </w:rPr>
              <w:t xml:space="preserve"> Y (2018)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3D9iXg21","properties":{"formattedCitation":"[28]","plainCitation":"[28]","noteIndex":0},"citationItems":[{"id":8539,"uris":["http://zotero.org/users/5097183/items/R3JLIRCD"],"uri":["http://zotero.org/users/5097183/items/R3JLIRCD"],"itemData":{"id":8539,"type":"article-journal","title":"Pre admission treatment with Beta-blockers in hypertensive patients with acute stroke and 3-month outcome—Data from a national stroke registry","container-title":"Journal of Clinical Hypertension","page":"568-572","volume":"20","issue":"3","archive":"Scopus","DOI":"10.1111/jch.13211","author":[{"family":"Eizenberg","given":"Y."},{"family":"Grossman","given":"E."},{"family":"Tanne","given":"D."},{"family":"Koton","given":"S."}],"issued":{"date-parts":[["2018"]]}}}],"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lang w:val="en-US"/>
              </w:rPr>
              <w:t>[28]</w:t>
            </w:r>
            <w:r w:rsidRPr="008442F9">
              <w:rPr>
                <w:rFonts w:ascii="Arial" w:hAnsi="Arial" w:cs="Arial"/>
                <w:sz w:val="10"/>
                <w:szCs w:val="10"/>
                <w:lang w:val="en-US"/>
              </w:rPr>
              <w:fldChar w:fldCharType="end"/>
            </w:r>
          </w:p>
        </w:tc>
        <w:tc>
          <w:tcPr>
            <w:tcW w:w="567" w:type="dxa"/>
            <w:tcBorders>
              <w:bottom w:val="single" w:sz="4" w:space="0" w:color="auto"/>
            </w:tcBorders>
          </w:tcPr>
          <w:p w14:paraId="0955CC79"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w:t>
            </w:r>
          </w:p>
        </w:tc>
        <w:tc>
          <w:tcPr>
            <w:tcW w:w="567" w:type="dxa"/>
            <w:tcBorders>
              <w:bottom w:val="single" w:sz="4" w:space="0" w:color="auto"/>
              <w:right w:val="single" w:sz="12" w:space="0" w:color="auto"/>
            </w:tcBorders>
          </w:tcPr>
          <w:p w14:paraId="3B91EB7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Ischemic or </w:t>
            </w:r>
            <w:proofErr w:type="spellStart"/>
            <w:r w:rsidRPr="008442F9">
              <w:rPr>
                <w:rFonts w:ascii="Arial" w:hAnsi="Arial" w:cs="Arial"/>
                <w:sz w:val="10"/>
                <w:szCs w:val="10"/>
                <w:lang w:val="en-US"/>
              </w:rPr>
              <w:t>haemorrhagic</w:t>
            </w:r>
            <w:proofErr w:type="spellEnd"/>
            <w:r w:rsidRPr="008442F9">
              <w:rPr>
                <w:rFonts w:ascii="Arial" w:hAnsi="Arial" w:cs="Arial"/>
                <w:sz w:val="10"/>
                <w:szCs w:val="10"/>
                <w:lang w:val="en-US"/>
              </w:rPr>
              <w:t xml:space="preserve"> stroke</w:t>
            </w:r>
          </w:p>
        </w:tc>
        <w:tc>
          <w:tcPr>
            <w:tcW w:w="567" w:type="dxa"/>
            <w:tcBorders>
              <w:left w:val="single" w:sz="12" w:space="0" w:color="auto"/>
              <w:bottom w:val="single" w:sz="4" w:space="0" w:color="auto"/>
            </w:tcBorders>
          </w:tcPr>
          <w:p w14:paraId="68020B5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615 (41)</w:t>
            </w:r>
          </w:p>
        </w:tc>
        <w:tc>
          <w:tcPr>
            <w:tcW w:w="567" w:type="dxa"/>
            <w:tcBorders>
              <w:bottom w:val="single" w:sz="4" w:space="0" w:color="auto"/>
            </w:tcBorders>
          </w:tcPr>
          <w:p w14:paraId="3179F8C6"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511 (29)</w:t>
            </w:r>
          </w:p>
        </w:tc>
        <w:tc>
          <w:tcPr>
            <w:tcW w:w="567" w:type="dxa"/>
            <w:tcBorders>
              <w:bottom w:val="single" w:sz="4" w:space="0" w:color="auto"/>
              <w:right w:val="single" w:sz="4" w:space="0" w:color="auto"/>
            </w:tcBorders>
          </w:tcPr>
          <w:p w14:paraId="2F499A8C" w14:textId="77777777" w:rsidR="001C1082" w:rsidRPr="008442F9" w:rsidRDefault="001C1082" w:rsidP="001C1082">
            <w:pPr>
              <w:spacing w:line="276" w:lineRule="auto"/>
              <w:rPr>
                <w:rFonts w:ascii="Arial" w:hAnsi="Arial" w:cs="Arial"/>
                <w:sz w:val="10"/>
                <w:szCs w:val="10"/>
                <w:vertAlign w:val="superscript"/>
                <w:lang w:val="en-US"/>
              </w:rPr>
            </w:pPr>
            <w:r w:rsidRPr="008442F9">
              <w:rPr>
                <w:rFonts w:ascii="Arial" w:hAnsi="Arial" w:cs="Arial"/>
                <w:sz w:val="10"/>
                <w:szCs w:val="10"/>
                <w:lang w:val="en-US"/>
              </w:rPr>
              <w:t>0.86 (0.49-1.</w:t>
            </w:r>
            <w:proofErr w:type="gramStart"/>
            <w:r w:rsidRPr="008442F9">
              <w:rPr>
                <w:rFonts w:ascii="Arial" w:hAnsi="Arial" w:cs="Arial"/>
                <w:sz w:val="10"/>
                <w:szCs w:val="10"/>
                <w:lang w:val="en-US"/>
              </w:rPr>
              <w:t>52)</w:t>
            </w:r>
            <w:r w:rsidRPr="008442F9">
              <w:rPr>
                <w:rFonts w:ascii="Arial" w:hAnsi="Arial" w:cs="Arial"/>
                <w:sz w:val="10"/>
                <w:szCs w:val="10"/>
                <w:vertAlign w:val="superscript"/>
                <w:lang w:val="en-US"/>
              </w:rPr>
              <w:t>a</w:t>
            </w:r>
            <w:proofErr w:type="gramEnd"/>
          </w:p>
        </w:tc>
        <w:tc>
          <w:tcPr>
            <w:tcW w:w="567" w:type="dxa"/>
            <w:tcBorders>
              <w:left w:val="single" w:sz="4" w:space="0" w:color="auto"/>
              <w:bottom w:val="single" w:sz="4" w:space="0" w:color="auto"/>
              <w:right w:val="single" w:sz="12" w:space="0" w:color="auto"/>
            </w:tcBorders>
          </w:tcPr>
          <w:p w14:paraId="35BAC5C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3-months from ictus</w:t>
            </w:r>
          </w:p>
        </w:tc>
        <w:tc>
          <w:tcPr>
            <w:tcW w:w="567" w:type="dxa"/>
            <w:tcBorders>
              <w:left w:val="single" w:sz="12" w:space="0" w:color="auto"/>
              <w:bottom w:val="single" w:sz="4" w:space="0" w:color="auto"/>
            </w:tcBorders>
          </w:tcPr>
          <w:p w14:paraId="5943144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517 (182)</w:t>
            </w:r>
          </w:p>
        </w:tc>
        <w:tc>
          <w:tcPr>
            <w:tcW w:w="567" w:type="dxa"/>
            <w:tcBorders>
              <w:bottom w:val="single" w:sz="4" w:space="0" w:color="auto"/>
            </w:tcBorders>
          </w:tcPr>
          <w:p w14:paraId="7D6CBFB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444 (154)</w:t>
            </w:r>
          </w:p>
        </w:tc>
        <w:tc>
          <w:tcPr>
            <w:tcW w:w="567" w:type="dxa"/>
            <w:tcBorders>
              <w:bottom w:val="single" w:sz="4" w:space="0" w:color="auto"/>
              <w:right w:val="single" w:sz="2" w:space="0" w:color="auto"/>
            </w:tcBorders>
          </w:tcPr>
          <w:p w14:paraId="500432AA"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1.07 (0.76-1.</w:t>
            </w:r>
            <w:proofErr w:type="gramStart"/>
            <w:r w:rsidRPr="008442F9">
              <w:rPr>
                <w:rFonts w:ascii="Arial" w:hAnsi="Arial" w:cs="Arial"/>
                <w:sz w:val="10"/>
                <w:szCs w:val="10"/>
                <w:lang w:val="en-US"/>
              </w:rPr>
              <w:t>50)</w:t>
            </w:r>
            <w:r w:rsidRPr="008442F9">
              <w:rPr>
                <w:rFonts w:ascii="Arial" w:hAnsi="Arial" w:cs="Arial"/>
                <w:sz w:val="10"/>
                <w:szCs w:val="10"/>
                <w:vertAlign w:val="superscript"/>
                <w:lang w:val="en-US"/>
              </w:rPr>
              <w:t>a</w:t>
            </w:r>
            <w:proofErr w:type="gramEnd"/>
          </w:p>
        </w:tc>
        <w:tc>
          <w:tcPr>
            <w:tcW w:w="425" w:type="dxa"/>
            <w:tcBorders>
              <w:left w:val="single" w:sz="2" w:space="0" w:color="auto"/>
              <w:bottom w:val="single" w:sz="4" w:space="0" w:color="auto"/>
              <w:right w:val="single" w:sz="2" w:space="0" w:color="auto"/>
            </w:tcBorders>
          </w:tcPr>
          <w:p w14:paraId="4C18736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BI ≤ 60</w:t>
            </w:r>
          </w:p>
        </w:tc>
        <w:tc>
          <w:tcPr>
            <w:tcW w:w="425" w:type="dxa"/>
            <w:tcBorders>
              <w:left w:val="single" w:sz="2" w:space="0" w:color="auto"/>
              <w:bottom w:val="single" w:sz="4" w:space="0" w:color="auto"/>
              <w:right w:val="single" w:sz="12" w:space="0" w:color="auto"/>
            </w:tcBorders>
          </w:tcPr>
          <w:p w14:paraId="611039D7"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bottom w:val="single" w:sz="4" w:space="0" w:color="auto"/>
            </w:tcBorders>
          </w:tcPr>
          <w:p w14:paraId="4687DDD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109 (19)</w:t>
            </w:r>
          </w:p>
        </w:tc>
        <w:tc>
          <w:tcPr>
            <w:tcW w:w="567" w:type="dxa"/>
            <w:tcBorders>
              <w:bottom w:val="single" w:sz="4" w:space="0" w:color="auto"/>
            </w:tcBorders>
          </w:tcPr>
          <w:p w14:paraId="65579C0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94 (29)</w:t>
            </w:r>
          </w:p>
        </w:tc>
        <w:tc>
          <w:tcPr>
            <w:tcW w:w="426" w:type="dxa"/>
            <w:tcBorders>
              <w:bottom w:val="single" w:sz="4" w:space="0" w:color="auto"/>
              <w:right w:val="single" w:sz="2" w:space="0" w:color="auto"/>
            </w:tcBorders>
          </w:tcPr>
          <w:p w14:paraId="6D08FD6C"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bottom w:val="single" w:sz="4" w:space="0" w:color="auto"/>
              <w:right w:val="single" w:sz="2" w:space="0" w:color="auto"/>
            </w:tcBorders>
          </w:tcPr>
          <w:p w14:paraId="0CEF0C6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Infection</w:t>
            </w:r>
          </w:p>
        </w:tc>
        <w:tc>
          <w:tcPr>
            <w:tcW w:w="709" w:type="dxa"/>
            <w:tcBorders>
              <w:left w:val="single" w:sz="2" w:space="0" w:color="auto"/>
              <w:bottom w:val="single" w:sz="4" w:space="0" w:color="auto"/>
              <w:right w:val="single" w:sz="12" w:space="0" w:color="auto"/>
            </w:tcBorders>
          </w:tcPr>
          <w:p w14:paraId="49BA875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Until 3 months from ictus</w:t>
            </w:r>
          </w:p>
        </w:tc>
      </w:tr>
      <w:tr w:rsidR="001C1082" w:rsidRPr="008442F9" w14:paraId="6FF08AAB" w14:textId="77777777" w:rsidTr="0072087E">
        <w:tc>
          <w:tcPr>
            <w:tcW w:w="851" w:type="dxa"/>
            <w:tcBorders>
              <w:left w:val="single" w:sz="12" w:space="0" w:color="auto"/>
              <w:bottom w:val="single" w:sz="4" w:space="0" w:color="auto"/>
            </w:tcBorders>
          </w:tcPr>
          <w:p w14:paraId="0FCE98E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Maier IL (2018)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MesCl9FV","properties":{"formattedCitation":"[43]","plainCitation":"[43]","noteIndex":0},"citationItems":[{"id":8025,"uris":["http://zotero.org/users/5097183/items/IW3CNPVZ"],"uri":["http://zotero.org/users/5097183/items/IW3CNPVZ"],"itemData":{"id":8025,"type":"article-journal","title":"Influence of beta-blocker therapy on the risk of infections and death in patients at high risk for stroke induced immunodepression","container-title":"PloS One","page":"e0196174","volume":"13","issue":"4","source":"PubMed","abstract":"BACKGROUND: Stroke-induced immunodepression is a well characterized complication of acute ischemic stroke. In experimental studies beta-blocker therapy reversed stroke-induced immunodepression, reduced infection rates and mortality. Recent, heterogeneous studies in stroke patients could not provide evidence of a protective effect of beta-blocker therapy. Aim of this study is to investigate the potential preventive effect of beta-blockers in subgroups of patients at high risk for stroke-induced immunodepression.\nMETHODS: Data from a prospectively derived registry of major stroke patients receiving endovascular therapy between 2011-2017 in a tertiary stroke center (University Medical Center Göttingen. Germany) was used. The effect of beta-blocker therapy on pneumonia, urinary tract infection, sepsis and mortality was assessed using multivariate logistic regression analysis.\nRESULTS: Three hundred six patients with a mean age of 72 ± 13 years and a median NIHSS of 16 (IQR 10.75-20) were included. 158 patients (51.6%) had pre-stroke- and continued beta-blocker therapy. Beta-blocker therapy did not reduce the incidence of pneumonia (OR 0.78, 95% CI 0.31-1.92, p = 0.584), urinary tract infections (OR 1.51, 0.88-2.60, p = 0.135), sepsis (OR 0.57, 0.18-1.80, p = 0.334) or mortality (OR 0.59, 0.16-2.17, p = 0.429). Strokes involving the insula and anterio-medial cortex increased the risk for pneumonia (OR 4.55, 2.41-8.56, p&lt;0.001) and sepsis (OR 4.13, 1.81-9.43, p = 0.001), while right hemispheric strokes increased the risk for pneumonia (OR 1.60, 0.92-2.77, p = 0.096). There was a non-significantly increased risk for urinary tract infections in patients with beta-blocker therapy and insula/anterio-medial cortex strokes (OR 3.12, 95% CI 0.88-11.05, p = 0.077) with no effect of beta-blocker therapy on pneumonia, sepsis or mortality in both subgroups.\nCONCLUSIONS: In major ischemic stroke patients, beta-blocker therapy did not lower post-stroke infection rates and was associated with urinary tract infections in a subgroup with insula/anterio-medial strokes.","DOI":"10.1371/journal.pone.0196174","ISSN":"1932-6203","note":"PMID: 29694433\nPMCID: PMC5919008","journalAbbreviation":"PLoS ONE","language":"eng","author":[{"family":"Maier","given":"Ilko L."},{"family":"Becker","given":"Johannes C."},{"family":"Leyhe","given":"Johanna Rosemarie"},{"family":"Schnieder","given":"Marlena"},{"family":"Behme","given":"Daniel"},{"family":"Psychogios","given":"Marios-Nikos"},{"family":"Liman","given":"Jan"}],"issued":{"date-parts":[["2018"]]}}}],"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lang w:val="en-US"/>
              </w:rPr>
              <w:t>[43]</w:t>
            </w:r>
            <w:r w:rsidRPr="008442F9">
              <w:rPr>
                <w:rFonts w:ascii="Arial" w:hAnsi="Arial" w:cs="Arial"/>
                <w:sz w:val="10"/>
                <w:szCs w:val="10"/>
                <w:lang w:val="en-US"/>
              </w:rPr>
              <w:fldChar w:fldCharType="end"/>
            </w:r>
          </w:p>
        </w:tc>
        <w:tc>
          <w:tcPr>
            <w:tcW w:w="567" w:type="dxa"/>
            <w:tcBorders>
              <w:bottom w:val="single" w:sz="4" w:space="0" w:color="auto"/>
            </w:tcBorders>
          </w:tcPr>
          <w:p w14:paraId="03CD802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w:t>
            </w:r>
          </w:p>
        </w:tc>
        <w:tc>
          <w:tcPr>
            <w:tcW w:w="567" w:type="dxa"/>
            <w:tcBorders>
              <w:bottom w:val="single" w:sz="4" w:space="0" w:color="auto"/>
              <w:right w:val="single" w:sz="12" w:space="0" w:color="auto"/>
            </w:tcBorders>
          </w:tcPr>
          <w:p w14:paraId="7DB96F7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Ischemic stroke</w:t>
            </w:r>
          </w:p>
        </w:tc>
        <w:tc>
          <w:tcPr>
            <w:tcW w:w="567" w:type="dxa"/>
            <w:tcBorders>
              <w:left w:val="single" w:sz="12" w:space="0" w:color="auto"/>
              <w:bottom w:val="single" w:sz="4" w:space="0" w:color="auto"/>
            </w:tcBorders>
          </w:tcPr>
          <w:p w14:paraId="4DF71821"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158 (38)</w:t>
            </w:r>
          </w:p>
        </w:tc>
        <w:tc>
          <w:tcPr>
            <w:tcW w:w="567" w:type="dxa"/>
            <w:tcBorders>
              <w:bottom w:val="single" w:sz="4" w:space="0" w:color="auto"/>
            </w:tcBorders>
          </w:tcPr>
          <w:p w14:paraId="1B657E6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148 (26)</w:t>
            </w:r>
          </w:p>
        </w:tc>
        <w:tc>
          <w:tcPr>
            <w:tcW w:w="567" w:type="dxa"/>
            <w:tcBorders>
              <w:bottom w:val="single" w:sz="4" w:space="0" w:color="auto"/>
              <w:right w:val="single" w:sz="4" w:space="0" w:color="auto"/>
            </w:tcBorders>
          </w:tcPr>
          <w:p w14:paraId="1FB03700"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0.59 (0.16-2.</w:t>
            </w:r>
            <w:proofErr w:type="gramStart"/>
            <w:r w:rsidRPr="008442F9">
              <w:rPr>
                <w:rFonts w:ascii="Arial" w:hAnsi="Arial" w:cs="Arial"/>
                <w:sz w:val="10"/>
                <w:szCs w:val="10"/>
                <w:lang w:val="en-US"/>
              </w:rPr>
              <w:t>17)</w:t>
            </w:r>
            <w:r w:rsidRPr="008442F9">
              <w:rPr>
                <w:rFonts w:ascii="Arial" w:hAnsi="Arial" w:cs="Arial"/>
                <w:sz w:val="10"/>
                <w:szCs w:val="10"/>
                <w:vertAlign w:val="superscript"/>
                <w:lang w:val="en-US"/>
              </w:rPr>
              <w:t>a</w:t>
            </w:r>
            <w:proofErr w:type="gramEnd"/>
          </w:p>
        </w:tc>
        <w:tc>
          <w:tcPr>
            <w:tcW w:w="567" w:type="dxa"/>
            <w:tcBorders>
              <w:left w:val="single" w:sz="4" w:space="0" w:color="auto"/>
              <w:bottom w:val="single" w:sz="4" w:space="0" w:color="auto"/>
              <w:right w:val="single" w:sz="12" w:space="0" w:color="auto"/>
            </w:tcBorders>
          </w:tcPr>
          <w:p w14:paraId="463ACA33"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In-hospital</w:t>
            </w:r>
          </w:p>
        </w:tc>
        <w:tc>
          <w:tcPr>
            <w:tcW w:w="567" w:type="dxa"/>
            <w:tcBorders>
              <w:left w:val="single" w:sz="12" w:space="0" w:color="auto"/>
              <w:bottom w:val="single" w:sz="4" w:space="0" w:color="auto"/>
            </w:tcBorders>
          </w:tcPr>
          <w:p w14:paraId="586BE024" w14:textId="77777777" w:rsidR="001C1082" w:rsidRPr="008442F9" w:rsidRDefault="001C1082" w:rsidP="001C1082">
            <w:pPr>
              <w:spacing w:line="276" w:lineRule="auto"/>
              <w:rPr>
                <w:rFonts w:ascii="Arial" w:hAnsi="Arial" w:cs="Arial"/>
                <w:sz w:val="10"/>
                <w:szCs w:val="10"/>
                <w:lang w:val="en-US"/>
              </w:rPr>
            </w:pPr>
          </w:p>
        </w:tc>
        <w:tc>
          <w:tcPr>
            <w:tcW w:w="567" w:type="dxa"/>
            <w:tcBorders>
              <w:bottom w:val="single" w:sz="4" w:space="0" w:color="auto"/>
            </w:tcBorders>
          </w:tcPr>
          <w:p w14:paraId="3D82A835" w14:textId="77777777" w:rsidR="001C1082" w:rsidRPr="008442F9" w:rsidRDefault="001C1082" w:rsidP="001C1082">
            <w:pPr>
              <w:spacing w:line="276" w:lineRule="auto"/>
              <w:rPr>
                <w:rFonts w:ascii="Arial" w:hAnsi="Arial" w:cs="Arial"/>
                <w:sz w:val="10"/>
                <w:szCs w:val="10"/>
                <w:lang w:val="en-US"/>
              </w:rPr>
            </w:pPr>
          </w:p>
        </w:tc>
        <w:tc>
          <w:tcPr>
            <w:tcW w:w="567" w:type="dxa"/>
            <w:tcBorders>
              <w:bottom w:val="single" w:sz="4" w:space="0" w:color="auto"/>
              <w:right w:val="single" w:sz="2" w:space="0" w:color="auto"/>
            </w:tcBorders>
          </w:tcPr>
          <w:p w14:paraId="587BDF01"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bottom w:val="single" w:sz="4" w:space="0" w:color="auto"/>
              <w:right w:val="single" w:sz="2" w:space="0" w:color="auto"/>
            </w:tcBorders>
          </w:tcPr>
          <w:p w14:paraId="23271CD4"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bottom w:val="single" w:sz="4" w:space="0" w:color="auto"/>
              <w:right w:val="single" w:sz="12" w:space="0" w:color="auto"/>
            </w:tcBorders>
          </w:tcPr>
          <w:p w14:paraId="2E89C756"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bottom w:val="single" w:sz="4" w:space="0" w:color="auto"/>
            </w:tcBorders>
          </w:tcPr>
          <w:p w14:paraId="76B0EB4E"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158 (44)</w:t>
            </w:r>
          </w:p>
        </w:tc>
        <w:tc>
          <w:tcPr>
            <w:tcW w:w="567" w:type="dxa"/>
            <w:tcBorders>
              <w:bottom w:val="single" w:sz="4" w:space="0" w:color="auto"/>
            </w:tcBorders>
          </w:tcPr>
          <w:p w14:paraId="7C4010F5"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148 (40)</w:t>
            </w:r>
          </w:p>
        </w:tc>
        <w:tc>
          <w:tcPr>
            <w:tcW w:w="426" w:type="dxa"/>
            <w:tcBorders>
              <w:bottom w:val="single" w:sz="4" w:space="0" w:color="auto"/>
              <w:right w:val="single" w:sz="2" w:space="0" w:color="auto"/>
            </w:tcBorders>
          </w:tcPr>
          <w:p w14:paraId="40D7907F" w14:textId="77777777" w:rsidR="001C1082" w:rsidRPr="008442F9" w:rsidRDefault="001C1082" w:rsidP="001C1082">
            <w:pPr>
              <w:spacing w:line="276" w:lineRule="auto"/>
              <w:rPr>
                <w:rFonts w:ascii="Arial" w:hAnsi="Arial" w:cs="Arial"/>
                <w:sz w:val="10"/>
                <w:szCs w:val="10"/>
                <w:vertAlign w:val="superscript"/>
                <w:lang w:val="en-US"/>
              </w:rPr>
            </w:pPr>
            <w:r w:rsidRPr="008442F9">
              <w:rPr>
                <w:rFonts w:ascii="Arial" w:hAnsi="Arial" w:cs="Arial"/>
                <w:sz w:val="10"/>
                <w:szCs w:val="10"/>
                <w:lang w:val="en-US"/>
              </w:rPr>
              <w:t>0.78 (0.31-1.</w:t>
            </w:r>
            <w:proofErr w:type="gramStart"/>
            <w:r w:rsidRPr="008442F9">
              <w:rPr>
                <w:rFonts w:ascii="Arial" w:hAnsi="Arial" w:cs="Arial"/>
                <w:sz w:val="10"/>
                <w:szCs w:val="10"/>
                <w:lang w:val="en-US"/>
              </w:rPr>
              <w:t>92)</w:t>
            </w:r>
            <w:r w:rsidRPr="008442F9">
              <w:rPr>
                <w:rFonts w:ascii="Arial" w:hAnsi="Arial" w:cs="Arial"/>
                <w:sz w:val="10"/>
                <w:szCs w:val="10"/>
                <w:vertAlign w:val="superscript"/>
                <w:lang w:val="en-US"/>
              </w:rPr>
              <w:t>e</w:t>
            </w:r>
            <w:proofErr w:type="gramEnd"/>
          </w:p>
        </w:tc>
        <w:tc>
          <w:tcPr>
            <w:tcW w:w="425" w:type="dxa"/>
            <w:tcBorders>
              <w:left w:val="single" w:sz="2" w:space="0" w:color="auto"/>
              <w:bottom w:val="single" w:sz="4" w:space="0" w:color="auto"/>
              <w:right w:val="single" w:sz="2" w:space="0" w:color="auto"/>
            </w:tcBorders>
          </w:tcPr>
          <w:p w14:paraId="28CF3DF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Pneumonia</w:t>
            </w:r>
          </w:p>
        </w:tc>
        <w:tc>
          <w:tcPr>
            <w:tcW w:w="709" w:type="dxa"/>
            <w:tcBorders>
              <w:left w:val="single" w:sz="2" w:space="0" w:color="auto"/>
              <w:bottom w:val="single" w:sz="4" w:space="0" w:color="auto"/>
              <w:right w:val="single" w:sz="12" w:space="0" w:color="auto"/>
            </w:tcBorders>
          </w:tcPr>
          <w:p w14:paraId="318900CD"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 xml:space="preserve">In-hospital </w:t>
            </w:r>
          </w:p>
        </w:tc>
      </w:tr>
      <w:tr w:rsidR="001C1082" w:rsidRPr="008442F9" w14:paraId="1D46E300" w14:textId="77777777" w:rsidTr="0072087E">
        <w:tc>
          <w:tcPr>
            <w:tcW w:w="851" w:type="dxa"/>
            <w:tcBorders>
              <w:left w:val="single" w:sz="12" w:space="0" w:color="auto"/>
              <w:bottom w:val="single" w:sz="12" w:space="0" w:color="auto"/>
            </w:tcBorders>
          </w:tcPr>
          <w:p w14:paraId="7A04A5EC"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Sykora</w:t>
            </w:r>
            <w:proofErr w:type="spellEnd"/>
            <w:r w:rsidRPr="008442F9">
              <w:rPr>
                <w:rFonts w:ascii="Arial" w:hAnsi="Arial" w:cs="Arial"/>
                <w:sz w:val="10"/>
                <w:szCs w:val="10"/>
                <w:lang w:val="en-US"/>
              </w:rPr>
              <w:t xml:space="preserve"> M (2018)  </w:t>
            </w:r>
            <w:r w:rsidRPr="008442F9">
              <w:rPr>
                <w:rFonts w:ascii="Arial" w:hAnsi="Arial" w:cs="Arial"/>
                <w:sz w:val="10"/>
                <w:szCs w:val="10"/>
                <w:lang w:val="en-US"/>
              </w:rPr>
              <w:fldChar w:fldCharType="begin"/>
            </w:r>
            <w:r w:rsidRPr="008442F9">
              <w:rPr>
                <w:rFonts w:ascii="Arial" w:hAnsi="Arial" w:cs="Arial"/>
                <w:sz w:val="10"/>
                <w:szCs w:val="10"/>
                <w:lang w:val="en-US"/>
              </w:rPr>
              <w:instrText xml:space="preserve"> ADDIN ZOTERO_ITEM CSL_CITATION {"citationID":"ihBE0SQX","properties":{"formattedCitation":"[44]","plainCitation":"[44]","noteIndex":0},"citationItems":[{"id":7568,"uris":["http://zotero.org/users/5097183/items/GGLBMU3I"],"uri":["http://zotero.org/users/5097183/items/GGLBMU3I"],"itemData":{"id":7568,"type":"article-journal","title":"Beta-blocker therapy is not associated with mortality after intracerebral hemorrhage","container-title":"Acta Neurologica Scandinavica","page":"105-108","volume":"137","issue":"1","source":"PubMed","abstract":"BACKGROUND: Beta-blocker therapy has been suggested to have neuroprotective properties in the setting of acute stroke; however, the evidence is weak and contradictory. We aimed to examine the effects of pre-admission therapy with beta-blockers (BB) on the mortality following spontaneous intracerebral hemorrhage (ICH).\nMETHODS: Retrospective analysis of the Helsinki ICH Study database.\nRESULTS: A total of 1013 patients with ICH were included in the analysis. Patients taking BB were significantly older, had a higher premorbid mRS score, had more DNR orders, and more comorbidities as atrial fibrillation, hypertension, diabetes mellitus, ischemic heart disease, and heart failure. After adjustment for age, pre-existing comorbidities, and prior use of antithrombotic and antihypertensive medications, no differences in in-hospital mortality (OR 1.1, 95% CI 0.8-1.7), 12-month mortality (OR 1.3, 95% CI 0.9-1.9), and 3-month mortality (OR 1.2, 95% CI 0.8-1.7) emerged.\nCONCLUSION: Pre-admission use of BB was not associated with mortality after ICH.","DOI":"10.1111/ane.12817","ISSN":"1600-0404","note":"PMID: 28869294","journalAbbreviation":"Acta Neurol. Scand.","language":"eng","author":[{"family":"Sykora","given":"M."},{"family":"Putaala","given":"J."},{"family":"Meretoja","given":"A."},{"family":"Tatlisumak","given":"T."},{"family":"Strbian","given":"D."}],"issued":{"date-parts":[["2018",1]]}}}],"schema":"https://github.com/citation-style-language/schema/raw/master/csl-citation.json"} </w:instrText>
            </w:r>
            <w:r w:rsidRPr="008442F9">
              <w:rPr>
                <w:rFonts w:ascii="Arial" w:hAnsi="Arial" w:cs="Arial"/>
                <w:sz w:val="10"/>
                <w:szCs w:val="10"/>
                <w:lang w:val="en-US"/>
              </w:rPr>
              <w:fldChar w:fldCharType="separate"/>
            </w:r>
            <w:r w:rsidRPr="008442F9">
              <w:rPr>
                <w:rFonts w:ascii="Arial" w:hAnsi="Arial" w:cs="Arial"/>
                <w:sz w:val="10"/>
                <w:lang w:val="en-US"/>
              </w:rPr>
              <w:t>[44]</w:t>
            </w:r>
            <w:r w:rsidRPr="008442F9">
              <w:rPr>
                <w:rFonts w:ascii="Arial" w:hAnsi="Arial" w:cs="Arial"/>
                <w:sz w:val="10"/>
                <w:szCs w:val="10"/>
                <w:lang w:val="en-US"/>
              </w:rPr>
              <w:fldChar w:fldCharType="end"/>
            </w:r>
          </w:p>
        </w:tc>
        <w:tc>
          <w:tcPr>
            <w:tcW w:w="567" w:type="dxa"/>
            <w:tcBorders>
              <w:bottom w:val="single" w:sz="12" w:space="0" w:color="auto"/>
            </w:tcBorders>
          </w:tcPr>
          <w:p w14:paraId="1F5E4CD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Observational, retrospective</w:t>
            </w:r>
          </w:p>
        </w:tc>
        <w:tc>
          <w:tcPr>
            <w:tcW w:w="567" w:type="dxa"/>
            <w:tcBorders>
              <w:bottom w:val="single" w:sz="12" w:space="0" w:color="auto"/>
              <w:right w:val="single" w:sz="12" w:space="0" w:color="auto"/>
            </w:tcBorders>
          </w:tcPr>
          <w:p w14:paraId="7FB6A28D" w14:textId="77777777" w:rsidR="001C1082" w:rsidRPr="008442F9" w:rsidRDefault="001C1082" w:rsidP="001C1082">
            <w:pPr>
              <w:spacing w:line="276" w:lineRule="auto"/>
              <w:rPr>
                <w:rFonts w:ascii="Arial" w:hAnsi="Arial" w:cs="Arial"/>
                <w:sz w:val="10"/>
                <w:szCs w:val="10"/>
                <w:lang w:val="en-US"/>
              </w:rPr>
            </w:pPr>
            <w:proofErr w:type="spellStart"/>
            <w:r w:rsidRPr="008442F9">
              <w:rPr>
                <w:rFonts w:ascii="Arial" w:hAnsi="Arial" w:cs="Arial"/>
                <w:sz w:val="10"/>
                <w:szCs w:val="10"/>
                <w:lang w:val="en-US"/>
              </w:rPr>
              <w:t>Haemorrhagic</w:t>
            </w:r>
            <w:proofErr w:type="spellEnd"/>
            <w:r w:rsidRPr="008442F9">
              <w:rPr>
                <w:rFonts w:ascii="Arial" w:hAnsi="Arial" w:cs="Arial"/>
                <w:sz w:val="10"/>
                <w:szCs w:val="10"/>
                <w:lang w:val="en-US"/>
              </w:rPr>
              <w:t xml:space="preserve"> stroke</w:t>
            </w:r>
          </w:p>
        </w:tc>
        <w:tc>
          <w:tcPr>
            <w:tcW w:w="567" w:type="dxa"/>
            <w:tcBorders>
              <w:left w:val="single" w:sz="12" w:space="0" w:color="auto"/>
              <w:bottom w:val="single" w:sz="12" w:space="0" w:color="auto"/>
            </w:tcBorders>
          </w:tcPr>
          <w:p w14:paraId="1C87023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279 (111)</w:t>
            </w:r>
          </w:p>
        </w:tc>
        <w:tc>
          <w:tcPr>
            <w:tcW w:w="567" w:type="dxa"/>
            <w:tcBorders>
              <w:bottom w:val="single" w:sz="12" w:space="0" w:color="auto"/>
            </w:tcBorders>
          </w:tcPr>
          <w:p w14:paraId="026DEAA8"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706 (206)</w:t>
            </w:r>
          </w:p>
        </w:tc>
        <w:tc>
          <w:tcPr>
            <w:tcW w:w="567" w:type="dxa"/>
            <w:tcBorders>
              <w:bottom w:val="single" w:sz="12" w:space="0" w:color="auto"/>
              <w:right w:val="single" w:sz="4" w:space="0" w:color="auto"/>
            </w:tcBorders>
          </w:tcPr>
          <w:p w14:paraId="4DCFD23F"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1.2 (0.8-1.</w:t>
            </w:r>
            <w:proofErr w:type="gramStart"/>
            <w:r w:rsidRPr="008442F9">
              <w:rPr>
                <w:rFonts w:ascii="Arial" w:hAnsi="Arial" w:cs="Arial"/>
                <w:sz w:val="10"/>
                <w:szCs w:val="10"/>
                <w:lang w:val="en-US"/>
              </w:rPr>
              <w:t>7)</w:t>
            </w:r>
            <w:r w:rsidRPr="008442F9">
              <w:rPr>
                <w:rFonts w:ascii="Arial" w:hAnsi="Arial" w:cs="Arial"/>
                <w:sz w:val="10"/>
                <w:szCs w:val="10"/>
                <w:vertAlign w:val="superscript"/>
                <w:lang w:val="en-US"/>
              </w:rPr>
              <w:t>a</w:t>
            </w:r>
            <w:proofErr w:type="gramEnd"/>
          </w:p>
        </w:tc>
        <w:tc>
          <w:tcPr>
            <w:tcW w:w="567" w:type="dxa"/>
            <w:tcBorders>
              <w:left w:val="single" w:sz="4" w:space="0" w:color="auto"/>
              <w:bottom w:val="single" w:sz="12" w:space="0" w:color="auto"/>
              <w:right w:val="single" w:sz="12" w:space="0" w:color="auto"/>
            </w:tcBorders>
          </w:tcPr>
          <w:p w14:paraId="38C1A2F7" w14:textId="77777777" w:rsidR="001C1082" w:rsidRPr="008442F9" w:rsidRDefault="001C1082" w:rsidP="001C1082">
            <w:pPr>
              <w:spacing w:line="276" w:lineRule="auto"/>
              <w:rPr>
                <w:rFonts w:ascii="Arial" w:hAnsi="Arial" w:cs="Arial"/>
                <w:sz w:val="10"/>
                <w:szCs w:val="10"/>
                <w:lang w:val="en-US"/>
              </w:rPr>
            </w:pPr>
            <w:r w:rsidRPr="008442F9">
              <w:rPr>
                <w:rFonts w:ascii="Arial" w:hAnsi="Arial" w:cs="Arial"/>
                <w:sz w:val="10"/>
                <w:szCs w:val="10"/>
                <w:lang w:val="en-US"/>
              </w:rPr>
              <w:t>3-months from ictus</w:t>
            </w:r>
          </w:p>
        </w:tc>
        <w:tc>
          <w:tcPr>
            <w:tcW w:w="567" w:type="dxa"/>
            <w:tcBorders>
              <w:left w:val="single" w:sz="12" w:space="0" w:color="auto"/>
              <w:bottom w:val="single" w:sz="12" w:space="0" w:color="auto"/>
            </w:tcBorders>
          </w:tcPr>
          <w:p w14:paraId="7795B3AC" w14:textId="77777777" w:rsidR="001C1082" w:rsidRPr="008442F9" w:rsidRDefault="001C1082" w:rsidP="001C1082">
            <w:pPr>
              <w:spacing w:line="276" w:lineRule="auto"/>
              <w:rPr>
                <w:rFonts w:ascii="Arial" w:hAnsi="Arial" w:cs="Arial"/>
                <w:sz w:val="10"/>
                <w:szCs w:val="10"/>
                <w:lang w:val="en-US"/>
              </w:rPr>
            </w:pPr>
          </w:p>
        </w:tc>
        <w:tc>
          <w:tcPr>
            <w:tcW w:w="567" w:type="dxa"/>
            <w:tcBorders>
              <w:bottom w:val="single" w:sz="12" w:space="0" w:color="auto"/>
            </w:tcBorders>
          </w:tcPr>
          <w:p w14:paraId="451AB470" w14:textId="77777777" w:rsidR="001C1082" w:rsidRPr="008442F9" w:rsidRDefault="001C1082" w:rsidP="001C1082">
            <w:pPr>
              <w:spacing w:line="276" w:lineRule="auto"/>
              <w:rPr>
                <w:rFonts w:ascii="Arial" w:hAnsi="Arial" w:cs="Arial"/>
                <w:sz w:val="10"/>
                <w:szCs w:val="10"/>
                <w:lang w:val="en-US"/>
              </w:rPr>
            </w:pPr>
          </w:p>
        </w:tc>
        <w:tc>
          <w:tcPr>
            <w:tcW w:w="567" w:type="dxa"/>
            <w:tcBorders>
              <w:bottom w:val="single" w:sz="12" w:space="0" w:color="auto"/>
              <w:right w:val="single" w:sz="2" w:space="0" w:color="auto"/>
            </w:tcBorders>
          </w:tcPr>
          <w:p w14:paraId="2C88F658"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bottom w:val="single" w:sz="12" w:space="0" w:color="auto"/>
              <w:right w:val="single" w:sz="2" w:space="0" w:color="auto"/>
            </w:tcBorders>
          </w:tcPr>
          <w:p w14:paraId="1D5F56A7"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bottom w:val="single" w:sz="12" w:space="0" w:color="auto"/>
              <w:right w:val="single" w:sz="12" w:space="0" w:color="auto"/>
            </w:tcBorders>
          </w:tcPr>
          <w:p w14:paraId="6D8BFF7C" w14:textId="77777777" w:rsidR="001C1082" w:rsidRPr="008442F9" w:rsidRDefault="001C1082" w:rsidP="001C1082">
            <w:pPr>
              <w:spacing w:line="276" w:lineRule="auto"/>
              <w:rPr>
                <w:rFonts w:ascii="Arial" w:hAnsi="Arial" w:cs="Arial"/>
                <w:sz w:val="10"/>
                <w:szCs w:val="10"/>
                <w:lang w:val="en-US"/>
              </w:rPr>
            </w:pPr>
          </w:p>
        </w:tc>
        <w:tc>
          <w:tcPr>
            <w:tcW w:w="567" w:type="dxa"/>
            <w:tcBorders>
              <w:left w:val="single" w:sz="12" w:space="0" w:color="auto"/>
              <w:bottom w:val="single" w:sz="12" w:space="0" w:color="auto"/>
            </w:tcBorders>
          </w:tcPr>
          <w:p w14:paraId="2ED52871" w14:textId="77777777" w:rsidR="001C1082" w:rsidRPr="008442F9" w:rsidRDefault="001C1082" w:rsidP="001C1082">
            <w:pPr>
              <w:spacing w:line="276" w:lineRule="auto"/>
              <w:rPr>
                <w:rFonts w:ascii="Arial" w:hAnsi="Arial" w:cs="Arial"/>
                <w:sz w:val="10"/>
                <w:szCs w:val="10"/>
                <w:lang w:val="en-US"/>
              </w:rPr>
            </w:pPr>
          </w:p>
        </w:tc>
        <w:tc>
          <w:tcPr>
            <w:tcW w:w="567" w:type="dxa"/>
            <w:tcBorders>
              <w:bottom w:val="single" w:sz="12" w:space="0" w:color="auto"/>
            </w:tcBorders>
          </w:tcPr>
          <w:p w14:paraId="427D3C36" w14:textId="77777777" w:rsidR="001C1082" w:rsidRPr="008442F9" w:rsidRDefault="001C1082" w:rsidP="001C1082">
            <w:pPr>
              <w:spacing w:line="276" w:lineRule="auto"/>
              <w:rPr>
                <w:rFonts w:ascii="Arial" w:hAnsi="Arial" w:cs="Arial"/>
                <w:sz w:val="10"/>
                <w:szCs w:val="10"/>
                <w:lang w:val="en-US"/>
              </w:rPr>
            </w:pPr>
          </w:p>
        </w:tc>
        <w:tc>
          <w:tcPr>
            <w:tcW w:w="426" w:type="dxa"/>
            <w:tcBorders>
              <w:bottom w:val="single" w:sz="12" w:space="0" w:color="auto"/>
              <w:right w:val="single" w:sz="2" w:space="0" w:color="auto"/>
            </w:tcBorders>
          </w:tcPr>
          <w:p w14:paraId="597BB031" w14:textId="77777777" w:rsidR="001C1082" w:rsidRPr="008442F9" w:rsidRDefault="001C1082" w:rsidP="001C1082">
            <w:pPr>
              <w:spacing w:line="276" w:lineRule="auto"/>
              <w:rPr>
                <w:rFonts w:ascii="Arial" w:hAnsi="Arial" w:cs="Arial"/>
                <w:sz w:val="10"/>
                <w:szCs w:val="10"/>
                <w:lang w:val="en-US"/>
              </w:rPr>
            </w:pPr>
          </w:p>
        </w:tc>
        <w:tc>
          <w:tcPr>
            <w:tcW w:w="425" w:type="dxa"/>
            <w:tcBorders>
              <w:left w:val="single" w:sz="2" w:space="0" w:color="auto"/>
              <w:bottom w:val="single" w:sz="12" w:space="0" w:color="auto"/>
              <w:right w:val="single" w:sz="2" w:space="0" w:color="auto"/>
            </w:tcBorders>
          </w:tcPr>
          <w:p w14:paraId="79233A10" w14:textId="77777777" w:rsidR="001C1082" w:rsidRPr="008442F9" w:rsidRDefault="001C1082" w:rsidP="001C1082">
            <w:pPr>
              <w:spacing w:line="276" w:lineRule="auto"/>
              <w:rPr>
                <w:rFonts w:ascii="Arial" w:hAnsi="Arial" w:cs="Arial"/>
                <w:sz w:val="10"/>
                <w:szCs w:val="10"/>
                <w:lang w:val="en-US"/>
              </w:rPr>
            </w:pPr>
          </w:p>
        </w:tc>
        <w:tc>
          <w:tcPr>
            <w:tcW w:w="709" w:type="dxa"/>
            <w:tcBorders>
              <w:left w:val="single" w:sz="2" w:space="0" w:color="auto"/>
              <w:bottom w:val="single" w:sz="12" w:space="0" w:color="auto"/>
              <w:right w:val="single" w:sz="12" w:space="0" w:color="auto"/>
            </w:tcBorders>
          </w:tcPr>
          <w:p w14:paraId="57777817" w14:textId="77777777" w:rsidR="001C1082" w:rsidRPr="008442F9" w:rsidRDefault="001C1082" w:rsidP="001C1082">
            <w:pPr>
              <w:spacing w:line="276" w:lineRule="auto"/>
              <w:rPr>
                <w:rFonts w:ascii="Arial" w:hAnsi="Arial" w:cs="Arial"/>
                <w:sz w:val="10"/>
                <w:szCs w:val="10"/>
                <w:lang w:val="en-US"/>
              </w:rPr>
            </w:pPr>
          </w:p>
        </w:tc>
      </w:tr>
      <w:tr w:rsidR="001C1082" w:rsidRPr="00A405FA" w14:paraId="7FDE03E1" w14:textId="77777777" w:rsidTr="0072087E">
        <w:tc>
          <w:tcPr>
            <w:tcW w:w="9498" w:type="dxa"/>
            <w:gridSpan w:val="17"/>
            <w:tcBorders>
              <w:top w:val="single" w:sz="12" w:space="0" w:color="auto"/>
              <w:left w:val="nil"/>
              <w:bottom w:val="nil"/>
              <w:right w:val="nil"/>
            </w:tcBorders>
          </w:tcPr>
          <w:p w14:paraId="437F25E8" w14:textId="77777777" w:rsidR="001C1082" w:rsidRPr="008442F9" w:rsidRDefault="001C1082" w:rsidP="001C1082">
            <w:pPr>
              <w:spacing w:line="276" w:lineRule="auto"/>
              <w:rPr>
                <w:rFonts w:ascii="Arial" w:hAnsi="Arial" w:cs="Arial"/>
                <w:sz w:val="16"/>
                <w:szCs w:val="16"/>
                <w:lang w:val="en-US"/>
              </w:rPr>
            </w:pPr>
            <w:r w:rsidRPr="008442F9">
              <w:rPr>
                <w:rFonts w:ascii="Arial" w:hAnsi="Arial" w:cs="Arial"/>
                <w:sz w:val="16"/>
                <w:szCs w:val="16"/>
                <w:lang w:val="en-US"/>
              </w:rPr>
              <w:t xml:space="preserve">N number, OR odds ratio, RR rate ratio, </w:t>
            </w:r>
            <w:r w:rsidRPr="008442F9">
              <w:rPr>
                <w:rFonts w:ascii="Arial" w:hAnsi="Arial" w:cs="Arial"/>
                <w:sz w:val="16"/>
                <w:szCs w:val="16"/>
                <w:vertAlign w:val="superscript"/>
                <w:lang w:val="en-US"/>
              </w:rPr>
              <w:t>a</w:t>
            </w:r>
            <w:r w:rsidRPr="008442F9">
              <w:rPr>
                <w:rFonts w:ascii="Arial" w:hAnsi="Arial" w:cs="Arial"/>
                <w:sz w:val="16"/>
                <w:szCs w:val="16"/>
                <w:lang w:val="en-US"/>
              </w:rPr>
              <w:t xml:space="preserve"> – adjusted for age and stroke severity, </w:t>
            </w:r>
            <w:r w:rsidRPr="008442F9">
              <w:rPr>
                <w:rFonts w:ascii="Arial" w:hAnsi="Arial" w:cs="Arial"/>
                <w:sz w:val="16"/>
                <w:szCs w:val="16"/>
                <w:vertAlign w:val="superscript"/>
                <w:lang w:val="en-US"/>
              </w:rPr>
              <w:t>b</w:t>
            </w:r>
            <w:r w:rsidRPr="008442F9">
              <w:rPr>
                <w:rFonts w:ascii="Arial" w:hAnsi="Arial" w:cs="Arial"/>
                <w:sz w:val="16"/>
                <w:szCs w:val="16"/>
                <w:lang w:val="en-US"/>
              </w:rPr>
              <w:t xml:space="preserve"> – adjusted for age, </w:t>
            </w:r>
            <w:r w:rsidRPr="008442F9">
              <w:rPr>
                <w:rFonts w:ascii="Arial" w:hAnsi="Arial" w:cs="Arial"/>
                <w:sz w:val="16"/>
                <w:szCs w:val="16"/>
                <w:vertAlign w:val="superscript"/>
                <w:lang w:val="en-US"/>
              </w:rPr>
              <w:t>c</w:t>
            </w:r>
            <w:r w:rsidRPr="008442F9">
              <w:rPr>
                <w:rFonts w:ascii="Arial" w:hAnsi="Arial" w:cs="Arial"/>
                <w:sz w:val="16"/>
                <w:szCs w:val="16"/>
                <w:lang w:val="en-US"/>
              </w:rPr>
              <w:t xml:space="preserve"> – adjusted for stroke severity, </w:t>
            </w:r>
            <w:r w:rsidRPr="008442F9">
              <w:rPr>
                <w:rFonts w:ascii="Arial" w:hAnsi="Arial" w:cs="Arial"/>
                <w:sz w:val="16"/>
                <w:szCs w:val="16"/>
                <w:vertAlign w:val="superscript"/>
                <w:lang w:val="en-US"/>
              </w:rPr>
              <w:t>d</w:t>
            </w:r>
            <w:r w:rsidRPr="008442F9">
              <w:rPr>
                <w:rFonts w:ascii="Arial" w:hAnsi="Arial" w:cs="Arial"/>
                <w:sz w:val="16"/>
                <w:szCs w:val="16"/>
                <w:lang w:val="en-US"/>
              </w:rPr>
              <w:t xml:space="preserve"> – unadjusted, </w:t>
            </w:r>
            <w:r w:rsidRPr="008442F9">
              <w:rPr>
                <w:rFonts w:ascii="Arial" w:hAnsi="Arial" w:cs="Arial"/>
                <w:sz w:val="16"/>
                <w:szCs w:val="16"/>
                <w:vertAlign w:val="superscript"/>
                <w:lang w:val="en-US"/>
              </w:rPr>
              <w:t>e</w:t>
            </w:r>
            <w:r w:rsidRPr="008442F9">
              <w:rPr>
                <w:rFonts w:ascii="Arial" w:hAnsi="Arial" w:cs="Arial"/>
                <w:sz w:val="16"/>
                <w:szCs w:val="16"/>
                <w:lang w:val="en-US"/>
              </w:rPr>
              <w:t xml:space="preserve"> – adjusted for confounders, RCT </w:t>
            </w:r>
            <w:proofErr w:type="spellStart"/>
            <w:r w:rsidRPr="008442F9">
              <w:rPr>
                <w:rFonts w:ascii="Arial" w:hAnsi="Arial" w:cs="Arial"/>
                <w:sz w:val="16"/>
                <w:szCs w:val="16"/>
                <w:lang w:val="en-US"/>
              </w:rPr>
              <w:t>randomised</w:t>
            </w:r>
            <w:proofErr w:type="spellEnd"/>
            <w:r w:rsidRPr="008442F9">
              <w:rPr>
                <w:rFonts w:ascii="Arial" w:hAnsi="Arial" w:cs="Arial"/>
                <w:sz w:val="16"/>
                <w:szCs w:val="16"/>
                <w:lang w:val="en-US"/>
              </w:rPr>
              <w:t xml:space="preserve"> clinical trial, </w:t>
            </w:r>
            <w:proofErr w:type="spellStart"/>
            <w:r w:rsidRPr="008442F9">
              <w:rPr>
                <w:rFonts w:ascii="Arial" w:hAnsi="Arial" w:cs="Arial"/>
                <w:sz w:val="16"/>
                <w:szCs w:val="16"/>
                <w:lang w:val="en-US"/>
              </w:rPr>
              <w:t>mRS</w:t>
            </w:r>
            <w:proofErr w:type="spellEnd"/>
            <w:r w:rsidRPr="008442F9">
              <w:rPr>
                <w:rFonts w:ascii="Arial" w:hAnsi="Arial" w:cs="Arial"/>
                <w:sz w:val="16"/>
                <w:szCs w:val="16"/>
                <w:lang w:val="en-US"/>
              </w:rPr>
              <w:t xml:space="preserve"> modified Rankin scale, BI Barthel Index</w:t>
            </w:r>
          </w:p>
        </w:tc>
      </w:tr>
    </w:tbl>
    <w:p w14:paraId="0347BD56" w14:textId="77777777" w:rsidR="001C1082" w:rsidRPr="008442F9" w:rsidRDefault="001C1082" w:rsidP="001C1082">
      <w:pPr>
        <w:spacing w:line="276" w:lineRule="auto"/>
        <w:rPr>
          <w:rFonts w:ascii="Arial" w:hAnsi="Arial" w:cs="Arial"/>
          <w:sz w:val="24"/>
          <w:lang w:val="en-US"/>
        </w:rPr>
      </w:pPr>
    </w:p>
    <w:p w14:paraId="7237439D" w14:textId="77777777" w:rsidR="001C1082" w:rsidRPr="008442F9" w:rsidRDefault="001C1082" w:rsidP="001C1082">
      <w:pPr>
        <w:spacing w:line="276" w:lineRule="auto"/>
        <w:rPr>
          <w:rFonts w:ascii="Arial" w:hAnsi="Arial" w:cs="Arial"/>
          <w:sz w:val="24"/>
          <w:lang w:val="en-US"/>
        </w:rPr>
      </w:pPr>
    </w:p>
    <w:p w14:paraId="4D29C0CB" w14:textId="77777777" w:rsidR="001C1082" w:rsidRPr="008442F9" w:rsidRDefault="001C1082" w:rsidP="001C1082">
      <w:pPr>
        <w:spacing w:line="276" w:lineRule="auto"/>
        <w:rPr>
          <w:rFonts w:ascii="Arial" w:hAnsi="Arial" w:cs="Arial"/>
          <w:sz w:val="24"/>
          <w:lang w:val="en-US"/>
        </w:rPr>
      </w:pPr>
      <w:r w:rsidRPr="008442F9">
        <w:rPr>
          <w:rFonts w:ascii="Arial" w:hAnsi="Arial" w:cs="Arial"/>
          <w:sz w:val="24"/>
          <w:lang w:val="en-US"/>
        </w:rPr>
        <w:br w:type="page"/>
      </w:r>
    </w:p>
    <w:tbl>
      <w:tblPr>
        <w:tblStyle w:val="TableGrid"/>
        <w:tblW w:w="0" w:type="auto"/>
        <w:tblLook w:val="04A0" w:firstRow="1" w:lastRow="0" w:firstColumn="1" w:lastColumn="0" w:noHBand="0" w:noVBand="1"/>
      </w:tblPr>
      <w:tblGrid>
        <w:gridCol w:w="1399"/>
        <w:gridCol w:w="1085"/>
        <w:gridCol w:w="1137"/>
        <w:gridCol w:w="1088"/>
        <w:gridCol w:w="1304"/>
        <w:gridCol w:w="1085"/>
        <w:gridCol w:w="890"/>
        <w:gridCol w:w="1084"/>
      </w:tblGrid>
      <w:tr w:rsidR="00B97BC7" w:rsidRPr="008442F9" w14:paraId="0EA6DCE9" w14:textId="77777777" w:rsidTr="00595667">
        <w:tc>
          <w:tcPr>
            <w:tcW w:w="9072" w:type="dxa"/>
            <w:gridSpan w:val="8"/>
            <w:tcBorders>
              <w:top w:val="nil"/>
              <w:left w:val="nil"/>
              <w:bottom w:val="single" w:sz="12" w:space="0" w:color="auto"/>
              <w:right w:val="nil"/>
            </w:tcBorders>
          </w:tcPr>
          <w:p w14:paraId="55D605BC" w14:textId="77777777" w:rsidR="00B97BC7" w:rsidRPr="008442F9" w:rsidRDefault="00B97BC7" w:rsidP="008442F9">
            <w:pPr>
              <w:spacing w:line="276" w:lineRule="auto"/>
              <w:rPr>
                <w:rFonts w:ascii="Arial" w:hAnsi="Arial" w:cs="Arial"/>
                <w:lang w:val="en-US"/>
              </w:rPr>
            </w:pPr>
            <w:r w:rsidRPr="003418D6">
              <w:rPr>
                <w:rFonts w:ascii="Arial" w:hAnsi="Arial" w:cs="Arial"/>
                <w:bCs/>
                <w:lang w:val="en-US"/>
              </w:rPr>
              <w:t>TABLE S6</w:t>
            </w:r>
            <w:r w:rsidRPr="008442F9">
              <w:rPr>
                <w:rFonts w:ascii="Arial" w:hAnsi="Arial" w:cs="Arial"/>
                <w:b/>
                <w:lang w:val="en-US"/>
              </w:rPr>
              <w:t>.</w:t>
            </w:r>
            <w:r w:rsidRPr="008442F9">
              <w:rPr>
                <w:rFonts w:ascii="Arial" w:hAnsi="Arial" w:cs="Arial"/>
                <w:sz w:val="24"/>
                <w:lang w:val="en-US"/>
              </w:rPr>
              <w:t xml:space="preserve"> </w:t>
            </w:r>
            <w:r w:rsidRPr="008442F9">
              <w:rPr>
                <w:rFonts w:ascii="Arial" w:hAnsi="Arial" w:cs="Arial"/>
                <w:lang w:val="en-US"/>
              </w:rPr>
              <w:t>Quality assessment</w:t>
            </w:r>
          </w:p>
        </w:tc>
      </w:tr>
      <w:tr w:rsidR="00E3202A" w:rsidRPr="008442F9" w14:paraId="157BF994" w14:textId="77777777" w:rsidTr="007473C4">
        <w:tc>
          <w:tcPr>
            <w:tcW w:w="1406" w:type="dxa"/>
            <w:tcBorders>
              <w:top w:val="single" w:sz="12" w:space="0" w:color="auto"/>
              <w:left w:val="single" w:sz="12" w:space="0" w:color="auto"/>
              <w:bottom w:val="single" w:sz="12" w:space="0" w:color="auto"/>
              <w:right w:val="single" w:sz="12" w:space="0" w:color="auto"/>
            </w:tcBorders>
          </w:tcPr>
          <w:p w14:paraId="3275816E" w14:textId="77777777" w:rsidR="00FF26E4" w:rsidRPr="003418D6" w:rsidRDefault="00FF26E4" w:rsidP="001C1082">
            <w:pPr>
              <w:spacing w:line="276" w:lineRule="auto"/>
              <w:rPr>
                <w:rFonts w:ascii="Arial" w:hAnsi="Arial" w:cs="Arial"/>
                <w:sz w:val="16"/>
                <w:szCs w:val="16"/>
                <w:lang w:val="en-US"/>
              </w:rPr>
            </w:pPr>
            <w:r w:rsidRPr="003418D6">
              <w:rPr>
                <w:rFonts w:ascii="Arial" w:hAnsi="Arial" w:cs="Arial"/>
                <w:sz w:val="16"/>
                <w:szCs w:val="16"/>
                <w:lang w:val="en-US"/>
              </w:rPr>
              <w:t>SBU´s checklist for observational studies</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Dr9pJkMg","properties":{"formattedCitation":"[26]","plainCitation":"[26]","noteIndex":0},"citationItems":[{"id":9071,"uris":["http://zotero.org/users/5097183/items/JXVFDNN5"],"uri":["http://zotero.org/users/5097183/items/JXVFDNN5"],"itemData":{"id":9071,"type":"article","title":"Assessment of methods in health care A handbook","publisher":"Stockholm: Swedish Agency For Health Technology Assessment And Assessment Of Social Services;","URL":"https://www.sbu.se/contentassets/76adf07e270c48efaf67e3b560b7c59c/eng_metodboken.pdf","author":[{"family":"Swedish Agency For Health Technology Assessment And Assessment Of Social Services","given":""}],"issued":{"date-parts":[["2018"]]},"accessed":{"date-parts":[["2018",12,2]]}}}],"schema":"https://github.com/citation-style-language/schema/raw/master/csl-citation.json"}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US"/>
              </w:rPr>
              <w:t>[26]</w:t>
            </w:r>
            <w:r w:rsidRPr="003418D6">
              <w:rPr>
                <w:rFonts w:ascii="Arial" w:hAnsi="Arial" w:cs="Arial"/>
                <w:sz w:val="16"/>
                <w:szCs w:val="16"/>
                <w:lang w:val="en-US"/>
              </w:rPr>
              <w:fldChar w:fldCharType="end"/>
            </w:r>
          </w:p>
        </w:tc>
        <w:tc>
          <w:tcPr>
            <w:tcW w:w="1091" w:type="dxa"/>
            <w:tcBorders>
              <w:top w:val="single" w:sz="12" w:space="0" w:color="auto"/>
              <w:left w:val="single" w:sz="12" w:space="0" w:color="auto"/>
              <w:bottom w:val="single" w:sz="12" w:space="0" w:color="auto"/>
            </w:tcBorders>
          </w:tcPr>
          <w:p w14:paraId="60F327EF" w14:textId="77777777" w:rsidR="00FF26E4" w:rsidRPr="003418D6" w:rsidRDefault="00FF26E4" w:rsidP="001C1082">
            <w:pPr>
              <w:spacing w:line="276" w:lineRule="auto"/>
              <w:rPr>
                <w:rFonts w:ascii="Arial" w:hAnsi="Arial" w:cs="Arial"/>
                <w:sz w:val="16"/>
                <w:szCs w:val="16"/>
                <w:lang w:val="en-US"/>
              </w:rPr>
            </w:pPr>
            <w:r w:rsidRPr="003418D6">
              <w:rPr>
                <w:rFonts w:ascii="Arial" w:hAnsi="Arial" w:cs="Arial"/>
                <w:sz w:val="16"/>
                <w:szCs w:val="16"/>
                <w:lang w:val="en-US"/>
              </w:rPr>
              <w:t>Selection bias</w:t>
            </w:r>
          </w:p>
        </w:tc>
        <w:tc>
          <w:tcPr>
            <w:tcW w:w="1144" w:type="dxa"/>
            <w:tcBorders>
              <w:top w:val="single" w:sz="12" w:space="0" w:color="auto"/>
              <w:bottom w:val="single" w:sz="12" w:space="0" w:color="auto"/>
            </w:tcBorders>
          </w:tcPr>
          <w:p w14:paraId="6B4FE6E5" w14:textId="77777777" w:rsidR="00FF26E4" w:rsidRPr="003418D6" w:rsidRDefault="00FF26E4" w:rsidP="001C1082">
            <w:pPr>
              <w:spacing w:line="276" w:lineRule="auto"/>
              <w:rPr>
                <w:rFonts w:ascii="Arial" w:hAnsi="Arial" w:cs="Arial"/>
                <w:sz w:val="16"/>
                <w:szCs w:val="16"/>
                <w:lang w:val="en-US"/>
              </w:rPr>
            </w:pPr>
            <w:r w:rsidRPr="003418D6">
              <w:rPr>
                <w:rFonts w:ascii="Arial" w:hAnsi="Arial" w:cs="Arial"/>
                <w:sz w:val="16"/>
                <w:szCs w:val="16"/>
                <w:lang w:val="en-US"/>
              </w:rPr>
              <w:t>Treatment bias</w:t>
            </w:r>
          </w:p>
        </w:tc>
        <w:tc>
          <w:tcPr>
            <w:tcW w:w="1037" w:type="dxa"/>
            <w:tcBorders>
              <w:top w:val="single" w:sz="12" w:space="0" w:color="auto"/>
              <w:bottom w:val="single" w:sz="12" w:space="0" w:color="auto"/>
            </w:tcBorders>
          </w:tcPr>
          <w:p w14:paraId="7359CEAF" w14:textId="77777777" w:rsidR="00FF26E4" w:rsidRPr="003418D6" w:rsidRDefault="00FF26E4" w:rsidP="001C1082">
            <w:pPr>
              <w:spacing w:line="276" w:lineRule="auto"/>
              <w:rPr>
                <w:rFonts w:ascii="Arial" w:hAnsi="Arial" w:cs="Arial"/>
                <w:sz w:val="16"/>
                <w:szCs w:val="16"/>
                <w:lang w:val="en-US"/>
              </w:rPr>
            </w:pPr>
            <w:r w:rsidRPr="003418D6">
              <w:rPr>
                <w:rFonts w:ascii="Arial" w:hAnsi="Arial" w:cs="Arial"/>
                <w:sz w:val="16"/>
                <w:szCs w:val="16"/>
                <w:lang w:val="en-US"/>
              </w:rPr>
              <w:t>Assessment bias</w:t>
            </w:r>
          </w:p>
        </w:tc>
        <w:tc>
          <w:tcPr>
            <w:tcW w:w="1317" w:type="dxa"/>
            <w:tcBorders>
              <w:top w:val="single" w:sz="12" w:space="0" w:color="auto"/>
              <w:bottom w:val="single" w:sz="12" w:space="0" w:color="auto"/>
            </w:tcBorders>
          </w:tcPr>
          <w:p w14:paraId="575AF434" w14:textId="77777777" w:rsidR="00FF26E4" w:rsidRPr="003418D6" w:rsidRDefault="00FF26E4" w:rsidP="001C1082">
            <w:pPr>
              <w:spacing w:line="276" w:lineRule="auto"/>
              <w:rPr>
                <w:rFonts w:ascii="Arial" w:hAnsi="Arial" w:cs="Arial"/>
                <w:sz w:val="16"/>
                <w:szCs w:val="16"/>
                <w:lang w:val="en-US"/>
              </w:rPr>
            </w:pPr>
            <w:r w:rsidRPr="003418D6">
              <w:rPr>
                <w:rFonts w:ascii="Arial" w:hAnsi="Arial" w:cs="Arial"/>
                <w:sz w:val="16"/>
                <w:szCs w:val="16"/>
                <w:lang w:val="en-US"/>
              </w:rPr>
              <w:t>Fall-out bias</w:t>
            </w:r>
          </w:p>
        </w:tc>
        <w:tc>
          <w:tcPr>
            <w:tcW w:w="1091" w:type="dxa"/>
            <w:tcBorders>
              <w:top w:val="single" w:sz="12" w:space="0" w:color="auto"/>
              <w:bottom w:val="single" w:sz="12" w:space="0" w:color="auto"/>
            </w:tcBorders>
          </w:tcPr>
          <w:p w14:paraId="575746A1" w14:textId="77777777" w:rsidR="00FF26E4" w:rsidRPr="003418D6" w:rsidRDefault="00FF26E4" w:rsidP="001C1082">
            <w:pPr>
              <w:spacing w:line="276" w:lineRule="auto"/>
              <w:rPr>
                <w:rFonts w:ascii="Arial" w:hAnsi="Arial" w:cs="Arial"/>
                <w:sz w:val="16"/>
                <w:szCs w:val="16"/>
                <w:lang w:val="en-US"/>
              </w:rPr>
            </w:pPr>
            <w:r w:rsidRPr="003418D6">
              <w:rPr>
                <w:rFonts w:ascii="Arial" w:hAnsi="Arial" w:cs="Arial"/>
                <w:sz w:val="16"/>
                <w:szCs w:val="16"/>
                <w:lang w:val="en-US"/>
              </w:rPr>
              <w:t>Reporting bias</w:t>
            </w:r>
          </w:p>
        </w:tc>
        <w:tc>
          <w:tcPr>
            <w:tcW w:w="895" w:type="dxa"/>
            <w:tcBorders>
              <w:top w:val="single" w:sz="12" w:space="0" w:color="auto"/>
              <w:bottom w:val="single" w:sz="12" w:space="0" w:color="auto"/>
            </w:tcBorders>
          </w:tcPr>
          <w:p w14:paraId="4A3D833A" w14:textId="77777777" w:rsidR="00FF26E4" w:rsidRPr="003418D6" w:rsidRDefault="00FF26E4" w:rsidP="001C1082">
            <w:pPr>
              <w:spacing w:line="276" w:lineRule="auto"/>
              <w:rPr>
                <w:rFonts w:ascii="Arial" w:hAnsi="Arial" w:cs="Arial"/>
                <w:sz w:val="16"/>
                <w:szCs w:val="16"/>
                <w:lang w:val="en-US"/>
              </w:rPr>
            </w:pPr>
            <w:r w:rsidRPr="003418D6">
              <w:rPr>
                <w:rFonts w:ascii="Arial" w:hAnsi="Arial" w:cs="Arial"/>
                <w:sz w:val="16"/>
                <w:szCs w:val="16"/>
                <w:lang w:val="en-US"/>
              </w:rPr>
              <w:t>Conflict of interest bias</w:t>
            </w:r>
          </w:p>
        </w:tc>
        <w:tc>
          <w:tcPr>
            <w:tcW w:w="1091" w:type="dxa"/>
            <w:tcBorders>
              <w:top w:val="single" w:sz="12" w:space="0" w:color="auto"/>
              <w:bottom w:val="single" w:sz="12" w:space="0" w:color="auto"/>
              <w:right w:val="single" w:sz="12" w:space="0" w:color="auto"/>
            </w:tcBorders>
          </w:tcPr>
          <w:p w14:paraId="34E021C3" w14:textId="77777777" w:rsidR="00FF26E4" w:rsidRPr="003418D6" w:rsidRDefault="00B97BC7" w:rsidP="001C1082">
            <w:pPr>
              <w:spacing w:line="276" w:lineRule="auto"/>
              <w:rPr>
                <w:rFonts w:ascii="Arial" w:hAnsi="Arial" w:cs="Arial"/>
                <w:sz w:val="16"/>
                <w:szCs w:val="16"/>
                <w:lang w:val="en-US"/>
              </w:rPr>
            </w:pPr>
            <w:r w:rsidRPr="003418D6">
              <w:rPr>
                <w:rFonts w:ascii="Arial" w:hAnsi="Arial" w:cs="Arial"/>
                <w:sz w:val="16"/>
                <w:szCs w:val="16"/>
                <w:lang w:val="en-US"/>
              </w:rPr>
              <w:t>Risk of bias</w:t>
            </w:r>
          </w:p>
        </w:tc>
      </w:tr>
      <w:tr w:rsidR="00E3202A" w:rsidRPr="008442F9" w14:paraId="2FB2AC64" w14:textId="77777777" w:rsidTr="007473C4">
        <w:tc>
          <w:tcPr>
            <w:tcW w:w="1406" w:type="dxa"/>
            <w:tcBorders>
              <w:top w:val="single" w:sz="12" w:space="0" w:color="auto"/>
              <w:left w:val="single" w:sz="12" w:space="0" w:color="auto"/>
              <w:right w:val="single" w:sz="12" w:space="0" w:color="auto"/>
            </w:tcBorders>
          </w:tcPr>
          <w:p w14:paraId="50225E09" w14:textId="77777777" w:rsidR="00FF26E4" w:rsidRPr="003418D6" w:rsidRDefault="00B97BC7"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Dziedzik</w:t>
            </w:r>
            <w:proofErr w:type="spellEnd"/>
            <w:r w:rsidRPr="003418D6">
              <w:rPr>
                <w:rFonts w:ascii="Arial" w:hAnsi="Arial" w:cs="Arial"/>
                <w:sz w:val="16"/>
                <w:szCs w:val="16"/>
                <w:lang w:val="en-US"/>
              </w:rPr>
              <w:t xml:space="preserve"> T (2007)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dP59meNp","properties":{"formattedCitation":"[30]","plainCitation":"[30]","noteIndex":0},"citationItems":[{"id":7503,"uris":["http://zotero.org/users/5097183/items/SD77HM9M"],"uri":["http://zotero.org/users/5097183/items/SD77HM9M"],"itemData":{"id":7503,"type":"article-journal","title":"Beta-blockers reduce the risk of early death in ischemic stroke","container-title":"Journal of the Neurological Sciences","page":"53-56","volume":"252","issue":"1","source":"PubMed","abstract":"OBJECTIVES: Beta-blockers reduce mortality in patients after myocardial infarction. Experimental studies suggest that beta-blockers have also neuroprotective properties. The aim of this study was to assess if use of beta-blockers is associated with reduced risk of early death in ischemic stroke patients.\nMATERIALS AND METHODS: Retrospective data analysis of 841 consecutive patients with acute ischemic stroke admitted to the stroke unit within 24 h after stroke onset.\nRESULTS: 10.6% of patients received beta-blockers during hospitalization. Thirty-day case fatality was significantly lower in patients treated with beta-blockers than in those not treated with beta-blockers (6.8% versus 19.0%, P &lt; 0.01). After adjustment for other prognostic factors, the use of beta-blockers was associated with reduced risk of early death (relative hazard 0.37, 95% confidence interval 0.16-0.84) independently of age, stroke severity, fasting glucose, total cholesterol level and pneumonia. When patients who died of cardiovascular causes were excluded from the analysis, the use of beta-blocker was no longer significantly associated with risk of death (P = 0.12).\nCONCLUSION: In a retrospective series the use of beta-blockers was associated with reduced risk of early death in patients with ischemic stroke.","DOI":"10.1016/j.jns.2006.10.007","ISSN":"0022-510X","note":"PMID: 17134722","journalAbbreviation":"J. Neurol. Sci.","language":"eng","author":[{"family":"Dziedzic","given":"Tomasz"},{"family":"Slowik","given":"Agnieszka"},{"family":"Pera","given":"Joanna"},{"family":"Szczudlik","given":"Andrzej"}],"issued":{"date-parts":[["2007",1,15]]}}}],"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[30]</w:t>
            </w:r>
            <w:r w:rsidRPr="003418D6">
              <w:rPr>
                <w:rFonts w:ascii="Arial" w:hAnsi="Arial" w:cs="Arial"/>
                <w:sz w:val="16"/>
                <w:szCs w:val="16"/>
                <w:lang w:val="en-US"/>
              </w:rPr>
              <w:fldChar w:fldCharType="end"/>
            </w:r>
          </w:p>
        </w:tc>
        <w:tc>
          <w:tcPr>
            <w:tcW w:w="1091" w:type="dxa"/>
            <w:tcBorders>
              <w:top w:val="single" w:sz="12" w:space="0" w:color="auto"/>
              <w:left w:val="single" w:sz="12" w:space="0" w:color="auto"/>
            </w:tcBorders>
          </w:tcPr>
          <w:p w14:paraId="517E4CBF" w14:textId="77777777" w:rsidR="00FF26E4" w:rsidRPr="003418D6" w:rsidRDefault="000E1D14"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Borders>
              <w:top w:val="single" w:sz="12" w:space="0" w:color="auto"/>
            </w:tcBorders>
          </w:tcPr>
          <w:p w14:paraId="75530E2E" w14:textId="77777777" w:rsidR="00FF26E4" w:rsidRPr="003418D6" w:rsidRDefault="000E1D14"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Borders>
              <w:top w:val="single" w:sz="12" w:space="0" w:color="auto"/>
            </w:tcBorders>
          </w:tcPr>
          <w:p w14:paraId="0E53EFE7" w14:textId="77777777" w:rsidR="00FF26E4" w:rsidRPr="003418D6" w:rsidRDefault="000E1D14"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Borders>
              <w:top w:val="single" w:sz="12" w:space="0" w:color="auto"/>
            </w:tcBorders>
          </w:tcPr>
          <w:p w14:paraId="452727B1"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Borders>
              <w:top w:val="single" w:sz="12" w:space="0" w:color="auto"/>
            </w:tcBorders>
          </w:tcPr>
          <w:p w14:paraId="0A2A82AD" w14:textId="77777777" w:rsidR="00FF26E4" w:rsidRPr="003418D6" w:rsidRDefault="000E1D14"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895" w:type="dxa"/>
            <w:tcBorders>
              <w:top w:val="single" w:sz="12" w:space="0" w:color="auto"/>
            </w:tcBorders>
          </w:tcPr>
          <w:p w14:paraId="1BE3E45E" w14:textId="77777777" w:rsidR="00FF26E4" w:rsidRPr="003418D6" w:rsidRDefault="000E1D14"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top w:val="single" w:sz="12" w:space="0" w:color="auto"/>
              <w:right w:val="single" w:sz="12" w:space="0" w:color="auto"/>
            </w:tcBorders>
          </w:tcPr>
          <w:p w14:paraId="10BCA27F" w14:textId="77777777" w:rsidR="00FF26E4" w:rsidRPr="003418D6" w:rsidRDefault="000E1D14"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E3202A" w:rsidRPr="008442F9" w14:paraId="29C00AF6" w14:textId="77777777" w:rsidTr="007473C4">
        <w:tc>
          <w:tcPr>
            <w:tcW w:w="1406" w:type="dxa"/>
            <w:tcBorders>
              <w:left w:val="single" w:sz="12" w:space="0" w:color="auto"/>
              <w:right w:val="single" w:sz="12" w:space="0" w:color="auto"/>
            </w:tcBorders>
          </w:tcPr>
          <w:p w14:paraId="748C5264" w14:textId="77777777" w:rsidR="00FF26E4" w:rsidRPr="003418D6" w:rsidRDefault="00B97BC7" w:rsidP="001C1082">
            <w:pPr>
              <w:spacing w:line="276" w:lineRule="auto"/>
              <w:rPr>
                <w:rFonts w:ascii="Arial" w:hAnsi="Arial" w:cs="Arial"/>
                <w:sz w:val="16"/>
                <w:szCs w:val="16"/>
                <w:lang w:val="en-US"/>
              </w:rPr>
            </w:pPr>
            <w:r w:rsidRPr="003418D6">
              <w:rPr>
                <w:rFonts w:ascii="Arial" w:hAnsi="Arial" w:cs="Arial"/>
                <w:sz w:val="16"/>
                <w:szCs w:val="16"/>
              </w:rPr>
              <w:t>Dowlatshahi D (2009)</w:t>
            </w:r>
            <w:r w:rsidRPr="003418D6">
              <w:rPr>
                <w:rFonts w:ascii="Arial" w:hAnsi="Arial" w:cs="Arial"/>
                <w:sz w:val="16"/>
                <w:szCs w:val="16"/>
                <w:lang w:val="en-US"/>
              </w:rPr>
              <w:t xml:space="preserve"> </w:t>
            </w:r>
            <w:r w:rsidRPr="003418D6">
              <w:rPr>
                <w:rFonts w:ascii="Arial" w:hAnsi="Arial" w:cs="Arial"/>
                <w:sz w:val="16"/>
                <w:szCs w:val="16"/>
                <w:lang w:val="en-US"/>
              </w:rPr>
              <w:fldChar w:fldCharType="begin"/>
            </w:r>
            <w:r w:rsidRPr="003418D6">
              <w:rPr>
                <w:rFonts w:ascii="Arial" w:hAnsi="Arial" w:cs="Arial"/>
                <w:sz w:val="16"/>
                <w:szCs w:val="16"/>
              </w:rPr>
              <w:instrText xml:space="preserve"> ADDIN ZOTERO_ITEM CSL_CITATION {"citationID":"w5Z41eju","properties":{"formattedCitation":"[32]","plainCitation":"[32]","noteIndex":0},"citationItems":[{"id":8553,"uris":["http://zotero.org/users/5097183/items/S4LHXJQU"],"uri":["http://zotero.org/users/5097183/items/S4LHXJQU"],"itemData":{"id":8553,"type":"article-journal","title":"Pre admission antithrombotics are associated with improved outcomes following ischaemic stroke: a cohort from the Registry of the Canadian Stroke Network","container-title":"International Journal of Stroke: Official Journal of the International Stroke Society","page":"328-334","volume":"4","issue":"5","source":"PubMed","abstract":"BACKGROUND: Several studies have attempted to identify predictors of outcome following ischaemic stroke. Reduced stroke severity has been reported with pre admission ASA use, and improved outcomes have been reported with pre admission statin treatment. The interaction between pre treatment medications and clinical response to tPA is less clear. The objective of our study was to assess clinical outcomes in patients with acute ischaemic stroke with respect to pre treatment medications.\nMETHODS: The Registry of the Canadian Stroke Network collected pre morbid and prospective outcome data on 5568 patients with ischaemic stroke. We applied multivariate analyses to correlate pre admission medications with stroke severity on presentation, in-hospital mortality, and modified Rankin at discharge. Analyses were adjusted for age, gender, medical history, tPA administration, blood pressure, and glucose on presentation.\nRESULTS: Pre admission treatment with ASA and clopidogrel was associated with less severe stroke upon presentation. A similar trend was seen with dipyridamole and ticlopidine, but did not</w:instrText>
            </w:r>
            <w:r w:rsidRPr="003418D6">
              <w:rPr>
                <w:rFonts w:ascii="Arial" w:hAnsi="Arial" w:cs="Arial"/>
                <w:sz w:val="16"/>
                <w:szCs w:val="16"/>
                <w:lang w:val="en-GB"/>
              </w:rPr>
              <w:instrText xml:space="preserve"> reach statistical significance. Pre treatment with ASA and warfarin was associated with improved Rankin scores at discharge. There was no interaction between tPA treatment and pre admission antiplatelets with respect to in-hospital mortality or disability at discharge, although tPA treatment was independently associated with improved Rankin at discharge. Pre treatment antiplatelet use did not result in increased intracerebral haemorrhage following tPA administration.\nCONCLUSIONS: Patients with acute ischaemic stroke taking antithrombotic medications at hospital admission have improved functional outcomes. No interaction is noted between use of these medications and outcome following thrombolysis. This large prospective cohort study is consistent with previous published reports, and supports the notion that pre admission antithrombotics may mitigate brain injury during acute stroke.","DOI":"10.1111/j.1747-4949.2009.00331.x","ISSN":"1747-4949","note":"PMID: 19765119","title-short":"Pre admission antithrombotics are associated with improved outcomes following ischaemic stroke","journalAbbreviation":"Int J Stroke","language":"eng","author":[{"family":"Dowlatshahi","given":"D."},{"family":"Hakim","given":"A."},{"family":"Fang","given":"J."},{"family":"Sharma","given":"M."},{"literal":"Investigators of the Registry of the Canadian Stroke Network"}],"issued":{"date-parts":[["2009",10]]}}}],"schema":"https://github.com/citation-style-language/schema/raw/master/csl-citation.json"}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[32]</w:t>
            </w:r>
            <w:r w:rsidRPr="003418D6">
              <w:rPr>
                <w:rFonts w:ascii="Arial" w:hAnsi="Arial" w:cs="Arial"/>
                <w:sz w:val="16"/>
                <w:szCs w:val="16"/>
                <w:lang w:val="en-US"/>
              </w:rPr>
              <w:fldChar w:fldCharType="end"/>
            </w:r>
          </w:p>
        </w:tc>
        <w:tc>
          <w:tcPr>
            <w:tcW w:w="1091" w:type="dxa"/>
            <w:tcBorders>
              <w:left w:val="single" w:sz="12" w:space="0" w:color="auto"/>
            </w:tcBorders>
          </w:tcPr>
          <w:p w14:paraId="4641ACE8" w14:textId="77777777" w:rsidR="00FF26E4" w:rsidRPr="003418D6" w:rsidRDefault="000E1D14"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 xml:space="preserve">oderate </w:t>
            </w:r>
            <w:r w:rsidRPr="003418D6">
              <w:rPr>
                <w:rFonts w:ascii="Arial" w:hAnsi="Arial" w:cs="Arial"/>
                <w:sz w:val="16"/>
                <w:szCs w:val="16"/>
                <w:lang w:val="en-US"/>
              </w:rPr>
              <w:t>risk</w:t>
            </w:r>
          </w:p>
        </w:tc>
        <w:tc>
          <w:tcPr>
            <w:tcW w:w="1144" w:type="dxa"/>
          </w:tcPr>
          <w:p w14:paraId="60930D61"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037" w:type="dxa"/>
          </w:tcPr>
          <w:p w14:paraId="04753EEC"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317" w:type="dxa"/>
          </w:tcPr>
          <w:p w14:paraId="20FBA0CE"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Pr>
          <w:p w14:paraId="7054B3BC"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7C801646"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58E379AF"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r>
      <w:tr w:rsidR="00E3202A" w:rsidRPr="008442F9" w14:paraId="1F264857" w14:textId="77777777" w:rsidTr="007473C4">
        <w:tc>
          <w:tcPr>
            <w:tcW w:w="1406" w:type="dxa"/>
            <w:tcBorders>
              <w:left w:val="single" w:sz="12" w:space="0" w:color="auto"/>
              <w:right w:val="single" w:sz="12" w:space="0" w:color="auto"/>
            </w:tcBorders>
          </w:tcPr>
          <w:p w14:paraId="477157C8" w14:textId="77777777" w:rsidR="00FF26E4" w:rsidRPr="003418D6" w:rsidRDefault="00B97BC7" w:rsidP="001C1082">
            <w:pPr>
              <w:spacing w:line="276" w:lineRule="auto"/>
              <w:rPr>
                <w:rFonts w:ascii="Arial" w:hAnsi="Arial" w:cs="Arial"/>
                <w:sz w:val="16"/>
                <w:szCs w:val="16"/>
                <w:lang w:val="en-US"/>
              </w:rPr>
            </w:pPr>
            <w:r w:rsidRPr="003418D6">
              <w:rPr>
                <w:rFonts w:ascii="Arial" w:hAnsi="Arial" w:cs="Arial"/>
                <w:sz w:val="16"/>
                <w:szCs w:val="16"/>
                <w:lang w:val="en-GB"/>
              </w:rPr>
              <w:t xml:space="preserve">Fuentes B (2010) </w:t>
            </w:r>
            <w:r w:rsidRPr="003418D6">
              <w:rPr>
                <w:rFonts w:ascii="Arial" w:hAnsi="Arial" w:cs="Arial"/>
                <w:sz w:val="16"/>
                <w:szCs w:val="16"/>
                <w:lang w:val="en-US"/>
              </w:rPr>
              <w:fldChar w:fldCharType="begin"/>
            </w:r>
            <w:r w:rsidRPr="003418D6">
              <w:rPr>
                <w:rFonts w:ascii="Arial" w:hAnsi="Arial" w:cs="Arial"/>
                <w:sz w:val="16"/>
                <w:szCs w:val="16"/>
                <w:lang w:val="en-GB"/>
              </w:rPr>
              <w:instrText xml:space="preserve"> ADDIN ZOTERO_ITEM CSL_CITATION {"citationID":"REVQxiH4","properties":{"formattedCitation":"[45]","plainCitation":"[45]","noteIndex":0},"citationItems":[{"id":7089,"uris":["http://zotero.org/users/5097183/items/RLS2HH3G"],"uri":["http://zotero.org/users/5097183/items/RLS2HH3G"],"itemData":{"id":7089,"type":"article-journal","title":"Treatment with angiotensin receptor blockers before stroke could exert a favourable effect in acute cerebral infarction","container-title":"Journal of Hypertension","page":"575-581","volume":"28","issue":"3","source":"PubMed","abstract":"INTRODUCTION: Evidence from experimental and clinical studies is accumulating about the possible cerebral protective properties of antihypertensive drugs, mainly angiotensin receptor blockers (ARB) or angiotensin-converting enzyme inhibitors (ACEI). Our aim was to analyse the impact of prestroke use of antihypertensive drugs on stroke severity and outcome.\nMETHODS: We analysed 1968 consecutive patients with first-ever acute cerebral infarction admitted to an acute stroke unit. Stroke severity was evaluated using the Canadian Neurological Scale and the modified Rankin Score (mRS) was used to evaluate the outcome at discharge.\nRESULTS: Previous diagnosis of arterial hypertension was reported in 1212 patients and 73% were on antihypertensive treatment. No significant differences in stroke severity were found between patients with or without previous arterial hypertension, either in patients with or without antihypertensive treatment. Patients taking antihypertensive drugs at stroke onset had lower rates of poor outcome than those not on antihypertensive treatment (47 vs. 53%; P = 0.047) and those taking ARB had better outcomes than those without ARB (mRS &lt;or= 2: 75 vs. 65.8%; P = 0.029), with no differences in the analysis of other antihypertensive drugs. The multivariable logistic regression analysis showed that previous treatment with ARB was independently associated with reduced stroke severity (OR: 0.40; 95%CI 0.24-0.65; P &lt; 0.001) and against poor outcome (OR: 0.41; 95%CI 0.23-0.78; P = 0.003).\nCONCLUSION: Our study suggests that prestroke treatment with ARB may be associated with reduced stroke severity and also with better outcome. This finding agrees with experimental data that suggest a cerebral protective effect.","DOI":"10.1097/HJH.0b013e3283350f50","ISSN":"1473-5598","note":"PMID: 20090554","journalAbbreviation":"J. Hypertens.","language":"eng","author":[{"family":"Fuentes","given":"Blanca"},{"family":"Fernández-Domínguez","given":"Jessica"},{"family":"Ortega-Casarrubios","given":"M. Angeles"},{"family":"SanJosé","given":"Belén"},{"family":"Martínez-Sánchez","given":"Patricia"},{"family":"Díez-Tejedor","given":"Exuperio"}],"issued":{"date-parts":[["2010",3]]}}}],"schema":"https://github.com/citation-style-language/schema/raw/master/csl-citation.json"}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[45]</w:t>
            </w:r>
            <w:r w:rsidRPr="003418D6">
              <w:rPr>
                <w:rFonts w:ascii="Arial" w:hAnsi="Arial" w:cs="Arial"/>
                <w:sz w:val="16"/>
                <w:szCs w:val="16"/>
                <w:lang w:val="en-US"/>
              </w:rPr>
              <w:fldChar w:fldCharType="end"/>
            </w:r>
          </w:p>
        </w:tc>
        <w:tc>
          <w:tcPr>
            <w:tcW w:w="1091" w:type="dxa"/>
            <w:tcBorders>
              <w:left w:val="single" w:sz="12" w:space="0" w:color="auto"/>
            </w:tcBorders>
          </w:tcPr>
          <w:p w14:paraId="62417A62"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144" w:type="dxa"/>
          </w:tcPr>
          <w:p w14:paraId="0500DC92"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037" w:type="dxa"/>
          </w:tcPr>
          <w:p w14:paraId="0D1A6DC9"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317" w:type="dxa"/>
          </w:tcPr>
          <w:p w14:paraId="49F279F5"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Pr>
          <w:p w14:paraId="763D7FD8"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305E8B7D"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361A045E"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 xml:space="preserve">oderate </w:t>
            </w:r>
            <w:r w:rsidRPr="003418D6">
              <w:rPr>
                <w:rFonts w:ascii="Arial" w:hAnsi="Arial" w:cs="Arial"/>
                <w:sz w:val="16"/>
                <w:szCs w:val="16"/>
                <w:lang w:val="en-US"/>
              </w:rPr>
              <w:t>risk</w:t>
            </w:r>
          </w:p>
        </w:tc>
      </w:tr>
      <w:tr w:rsidR="00E3202A" w:rsidRPr="008442F9" w14:paraId="2B4A5286" w14:textId="77777777" w:rsidTr="007473C4">
        <w:tc>
          <w:tcPr>
            <w:tcW w:w="1406" w:type="dxa"/>
            <w:tcBorders>
              <w:left w:val="single" w:sz="12" w:space="0" w:color="auto"/>
              <w:right w:val="single" w:sz="12" w:space="0" w:color="auto"/>
            </w:tcBorders>
          </w:tcPr>
          <w:p w14:paraId="1AB2024E" w14:textId="77777777" w:rsidR="00FF26E4" w:rsidRPr="003418D6" w:rsidRDefault="00B97BC7" w:rsidP="001C1082">
            <w:pPr>
              <w:spacing w:line="276" w:lineRule="auto"/>
              <w:rPr>
                <w:rFonts w:ascii="Arial" w:hAnsi="Arial" w:cs="Arial"/>
                <w:sz w:val="16"/>
                <w:szCs w:val="16"/>
                <w:lang w:val="en-US"/>
              </w:rPr>
            </w:pPr>
            <w:r w:rsidRPr="003418D6">
              <w:rPr>
                <w:rFonts w:ascii="Arial" w:hAnsi="Arial" w:cs="Arial"/>
                <w:sz w:val="16"/>
                <w:szCs w:val="16"/>
              </w:rPr>
              <w:t xml:space="preserve">De Raedt S (2012) </w:t>
            </w:r>
            <w:r w:rsidRPr="003418D6">
              <w:rPr>
                <w:rFonts w:ascii="Arial" w:hAnsi="Arial" w:cs="Arial"/>
                <w:sz w:val="16"/>
                <w:szCs w:val="16"/>
                <w:lang w:val="en-US"/>
              </w:rPr>
              <w:fldChar w:fldCharType="begin"/>
            </w:r>
            <w:r w:rsidRPr="003418D6">
              <w:rPr>
                <w:rFonts w:ascii="Arial" w:hAnsi="Arial" w:cs="Arial"/>
                <w:sz w:val="16"/>
                <w:szCs w:val="16"/>
              </w:rPr>
              <w:instrText xml:space="preserve"> ADDIN ZOTERO_ITEM CSL_CITATION {"citationID":"daRHBBOK","properties":{"formattedCitation":"[46]","plainCitation":"[46]","noteIndex":0},"citationItems":[{"id":8511,"uris":["http://zotero.org/users/5097183/items/CIJH3JWH"],"uri":["http://zotero.org/users/5097183/items/CIJH3JWH"],"itemData":{"id":8511,"type":"article-journal","title":"Pre-stroke use of beta-blockers does not affect ischaemic stroke severity and outcome","container-title":"European Journal of Neurology","page":"234-240","volume":"19","issue":"2","source":"PubMed","abstract":"BACKGROUND AND PURPOSE: It is unclear whether pre-stroke beta-blockers use may influence stroke outcome. This study evaluates the independent effect of pre-stroke use of beta-blockers on ischaemic stroke severity and 3 months functional outcome.\nMETHODS: Pre-stroke use of beta-blockers was investigated in 1375 ischaemic stroke patients who had been included in two placebo-controlled trials with lubeluzole. Stroke severity was assessed by either the National Institute of Health Stroke Scale (NIHSS) or the European Stroke Scale (ESS). A modified Rankin scale (mRS) score of &gt;3 at 3 months was used as measure for the poor functional outcome.\nRESULTS: Two hundred and sixty four patients were on beta-blockers prior to stroke onset, and 105 patients continued treatment after their stroke. Pretreatment with beta-blockers did not influence baseline stroke severity. There was no difference in stroke severity between nonusers and those on either a selective beta(1)-blocker or a non-selective beta-blocker. The likelihood of a poor outcome at 3 months was not influenced by pre-stroke beta-blocker use or beta-blocker use before and continued after stroke onset.\nCONCLUSIONS: Pre-stroke use of beta-blockers does not appear to influence stroke severity and functional outcome at 3 months.","DOI":"10.1111/j.1468-1331.2011.03475.x","ISSN":"1468-1331","note":"PMID: 21777353","journalAbbreviation":"Eur. J. Neurol.","language":"eng","author":[{"family":"De Raedt","given":"S."},{"family":"Haentjens","given":"P."},{"family":"De Smedt","given":"A."},{"family":"Brouns","given":"R."},{"family":"Uyttenboogaart","given":"M."},{"family":"Luijckx","given":"G. J."},{"family":"De Keyser","given":"J."}],"issued":{"date-parts":[["2012",2]]}}}],"schema":"https://github.com/citation-style-language/schema/raw/master/csl-citation.json"}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rPr>
              <w:t>[</w:t>
            </w:r>
            <w:r w:rsidRPr="003418D6">
              <w:rPr>
                <w:rFonts w:ascii="Arial" w:hAnsi="Arial" w:cs="Arial"/>
                <w:sz w:val="16"/>
                <w:szCs w:val="16"/>
                <w:lang w:val="en-US"/>
              </w:rPr>
              <w:fldChar w:fldCharType="end"/>
            </w:r>
            <w:r w:rsidRPr="003418D6">
              <w:rPr>
                <w:rFonts w:ascii="Arial" w:hAnsi="Arial" w:cs="Arial"/>
                <w:sz w:val="16"/>
                <w:szCs w:val="16"/>
              </w:rPr>
              <w:t>46]</w:t>
            </w:r>
          </w:p>
        </w:tc>
        <w:tc>
          <w:tcPr>
            <w:tcW w:w="1091" w:type="dxa"/>
            <w:tcBorders>
              <w:left w:val="single" w:sz="12" w:space="0" w:color="auto"/>
            </w:tcBorders>
          </w:tcPr>
          <w:p w14:paraId="3A0F35DD"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144" w:type="dxa"/>
          </w:tcPr>
          <w:p w14:paraId="74923CB8"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037" w:type="dxa"/>
          </w:tcPr>
          <w:p w14:paraId="29304C17"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317" w:type="dxa"/>
          </w:tcPr>
          <w:p w14:paraId="3CE3E1E7"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Pr>
          <w:p w14:paraId="0D5E22B4"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6F660750"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3833838C"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r>
      <w:tr w:rsidR="00E3202A" w:rsidRPr="008442F9" w14:paraId="32DBD357" w14:textId="77777777" w:rsidTr="007473C4">
        <w:tc>
          <w:tcPr>
            <w:tcW w:w="1406" w:type="dxa"/>
            <w:tcBorders>
              <w:left w:val="single" w:sz="12" w:space="0" w:color="auto"/>
              <w:right w:val="single" w:sz="12" w:space="0" w:color="auto"/>
            </w:tcBorders>
          </w:tcPr>
          <w:p w14:paraId="5D4CAF27" w14:textId="77777777" w:rsidR="00FF26E4" w:rsidRPr="003418D6" w:rsidRDefault="00B97BC7" w:rsidP="001C1082">
            <w:pPr>
              <w:spacing w:line="276" w:lineRule="auto"/>
              <w:rPr>
                <w:rFonts w:ascii="Arial" w:hAnsi="Arial" w:cs="Arial"/>
                <w:sz w:val="16"/>
                <w:szCs w:val="16"/>
                <w:lang w:val="en-US"/>
              </w:rPr>
            </w:pPr>
            <w:r w:rsidRPr="003418D6">
              <w:rPr>
                <w:rFonts w:ascii="Arial" w:hAnsi="Arial" w:cs="Arial"/>
                <w:sz w:val="16"/>
                <w:szCs w:val="16"/>
              </w:rPr>
              <w:t xml:space="preserve">Kalita J (2013) </w:t>
            </w:r>
            <w:r w:rsidRPr="003418D6">
              <w:rPr>
                <w:rFonts w:ascii="Arial" w:hAnsi="Arial" w:cs="Arial"/>
                <w:sz w:val="16"/>
                <w:szCs w:val="16"/>
                <w:lang w:val="en-US"/>
              </w:rPr>
              <w:fldChar w:fldCharType="begin"/>
            </w:r>
            <w:r w:rsidRPr="003418D6">
              <w:rPr>
                <w:rFonts w:ascii="Arial" w:hAnsi="Arial" w:cs="Arial"/>
                <w:sz w:val="16"/>
                <w:szCs w:val="16"/>
              </w:rPr>
              <w:instrText xml:space="preserve"> ADDIN ZOTERO_ITEM CSL_CITATION {"citationID":"Y1ENDn39","properties":{"formattedCitation":"[34]","plainCitation":"[34]","noteIndex":0},"citationItems":[{"id":8145,"uris":["http://zotero.org/users/5097183/items/WVZEZ2DB"],"uri":["http://zotero.org/users/5097183/items/WVZEZ2DB"],"itemData":{"id":8145,"type":"article-journal","title":"Is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(atenolol) a preferred antihypertensive in acute intracerebral hemorrhage?","container-title":"Neurological Sciences: Official Journal of the Italian Neurological Society and of the Italian Society of Clinical Neurophysiology","page":"1099-1104","volume":"34","issue":"7","source":"PubMed","abstract":"The mortality in intracerebral hemorrhage (ICH) is mainly due to raised intracranial pressure, and its complications mediated by sympathetic overactivity. There is paucity of studies evaluating the role of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-blockers in the outcome of ICH. This study reports the role of atenolol in reducing mortality, pneumonia, systemic inflammatory response syndrome (SIRS), and 3 months outcome in the patients with hypertensive ICH. 138 consecutive patients with hypertensive ICH were included and their stroke risk factors and clinical details were recorded. Consciousness was assessed by Glasgow Coma Scale and severity of stroke by Canadian Neurological Scale. Volume of hematoma was measures on CT scan and occurrence of SIRS and pneumonia were noted. 3 months outcome was categorized into good (Barthel index &gt;12) and poor (BI &lt; 12). The patients were categorized into those receiving atenolol and nonatenolol. The effects of atenolol on stroke outcome parameters were evaluated. Seventy-nine patients received atenolol and 59 did not and they mainly received amlodipine. There was no difference in the base line clinical characteristics between the two groups except smoking (P = 0.01) and baseline blood pressure (P = 0.007). Atenolol significantly reduced the mortality (11.4 vs 37.3 %, P &lt; 0.0001), SIRS (16.4 vs 40.9 %, P = 0.007), and pneumonia (8.9 vs 30.5 %, P = 0.002) compared to those not receiving atenolol. At 3 months, patients with atenolol had insignificantly better outcome compared to nonatenolol group (49.1 vs 31.9 %, P = 0.11). Use of atenolol in hypertensive ICH results in reduction in mortality, SIRS, and pneumonia which may be due to its </w:instrText>
            </w:r>
            <w:r w:rsidRPr="003418D6">
              <w:rPr>
                <w:rFonts w:ascii="Arial" w:hAnsi="Arial" w:cs="Arial"/>
                <w:sz w:val="16"/>
                <w:szCs w:val="16"/>
                <w:lang w:val="en-US"/>
              </w:rPr>
              <w:instrText>β</w:instrText>
            </w:r>
            <w:r w:rsidRPr="003418D6">
              <w:rPr>
                <w:rFonts w:ascii="Arial" w:hAnsi="Arial" w:cs="Arial"/>
                <w:sz w:val="16"/>
                <w:szCs w:val="16"/>
              </w:rPr>
              <w:instrText xml:space="preserve">-adrenergic blocking effect.","DOI":"10.1007/s10072-012-1210-y","ISSN":"1590-3478","note":"PMID: 23053838","journalAbbreviation":"Neurol. Sci.","language":"eng","author":[{"family":"Kalita","given":"Jayantee"},{"family":"Misra","given":"Usha Kant"},{"family":"Kumar","given":"Bishwanath"}],"issued":{"date-parts":[["2013",7]]}}}],"schema":"https://github.com/citation-style-language/schema/raw/master/csl-citation.json"}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rPr>
              <w:t>[34]</w:t>
            </w:r>
            <w:r w:rsidRPr="003418D6">
              <w:rPr>
                <w:rFonts w:ascii="Arial" w:hAnsi="Arial" w:cs="Arial"/>
                <w:sz w:val="16"/>
                <w:szCs w:val="16"/>
                <w:lang w:val="en-US"/>
              </w:rPr>
              <w:fldChar w:fldCharType="end"/>
            </w:r>
          </w:p>
        </w:tc>
        <w:tc>
          <w:tcPr>
            <w:tcW w:w="1091" w:type="dxa"/>
            <w:tcBorders>
              <w:left w:val="single" w:sz="12" w:space="0" w:color="auto"/>
            </w:tcBorders>
          </w:tcPr>
          <w:p w14:paraId="61E84827"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144" w:type="dxa"/>
          </w:tcPr>
          <w:p w14:paraId="2724E9F8"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4E3094DA"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317" w:type="dxa"/>
          </w:tcPr>
          <w:p w14:paraId="38CB4D28"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Pr>
          <w:p w14:paraId="6A5BC8D4"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895" w:type="dxa"/>
          </w:tcPr>
          <w:p w14:paraId="5E3449ED"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1704EBEE"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r>
      <w:tr w:rsidR="00E3202A" w:rsidRPr="008442F9" w14:paraId="68062AFE" w14:textId="77777777" w:rsidTr="007473C4">
        <w:tc>
          <w:tcPr>
            <w:tcW w:w="1406" w:type="dxa"/>
            <w:tcBorders>
              <w:left w:val="single" w:sz="12" w:space="0" w:color="auto"/>
              <w:right w:val="single" w:sz="12" w:space="0" w:color="auto"/>
            </w:tcBorders>
          </w:tcPr>
          <w:p w14:paraId="36478E31" w14:textId="77777777" w:rsidR="00FF26E4" w:rsidRPr="003418D6" w:rsidRDefault="00B97BC7"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Shoup</w:t>
            </w:r>
            <w:proofErr w:type="spellEnd"/>
            <w:r w:rsidRPr="003418D6">
              <w:rPr>
                <w:rFonts w:ascii="Arial" w:hAnsi="Arial" w:cs="Arial"/>
                <w:sz w:val="16"/>
                <w:szCs w:val="16"/>
                <w:lang w:val="en-US"/>
              </w:rPr>
              <w:t xml:space="preserve"> JP (2014)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Kq5l58Es","properties":{"formattedCitation":"[35]","plainCitation":"[35]","noteIndex":0},"citationItems":[{"id":36,"uris":["http://zotero.org/users/5097183/items/XUCJDPBL"],"uri":["http://zotero.org/users/5097183/items/XUCJDPBL"],"itemData":{"id":36,"type":"article-journal","title":"β-Blockers associated with no class-specific survival benefit in acute intracerebral hemorrhage","container-title":"Journal of the Neurological Sciences","page":"127-131","volume":"336","issue":"1-2","source":"PubMed","abstract":"OBJECTIVES: Despite the high mortality, there is currently no specific treatment for intracerebral hemorrhage (ICH). Research investigating optimum degree of blood pressure control in patients presenting with ICH and hypertension is ongoing. However, there is limited understanding of the potential benefits of specific classes of antihypertensive therapy. β-Adrenergic antagonists may provide neuroprotection from inflammation-induced injury by inhibiting sympathetic nervous system mediated immune activation. We examined mortality in ICH patients receiving β-adrenergic antagonists to determine whether this class of antihypertensive therapy was associated with improved survival.\nMETHODS: A retrospective analysis of a large, prospectively collected database of patients presenting with acute ICH was performed. Patients were grouped by inpatient β-blocker treatment to determine an effect on mortality during the inpatient stay and at 3 months of follow-up. Additional analysis was conducted comparing β-blocker therapy to any other antihypertensive treatment to determine a class-specific association of β-blocker treatment with mortality.\nRESULTS: The study population included 426 patients with acute, spontaneous ICH. Inpatient β-blocker use was independently associated with decreased rates of inpatient death and mortality at 3 months of follow-up. However, univariate and multivariable analyses comparing β-blocker use to other antihypertensives failed to show any class-specific reduction in mortality at either time point.\nDISCUSSION: Our study demonstrates that the improvement seen in patients treated with β-adrenergic antagonists is not an effect unique to this class. This supports ongoing trials to determine optimum levels of blood pressure control using multiple classes of antihypertensives.","DOI":"10.1016/j.jns.2013.10.022","ISSN":"1878-5883","note":"PMID: 24183854\nPMCID: PMC4956481","journalAbbreviation":"J. Neurol. Sci.","language":"eng","author":[{"family":"Shoup","given":"J. P."},{"family":"Winkler","given":"J."},{"family":"Czap","given":"A."},{"family":"Staff","given":"I."},{"family":"Fortunato","given":"G."},{"family":"McCullough","given":"L. D."},{"family":"Sansing","given":"L. H."}],"issued":{"date-parts":[["2014",1,15]]}}}],"schema":"https://github.com/citation-style-language/schema/raw/master/csl-citation.json"}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[35]</w:t>
            </w:r>
            <w:r w:rsidRPr="003418D6">
              <w:rPr>
                <w:rFonts w:ascii="Arial" w:hAnsi="Arial" w:cs="Arial"/>
                <w:sz w:val="16"/>
                <w:szCs w:val="16"/>
                <w:lang w:val="en-US"/>
              </w:rPr>
              <w:fldChar w:fldCharType="end"/>
            </w:r>
          </w:p>
        </w:tc>
        <w:tc>
          <w:tcPr>
            <w:tcW w:w="1091" w:type="dxa"/>
            <w:tcBorders>
              <w:left w:val="single" w:sz="12" w:space="0" w:color="auto"/>
            </w:tcBorders>
          </w:tcPr>
          <w:p w14:paraId="7226C29E"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540518EA"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6299AA0A"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3C1D2417"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Pr>
          <w:p w14:paraId="44FE53C2"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6BE0054D"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0C385449"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E3202A" w:rsidRPr="008442F9" w14:paraId="2E4B4180" w14:textId="77777777" w:rsidTr="007473C4">
        <w:tc>
          <w:tcPr>
            <w:tcW w:w="1406" w:type="dxa"/>
            <w:tcBorders>
              <w:left w:val="single" w:sz="12" w:space="0" w:color="auto"/>
              <w:right w:val="single" w:sz="12" w:space="0" w:color="auto"/>
            </w:tcBorders>
          </w:tcPr>
          <w:p w14:paraId="4FAC2E23" w14:textId="77777777" w:rsidR="00FF26E4" w:rsidRPr="003418D6" w:rsidRDefault="00B97BC7" w:rsidP="001C1082">
            <w:pPr>
              <w:spacing w:line="276" w:lineRule="auto"/>
              <w:rPr>
                <w:rFonts w:ascii="Arial" w:hAnsi="Arial" w:cs="Arial"/>
                <w:sz w:val="16"/>
                <w:szCs w:val="16"/>
                <w:lang w:val="en-US"/>
              </w:rPr>
            </w:pPr>
            <w:r w:rsidRPr="003418D6">
              <w:rPr>
                <w:rFonts w:ascii="Arial" w:hAnsi="Arial" w:cs="Arial"/>
                <w:sz w:val="16"/>
                <w:szCs w:val="16"/>
                <w:lang w:val="en-US"/>
              </w:rPr>
              <w:t xml:space="preserve">Maier IL (2015)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6uElaCrs","properties":{"formattedCitation":"[36]","plainCitation":"[36]","noteIndex":0},"citationItems":[{"id":7658,"uris":["http://zotero.org/users/5097183/items/8SP4YJSE"],"uri":["http://zotero.org/users/5097183/items/8SP4YJSE"],"itemData":{"id":7658,"type":"article-journal","title":"Effect of beta-blocker therapy on the risk of infections and death after acute stroke--a historical cohort study","container-title":"PloS One","page":"e0116836","volume":"10","issue":"2","source":"PubMed","abstract":"BACKGROUND: Infections are a frequent cause for prolonged hospitalization and increased mortality after stroke. Recent studies revealed a stroke-induced depression of the peripheral immune system associated with an increased susceptibility for infections. In a mice model for stroke, this immunosuppressive effect was reversible after beta-blocker administration. The aim of our study was to investigate the effect of beta-blocker therapy on the risk of infections and death after stroke in humans.\nMETHODS: 625 consecutive patients with ischemic or hemorrhagic stroke, admitted to a university hospital stroke unit, were included in this historical cohort study. The effect of beta-blocker therapy on post-stroke pneumonia, urinary tract infections and death was investigated using multivariable Poisson and Cox regression models.\nRESULTS: 553 (88.3%) patients were admitted with ischemic stroke, the remaining 72 (11.7%) had a hemorrhagic stroke. Median baseline NIHSS was 8 (IQR 5-16) points. 301 (48.2%) patients received beta-blocker therapy. There was no difference in the risk of post-stroke pneumonia between patients with and without beta-blocker therapy (Rate Ratio = 1.00, 95%CI 0.77-1.30, p = 0.995). Patients with beta-blocker therapy showed a decreased risk for urinary tract infections (RR = 0.65, 95%CI 0.43-0.98, p = 0.040). 7-days mortality did not differ between groups (Hazard Ratio = 1.36, 95%CI 0.65-2.77, p = 0.425), while patients with beta-blocker therapy showed a higher 30-days mortality (HR = 1.93, 95%CI 1.20-3.10, p = 0.006).\nCONCLUSIONS: Beta-blocker therapy did not reduce the risk for post-stroke pneumonia, but significantly reduced the risk for urinary tract infections. Different immune mechanisms underlying both diseases might explain these findings that need to be confirmed in future studies.","DOI":"10.1371/journal.pone.0116836","ISSN":"1932-6203","note":"PMID: 25643360\nPMCID: PMC4314079","journalAbbreviation":"PLoS ONE","language":"eng","author":[{"family":"Maier","given":"Ilko L."},{"family":"Karch","given":"André"},{"family":"Mikolajczyk","given":"Rafael"},{"family":"Bähr","given":"Mathias"},{"family":"Liman","given":"Jan"}],"issued":{"date-parts":[["2015"]]}}}],"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[36]</w:t>
            </w:r>
            <w:r w:rsidRPr="003418D6">
              <w:rPr>
                <w:rFonts w:ascii="Arial" w:hAnsi="Arial" w:cs="Arial"/>
                <w:sz w:val="16"/>
                <w:szCs w:val="16"/>
                <w:lang w:val="en-US"/>
              </w:rPr>
              <w:fldChar w:fldCharType="end"/>
            </w:r>
          </w:p>
        </w:tc>
        <w:tc>
          <w:tcPr>
            <w:tcW w:w="1091" w:type="dxa"/>
            <w:tcBorders>
              <w:left w:val="single" w:sz="12" w:space="0" w:color="auto"/>
            </w:tcBorders>
          </w:tcPr>
          <w:p w14:paraId="1B72C2B8"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1CA4C3B2"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77F435A3"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6EBAB455"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Pr>
          <w:p w14:paraId="0BA5267B"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59C1EB10"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7F63AF5B" w14:textId="77777777" w:rsidR="00FF26E4"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E3202A" w:rsidRPr="008442F9" w14:paraId="7E57507F" w14:textId="77777777" w:rsidTr="007473C4">
        <w:tc>
          <w:tcPr>
            <w:tcW w:w="1406" w:type="dxa"/>
            <w:tcBorders>
              <w:left w:val="single" w:sz="12" w:space="0" w:color="auto"/>
              <w:right w:val="single" w:sz="12" w:space="0" w:color="auto"/>
            </w:tcBorders>
          </w:tcPr>
          <w:p w14:paraId="181CA6B1" w14:textId="77777777" w:rsidR="00B97BC7" w:rsidRPr="003418D6" w:rsidRDefault="00B97BC7" w:rsidP="001C1082">
            <w:pPr>
              <w:spacing w:line="276" w:lineRule="auto"/>
              <w:rPr>
                <w:rFonts w:ascii="Arial" w:hAnsi="Arial" w:cs="Arial"/>
                <w:sz w:val="16"/>
                <w:szCs w:val="16"/>
                <w:lang w:val="en-US"/>
              </w:rPr>
            </w:pPr>
            <w:r w:rsidRPr="003418D6">
              <w:rPr>
                <w:rFonts w:ascii="Arial" w:hAnsi="Arial" w:cs="Arial"/>
                <w:sz w:val="16"/>
                <w:szCs w:val="16"/>
                <w:lang w:val="en-US"/>
              </w:rPr>
              <w:t xml:space="preserve">Phelan C (2015)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AV2zLJdy","properties":{"formattedCitation":"[37]","plainCitation":"[37]","noteIndex":0},"citationItems":[{"id":8922,"uris":["http://zotero.org/users/5097183/items/YWIDIFWY"],"uri":["http://zotero.org/users/5097183/items/YWIDIFWY"],"itemData":{"id":8922,"type":"article-journal","title":"Effect of β-Adrenergic Antagonists on In-Hospital Mortality after Ischemic Stroke","container-title":"Journal of Stroke and Cerebrovascular Diseases: The Official Journal of National Stroke Association","page":"1998-2004","volume":"24","issue":"9","source":"PubMed","abstract":"BACKGROUND: Ischemic stroke accounts for 85%-90% of all strokes and currently has very limited therapeutic options. Recent studies of β-adrenergic antagonists suggest they may have neuroprotective effects that lead to improved functional outcomes in rodent models of ischemic stroke; however, there are limited data in patients. We aimed to determine whether there was an improvement in mortality rates among patients who were taking β-blockers during the acute phase of their ischemic stroke.\nMETHODS: A retrospective analysis of a prospectively collected database of ischemic stroke patients was performed. Patients who were on β-adrenergic antagonists both at home and during the first 3 days of hospitalization were compared with patients who were not on β-adrenergic antagonists to determine the association with patient mortality rates.\nRESULTS: The study included a patient population of 2804 patients. In univariate analysis, use of β-adrenergic antagonists was associated with older age, atrial fibrillation, hypertension, and more-severe initial stroke presentation. Despite this, multivariable analysis revealed a reduction in in-hospital mortality among patients who were treated with β-adrenergic antagonists (odds ratio, .657; 95% confidence interval, .655-.658).\nCONCLUSIONS: The continuation of home β-adrenergic antagonist medication during the first 3 days of hospitalization after an ischemic stroke is associated with a decrease in patient mortality. This supports the work done in rodent models suggesting neuroprotective effects of β-blockers after ischemic stroke.","DOI":"10.1016/j.jstrokecerebrovasdis.2015.04.035","ISSN":"1532-8511","note":"PMID: 26163891\nPMCID: PMC4564292","journalAbbreviation":"J Stroke Cerebrovasc Dis","language":"eng","author":[{"family":"Phelan","given":"Christopher"},{"family":"Alaigh","given":"Vivek"},{"family":"Fortunato","given":"Gil"},{"family":"Staff","given":"Ilene"},{"family":"Sansing","given":"Lauren"}],"issued":{"date-parts":[["2015",9]]}}}],"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[37]</w:t>
            </w:r>
            <w:r w:rsidRPr="003418D6">
              <w:rPr>
                <w:rFonts w:ascii="Arial" w:hAnsi="Arial" w:cs="Arial"/>
                <w:sz w:val="16"/>
                <w:szCs w:val="16"/>
                <w:lang w:val="en-US"/>
              </w:rPr>
              <w:fldChar w:fldCharType="end"/>
            </w:r>
          </w:p>
        </w:tc>
        <w:tc>
          <w:tcPr>
            <w:tcW w:w="1091" w:type="dxa"/>
            <w:tcBorders>
              <w:left w:val="single" w:sz="12" w:space="0" w:color="auto"/>
            </w:tcBorders>
          </w:tcPr>
          <w:p w14:paraId="1E3389F4" w14:textId="77777777" w:rsidR="00B97BC7"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3A400B37" w14:textId="77777777" w:rsidR="00B97BC7" w:rsidRPr="003418D6" w:rsidRDefault="00083601"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45FB11F3"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4BEC705E"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 xml:space="preserve"> Not applicable</w:t>
            </w:r>
          </w:p>
        </w:tc>
        <w:tc>
          <w:tcPr>
            <w:tcW w:w="1091" w:type="dxa"/>
          </w:tcPr>
          <w:p w14:paraId="489F9EDD"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2E9E6086"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0CE9BF29"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E3202A" w:rsidRPr="008442F9" w14:paraId="6DC16705" w14:textId="77777777" w:rsidTr="007473C4">
        <w:tc>
          <w:tcPr>
            <w:tcW w:w="1406" w:type="dxa"/>
            <w:tcBorders>
              <w:left w:val="single" w:sz="12" w:space="0" w:color="auto"/>
              <w:right w:val="single" w:sz="12" w:space="0" w:color="auto"/>
            </w:tcBorders>
          </w:tcPr>
          <w:p w14:paraId="76B818B6" w14:textId="77777777" w:rsidR="00B97BC7" w:rsidRPr="003418D6" w:rsidRDefault="00B97BC7"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Sundbøll</w:t>
            </w:r>
            <w:proofErr w:type="spellEnd"/>
            <w:r w:rsidRPr="003418D6">
              <w:rPr>
                <w:rFonts w:ascii="Arial" w:hAnsi="Arial" w:cs="Arial"/>
                <w:sz w:val="16"/>
                <w:szCs w:val="16"/>
                <w:lang w:val="en-US"/>
              </w:rPr>
              <w:t xml:space="preserve"> J (2015)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bfGYe0Jf","properties":{"formattedCitation":"[29]","plainCitation":"[29]","noteIndex":0},"citationItems":[{"id":7905,"uris":["http://zotero.org/users/5097183/items/E8UVPYYK"],"uri":["http://zotero.org/users/5097183/items/E8UVPYYK"],"itemData":{"id":7905,"type":"article-journal","title":"Impact of preadmission treatment with calcium channel blockers or beta blockers on short-term mortality after stroke: a nationwide cohort study","container-title":"BMC neurology","page":"24","volume":"15","source":"PubMed","abstract":"BACKGROUND: The prognostic impact of preadmission use of calcium channel blockers (CCBs) and beta blockers (BBs) on stroke mortality remains unclear. We aimed to examine whether preadmission use of CCBs or BBs was associated with improved short-term mortality following ischemic stroke, intracerebral hemorrhage (ICH), or subarachnoid hemorrhage (SAH).\nMETHODS: We conducted a nationwide population-based cohort study using Danish medical registries. We identified all patients with a first-time inpatient diagnosis of stroke between 2004 and 2012 and their comorbidities. We defined CCB/BB use as current use, former use, or non-use. Current use was further classified as new or long-term use. We used Cox regression modeling to compute 30-day mortality rate ratios (MRRs) with 95% confidence intervals (CIs), controlling for potential confounders.\nRESULTS: We identified 100,043 patients with a first-time stroke. Of these, 83,736 (83.7%) patients had ischemic stroke, 11,779 (11.8%) had ICH, and 4,528 (4.5%) had SAH. Comparing current users of CCBs or BBs with non-users, we found no association with mortality for ischemic stroke [adjusted 30-day MRR = 0.99 (95% CI: 0.94-1.05) for CCBs and 1.01 (95% CI: 0.96-1.07) for BBs], ICH [adjusted 30-day MRR = 1.05 (95% CI: 0.95-1.16) for CCBs and 0.95 (95% CI: 0.87-1.04) for BBs], or SAH [adjusted 30-day MRR = 1.05 (95% CI: 0.85-1.29) for CCBs and 0.89 (95% CI: 0.72-1.11) for BBs]. Former use of CCBs or BBs was not associated with mortality.\nCONCLUSIONS: Preadmission use of CCBs or BBs was not associated with 30-day mortality following ischemic stroke, ICH, or SAH.","DOI":"10.1186/s12883-015-0279-3","ISSN":"1471-2377","note":"PMID: 25884780\nPMCID: PMC4365558","title-short":"Impact of preadmission treatment with calcium channel blockers or beta blockers on short-term mortality after stroke","journalAbbreviation":"BMC Neurol","language":"eng","author":[{"family":"Sundbøll","given":"Jens"},{"family":"Schmidt","given":"Morten"},{"family":"Horváth-Puhó","given":"Erzsébet"},{"family":"Christiansen","given":"Christian F."},{"family":"Pedersen","given":"Lars"},{"family":"Bøtker","given":"Hans Erik"},{"family":"Sørensen","given":"Henrik T."}],"issued":{"date-parts":[["2015",3,7]]}}}],"schema":"https://github.com/citation-style-language/schema/raw/master/csl-citation.json"}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[29]</w:t>
            </w:r>
            <w:r w:rsidRPr="003418D6">
              <w:rPr>
                <w:rFonts w:ascii="Arial" w:hAnsi="Arial" w:cs="Arial"/>
                <w:sz w:val="16"/>
                <w:szCs w:val="16"/>
                <w:lang w:val="en-US"/>
              </w:rPr>
              <w:fldChar w:fldCharType="end"/>
            </w:r>
          </w:p>
        </w:tc>
        <w:tc>
          <w:tcPr>
            <w:tcW w:w="1091" w:type="dxa"/>
            <w:tcBorders>
              <w:left w:val="single" w:sz="12" w:space="0" w:color="auto"/>
            </w:tcBorders>
          </w:tcPr>
          <w:p w14:paraId="0F98F2A2"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79A0F5B5"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2EFF1E2F"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0C35CD9D"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Pr>
          <w:p w14:paraId="071DC007"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1B5C84AB"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475A4978"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E3202A" w:rsidRPr="008442F9" w14:paraId="253CC5F6" w14:textId="77777777" w:rsidTr="007473C4">
        <w:tc>
          <w:tcPr>
            <w:tcW w:w="1406" w:type="dxa"/>
            <w:tcBorders>
              <w:left w:val="single" w:sz="12" w:space="0" w:color="auto"/>
              <w:right w:val="single" w:sz="12" w:space="0" w:color="auto"/>
            </w:tcBorders>
          </w:tcPr>
          <w:p w14:paraId="2F9A1045" w14:textId="77777777" w:rsidR="00B97BC7" w:rsidRPr="003418D6" w:rsidRDefault="00B97BC7"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Sykora</w:t>
            </w:r>
            <w:proofErr w:type="spellEnd"/>
            <w:r w:rsidRPr="003418D6">
              <w:rPr>
                <w:rFonts w:ascii="Arial" w:hAnsi="Arial" w:cs="Arial"/>
                <w:sz w:val="16"/>
                <w:szCs w:val="16"/>
                <w:lang w:val="en-US"/>
              </w:rPr>
              <w:t xml:space="preserve"> M (2015)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OoCGSFNR","properties":{"formattedCitation":"[38]","plainCitation":"[38]","noteIndex":0},"citationItems":[{"id":20,"uris":["http://zotero.org/users/5097183/items/ZUX3HSPQ"],"uri":["http://zotero.org/users/5097183/items/ZUX3HSPQ"],"itemData":{"id":20,"type":"article-journal","title":"β-Blockers, Pneumonia, and Outcome After Ischemic Stroke: Evidence From Virtual International Stroke Trials Archive","container-title":"Stroke","page":"1269-1274","volume":"46","issue":"5","source":"PubMed","abstract":"BACKGROUND AND PURPOSE: Increased sympathetic drive after stroke is involved in the pathophysiology of several complications including poststroke immunudepression. β-Blocker (BB) therapy has been suggested to have neuroprotective properties and to decrease infectious complications after stroke. We aimed to examine the effects of random pre- and on-stroke BB exposure on mortality, functional outcome, and occurrence of pneumonia after ischemic stroke.\nMETHODS: Data including standard demographic and clinical variables as well as prestroke and on-stroke antihypertensive medication, incidence of pneumonia, functional outcome defined using modified Rankin Scale and mortality at 3 months were extracted from the Virtual International Stroke Trials Archive. For statistical analysis multivariable Poisson regression was used.\nRESULTS: In total, 5212 patients were analyzed. A total of 1155 (22.2%) patients were treated with BB before stroke onset and 244 (4.7%) patients were newly started with BB in the acute phase of stroke. Mortality was 17.5%, favorable outcome (defined as modified Rankin Scale, 0-2) occurred in 58.2% and pneumonia in 8.2% of patients. Prestroke BB showed no association with mortality. On-stroke BB was associated with reduced mortality (adjusted risk ratio, 0.63; 95% confidence interval, 0.42-0.96). Neither prestroke BB nor on-stroke BB showed an association with functional outcome. Both prestroke and on-stroke BB were associated with reduced frequency of pneumonia (adjusted risk ratio, 0.77; 95% confidence interval, 0.6-0.98 and risk ratio, 0.49; 95% confidence interval, 0.25-0.95).\nCONCLUSIONS: In this large nonrandomized comparison, on-stroke BB was associated with reduced mortality. Prestroke and on-stroke BB were inversely associated with incidence of nosocomial pneumonia. Randomized trials investigating the potential of β-blockade in acute stroke may be warranted.","DOI":"10.1161/STROKEAHA.114.008260","ISSN":"1524-4628","note":"PMID: 25899243","title-short":"β-Blockers, Pneumonia, and Outcome After Ischemic Stroke","journalAbbreviation":"Stroke","language":"eng","author":[{"family":"Sykora","given":"Marek"},{"family":"Siarnik","given":"Pavel"},{"family":"Diedler","given":"Jennifer"},{"literal":"VISTA Acute Collaborators"}],"issued":{"date-parts":[["2015",5]]}}}],"schema":"https://github.com/citation-style-language/schema/raw/master/csl-citation.json"}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US"/>
              </w:rPr>
              <w:t>[38]</w:t>
            </w:r>
            <w:r w:rsidRPr="003418D6">
              <w:rPr>
                <w:rFonts w:ascii="Arial" w:hAnsi="Arial" w:cs="Arial"/>
                <w:sz w:val="16"/>
                <w:szCs w:val="16"/>
                <w:lang w:val="en-US"/>
              </w:rPr>
              <w:fldChar w:fldCharType="end"/>
            </w:r>
          </w:p>
        </w:tc>
        <w:tc>
          <w:tcPr>
            <w:tcW w:w="1091" w:type="dxa"/>
            <w:tcBorders>
              <w:left w:val="single" w:sz="12" w:space="0" w:color="auto"/>
            </w:tcBorders>
          </w:tcPr>
          <w:p w14:paraId="446EFECF"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71321992"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2A0BF618"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27ECBA88"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Pr>
          <w:p w14:paraId="3FBCB5A5"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4591444C"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70F5EAC7"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E3202A" w:rsidRPr="008442F9" w14:paraId="76E4B329" w14:textId="77777777" w:rsidTr="007473C4">
        <w:tc>
          <w:tcPr>
            <w:tcW w:w="1406" w:type="dxa"/>
            <w:tcBorders>
              <w:left w:val="single" w:sz="12" w:space="0" w:color="auto"/>
              <w:right w:val="single" w:sz="12" w:space="0" w:color="auto"/>
            </w:tcBorders>
          </w:tcPr>
          <w:p w14:paraId="278336F9" w14:textId="77777777" w:rsidR="00B97BC7" w:rsidRPr="003418D6" w:rsidRDefault="00B97BC7" w:rsidP="001C1082">
            <w:pPr>
              <w:spacing w:line="276" w:lineRule="auto"/>
              <w:rPr>
                <w:rFonts w:ascii="Arial" w:hAnsi="Arial" w:cs="Arial"/>
                <w:sz w:val="16"/>
                <w:szCs w:val="16"/>
                <w:lang w:val="en-US"/>
              </w:rPr>
            </w:pPr>
            <w:r w:rsidRPr="003418D6">
              <w:rPr>
                <w:rFonts w:ascii="Arial" w:hAnsi="Arial" w:cs="Arial"/>
                <w:sz w:val="16"/>
                <w:szCs w:val="16"/>
                <w:lang w:val="en-GB"/>
              </w:rPr>
              <w:t xml:space="preserve">Tziomalos K (2015) </w:t>
            </w:r>
            <w:r w:rsidRPr="003418D6">
              <w:rPr>
                <w:rFonts w:ascii="Arial" w:hAnsi="Arial" w:cs="Arial"/>
                <w:sz w:val="16"/>
                <w:szCs w:val="16"/>
                <w:lang w:val="en-US"/>
              </w:rPr>
              <w:fldChar w:fldCharType="begin"/>
            </w:r>
            <w:r w:rsidRPr="003418D6">
              <w:rPr>
                <w:rFonts w:ascii="Arial" w:hAnsi="Arial" w:cs="Arial"/>
                <w:sz w:val="16"/>
                <w:szCs w:val="16"/>
                <w:lang w:val="en-GB"/>
              </w:rPr>
              <w:instrText xml:space="preserve"> ADDIN ZOTERO_ITEM CSL_CITATION {"citationID":"Yb3nSmzQ","properties":{"formattedCitation":"[39]","plainCitation":"[39]","noteIndex":0},"citationItems":[{"id":201,"uris":["http://zotero.org/users/5097183/items/KUR5JR6B"],"uri":["http://zotero.org/users/5097183/items/KUR5JR6B"],"itemData":{"id":201,"type":"article-journal","title":"Effects of different classes of antihypertensive agents on the outcome of acute ischemic stroke","container-title":"Journal of Clinical Hypertension","page":"275-280","volume":"17","issue":"4","archive":"Scopus","DOI":"10.1111/jch.12498","author":[{"family":"Tziomalos","given":"K."},{"family":"Giampatzis","given":"V."},{"family":"Bouziana","given":"S.D."},{"family":"Spanou","given":"M."},{"family":"Papadopoulou","given":"M."},{"family":"Kazantzidou","given":"P."},{"family":"Kostaki","given":"S."},{"family":"Kouparanis","given":"A."},{"family":"Savopoulos","given":"C."},{"family":"Hatzitolios","given":"A.I."}],"issued":{"date-parts":[["2015"]]}}}],"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[39]</w:t>
            </w:r>
            <w:r w:rsidRPr="003418D6">
              <w:rPr>
                <w:rFonts w:ascii="Arial" w:hAnsi="Arial" w:cs="Arial"/>
                <w:sz w:val="16"/>
                <w:szCs w:val="16"/>
                <w:lang w:val="en-US"/>
              </w:rPr>
              <w:fldChar w:fldCharType="end"/>
            </w:r>
          </w:p>
        </w:tc>
        <w:tc>
          <w:tcPr>
            <w:tcW w:w="1091" w:type="dxa"/>
            <w:tcBorders>
              <w:left w:val="single" w:sz="12" w:space="0" w:color="auto"/>
            </w:tcBorders>
          </w:tcPr>
          <w:p w14:paraId="6FE0C8AB"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1D7F3CA3"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037" w:type="dxa"/>
          </w:tcPr>
          <w:p w14:paraId="3545FE13"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5930F5F8"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Pr>
          <w:p w14:paraId="4659077B"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6080D219"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4908EFCF"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r>
      <w:tr w:rsidR="00E3202A" w:rsidRPr="008442F9" w14:paraId="525DDBB0" w14:textId="77777777" w:rsidTr="007473C4">
        <w:tc>
          <w:tcPr>
            <w:tcW w:w="1406" w:type="dxa"/>
            <w:tcBorders>
              <w:left w:val="single" w:sz="12" w:space="0" w:color="auto"/>
              <w:right w:val="single" w:sz="12" w:space="0" w:color="auto"/>
            </w:tcBorders>
          </w:tcPr>
          <w:p w14:paraId="3EBA195D" w14:textId="77777777" w:rsidR="00B97BC7" w:rsidRPr="003418D6" w:rsidRDefault="00B97BC7" w:rsidP="001C1082">
            <w:pPr>
              <w:spacing w:line="276" w:lineRule="auto"/>
              <w:rPr>
                <w:rFonts w:ascii="Arial" w:hAnsi="Arial" w:cs="Arial"/>
                <w:sz w:val="16"/>
                <w:szCs w:val="16"/>
                <w:lang w:val="en-US"/>
              </w:rPr>
            </w:pPr>
            <w:proofErr w:type="spellStart"/>
            <w:r w:rsidRPr="003418D6">
              <w:rPr>
                <w:rFonts w:ascii="Arial" w:hAnsi="Arial" w:cs="Arial"/>
                <w:sz w:val="16"/>
                <w:szCs w:val="16"/>
                <w:lang w:val="en-US"/>
              </w:rPr>
              <w:t>Westendorp</w:t>
            </w:r>
            <w:proofErr w:type="spellEnd"/>
            <w:r w:rsidRPr="003418D6">
              <w:rPr>
                <w:rFonts w:ascii="Arial" w:hAnsi="Arial" w:cs="Arial"/>
                <w:sz w:val="16"/>
                <w:szCs w:val="16"/>
                <w:lang w:val="en-US"/>
              </w:rPr>
              <w:t xml:space="preserve"> WF (2016)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DAL5ZKnj","properties":{"formattedCitation":"[40]","plainCitation":"[40]","noteIndex":0},"citationItems":[{"id":9450,"uris":["http://zotero.org/users/5097183/items/XQQVUGZA"],"uri":["http://zotero.org/users/5097183/items/XQQVUGZA"],"itemData":{"id":9450,"type":"article-journal","title":"Pre-Stroke Use of Beta-Blockers Does Not Lower Post-Stroke Infection Rate: An Exploratory Analysis of the Preventive Antibiotics in Stroke Study","container-title":"Cerebrovascular Diseases (Basel, Switzerland)","page":"506-511","volume":"42","issue":"5-6","source":"PubMed","abstract":"BACKGROUND: Stroke-associated infections occur frequently and are associated with unfavorable outcome. Previous cohort studies suggest a protective effect of beta-blockers (BBs) against infections. A sympathetic drive may increase immune suppression and infections.\nAIM: This study is aimed at investigating the association between BB treatment at baseline and post-stroke infection in the Preventive Antibiotics in Stroke Study (PASS), a prospective clinical trial.\nMETHODS: We performed an exploratory analysis in PASS, 2,538 patients with acute phase of stroke (24 h after onset) were randomized to ceftriaxone (intravenous, 2 g per day for 4 days) in addition to stroke unit care, or standard stroke unit care without preventive antibiotic treatment. All clinical data, including use of BBs, was prospectively collected. Infection was diagnosed by the treating physician, and independently by an expert panel blinded for all other data. Multivariable analysis was performed to investigate the relation between BB treatment and infection rate.\nRESULTS: Infection, as defined by the physician, occurred in 348 of 2,538 patients (14%). Multivariable analysis showed that the use of BBs at baseline was associated with the development of infection during clinical course (adjusted OR (aOR) 1.61, 95% CI 1.19-2.18; p &lt; 0.01). BB use at baseline was also associated with the development of pneumonia (aOR 1.56, 95% CI 1.05-2.30; p = 0.03). Baseline BB use was not associated with mortality (aOR 1.14, 95% CI 0.84-1.53; p = 0.41) or unfavorable outcome at 3 months (aOR 1.10, 95% CI 0.89-1.35; p = 0.39).\nCONCLUSIONS: Patients treated with BBs prior to stroke have a higher rate of infection and pneumonia.","DOI":"10.1159/000450926","ISSN":"1421-9786","note":"PMID: 27701170\nPMCID: PMC5296919","title-short":"Pre-Stroke Use of Beta-Blockers Does Not Lower Post-Stroke Infection Rate","journalAbbreviation":"Cerebrovasc. Dis.","language":"eng","author":[{"family":"Westendorp","given":"Willeke F."},{"family":"Vermeij","given":"Jan-Dirk"},{"family":"Brouwer","given":"Matthijs C."},{"family":"Roos","given":"Y. B. W. E. M."},{"family":"Nederkoorn","given":"Paul J."},{"family":"Beek","given":"Diederik","non-dropping-particle":"van de"},{"literal":"PASS Investigators"}],"issued":{"date-parts":[["2016"]]}}}],"schema":"https://github.com/citation-style-language/schema/raw/master/csl-citation.json"}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US"/>
              </w:rPr>
              <w:t>[40]</w:t>
            </w:r>
            <w:r w:rsidRPr="003418D6">
              <w:rPr>
                <w:rFonts w:ascii="Arial" w:hAnsi="Arial" w:cs="Arial"/>
                <w:sz w:val="16"/>
                <w:szCs w:val="16"/>
                <w:lang w:val="en-US"/>
              </w:rPr>
              <w:fldChar w:fldCharType="end"/>
            </w:r>
          </w:p>
        </w:tc>
        <w:tc>
          <w:tcPr>
            <w:tcW w:w="1091" w:type="dxa"/>
            <w:tcBorders>
              <w:left w:val="single" w:sz="12" w:space="0" w:color="auto"/>
            </w:tcBorders>
          </w:tcPr>
          <w:p w14:paraId="046BED2A"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3B7618B5"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3C9EB74A"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2FEA5C10"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Pr>
          <w:p w14:paraId="4CDAA4E8"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7AF542FA"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2E1763D6"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E3202A" w:rsidRPr="008442F9" w14:paraId="15BCB3D9" w14:textId="77777777" w:rsidTr="007473C4">
        <w:tc>
          <w:tcPr>
            <w:tcW w:w="1406" w:type="dxa"/>
            <w:tcBorders>
              <w:left w:val="single" w:sz="12" w:space="0" w:color="auto"/>
              <w:right w:val="single" w:sz="12" w:space="0" w:color="auto"/>
            </w:tcBorders>
          </w:tcPr>
          <w:p w14:paraId="75C1CBB2" w14:textId="77777777" w:rsidR="00B97BC7" w:rsidRPr="003418D6" w:rsidRDefault="00B97BC7" w:rsidP="001C1082">
            <w:pPr>
              <w:spacing w:line="276" w:lineRule="auto"/>
              <w:rPr>
                <w:rFonts w:ascii="Arial" w:hAnsi="Arial" w:cs="Arial"/>
                <w:sz w:val="16"/>
                <w:szCs w:val="16"/>
                <w:lang w:val="en-US"/>
              </w:rPr>
            </w:pPr>
            <w:proofErr w:type="spellStart"/>
            <w:r w:rsidRPr="003418D6">
              <w:rPr>
                <w:rFonts w:ascii="Arial" w:hAnsi="Arial" w:cs="Arial"/>
                <w:sz w:val="16"/>
                <w:szCs w:val="16"/>
                <w:lang w:val="en-GB"/>
              </w:rPr>
              <w:t>Koton</w:t>
            </w:r>
            <w:proofErr w:type="spellEnd"/>
            <w:r w:rsidRPr="003418D6">
              <w:rPr>
                <w:rFonts w:ascii="Arial" w:hAnsi="Arial" w:cs="Arial"/>
                <w:sz w:val="16"/>
                <w:szCs w:val="16"/>
                <w:lang w:val="en-GB"/>
              </w:rPr>
              <w:t xml:space="preserve"> S (2017) </w:t>
            </w:r>
            <w:r w:rsidRPr="003418D6">
              <w:rPr>
                <w:rFonts w:ascii="Arial" w:hAnsi="Arial" w:cs="Arial"/>
                <w:sz w:val="16"/>
                <w:szCs w:val="16"/>
                <w:lang w:val="en-US"/>
              </w:rPr>
              <w:fldChar w:fldCharType="begin"/>
            </w:r>
            <w:r w:rsidRPr="003418D6">
              <w:rPr>
                <w:rFonts w:ascii="Arial" w:hAnsi="Arial" w:cs="Arial"/>
                <w:sz w:val="16"/>
                <w:szCs w:val="16"/>
                <w:lang w:val="en-GB"/>
              </w:rPr>
              <w:instrText xml:space="preserve"> ADDIN ZOTERO_ITEM CSL_CITATION {"citationID":"wn2b8U8h","properties":{"formattedCitation":"[27]","plainCitation":"[27]","noteIndex":0},"citationItems":[{"id":9078,"uris":["http://zotero.org/users/5097183/items/UBQDBV5N"],"uri":["http://zotero.org/users/5097183/items/UBQDBV5N"],"itemData":{"id":9078,"type":"article-journal","title":"Prestroke treatment with beta-blockers for hypertension is not associatedwith severity and poor outcome in patients with ischemic stroke: Data from a national stroke registry","container-title":"Journal of Hypertension","page":"870-876","volume":"35","issue":"4","archive":"Scopus","DOI":"10.1097/HJH.0000000000001218","author":[{"family":"Koton","given":"S."},{"family":"Tanne","given":"D."},{"family":"Grossman","given":"E."}],"issued":{"date-parts":[["2017"]]}}}],"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[27]</w:t>
            </w:r>
            <w:r w:rsidRPr="003418D6">
              <w:rPr>
                <w:rFonts w:ascii="Arial" w:hAnsi="Arial" w:cs="Arial"/>
                <w:sz w:val="16"/>
                <w:szCs w:val="16"/>
                <w:lang w:val="en-US"/>
              </w:rPr>
              <w:fldChar w:fldCharType="end"/>
            </w:r>
          </w:p>
        </w:tc>
        <w:tc>
          <w:tcPr>
            <w:tcW w:w="1091" w:type="dxa"/>
            <w:tcBorders>
              <w:left w:val="single" w:sz="12" w:space="0" w:color="auto"/>
            </w:tcBorders>
          </w:tcPr>
          <w:p w14:paraId="26B066EC"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58693DEE"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5879B744"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50788372"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M</w:t>
            </w:r>
            <w:r w:rsidR="00E3202A"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091" w:type="dxa"/>
          </w:tcPr>
          <w:p w14:paraId="3A577ACA"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490E7112"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4A14A9A3"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r>
      <w:tr w:rsidR="00E3202A" w:rsidRPr="008442F9" w14:paraId="2C3C77E7" w14:textId="77777777" w:rsidTr="007473C4">
        <w:tc>
          <w:tcPr>
            <w:tcW w:w="1406" w:type="dxa"/>
            <w:tcBorders>
              <w:left w:val="single" w:sz="12" w:space="0" w:color="auto"/>
              <w:right w:val="single" w:sz="12" w:space="0" w:color="auto"/>
            </w:tcBorders>
          </w:tcPr>
          <w:p w14:paraId="034C5950" w14:textId="77777777" w:rsidR="00B97BC7" w:rsidRPr="003418D6" w:rsidRDefault="00B97BC7" w:rsidP="001C1082">
            <w:pPr>
              <w:spacing w:line="276" w:lineRule="auto"/>
              <w:rPr>
                <w:rFonts w:ascii="Arial" w:hAnsi="Arial" w:cs="Arial"/>
                <w:sz w:val="16"/>
                <w:szCs w:val="16"/>
                <w:lang w:val="en-US"/>
              </w:rPr>
            </w:pPr>
            <w:r w:rsidRPr="003418D6">
              <w:rPr>
                <w:rFonts w:ascii="Arial" w:hAnsi="Arial" w:cs="Arial"/>
                <w:sz w:val="16"/>
                <w:szCs w:val="16"/>
                <w:lang w:val="en-US"/>
              </w:rPr>
              <w:t xml:space="preserve">Starr JB (2017a)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WeY467Tk","properties":{"formattedCitation":"[41]","plainCitation":"[41]","noteIndex":0},"citationItems":[{"id":8257,"uris":["http://zotero.org/users/5097183/items/ET7FZ7NJ"],"uri":["http://zotero.org/users/5097183/items/ET7FZ7NJ"],"itemData":{"id":8257,"type":"article-journal","title":"Labetalol Use Is Associated With Increased In-Hospital Infection Compared With Nicardipine Use in Intracerebral Hemorrhage","container-title":"Stroke","page":"2693-2698","volume":"48","issue":"10","source":"PubMed","abstract":"BACKGROUND AND PURPOSE: Increased sympathetic tone causes hypertension after intracerebral hemorrhage, and blood pressure reduction has been studied as a way to decrease hemorrhage growth and improve outcomes. It is unknown if the antihypertensive used to achieve blood pressure goals influences either. Because sympatholytic drugs reduce death and infection in animal models, we hypothesized that labetalol would improve outcomes compared with nicardipine.\nMETHODS: Prospective data from a single center were retrospectively reviewed. Patients receiving labetalol, nicardipine, or both during their first 3 days of hospitalization were included. Outcomes included in-hospital death; discharge modified Rankin Score &gt;2; and in-hospital urinary tract infection, pneumonia, or bacteremia. Patients were compared with propensity scoring and analyzed with linear models adjusted for significant confounders.\nRESULTS: Of 1066 admissions, 525 were treated with labetalol or nicardipine and are included; 229 (43.6%) received labetalol, 107 (20.4%) received nicardipine, and 189 (36.0%) received both. Mortality and infection rates were 40.2% and 15.8%, respectively, 77.2% had a modified Rankin Score &gt;2. After adjustment, compared with nicardipine alone, labetalol alone was associated with infection (odds ratio, 3.12; confidence interval, 1.27-7.64; P=0.013) but not when combined with nicardipine (odds ratio, 2.44; confidence interval, 0.98-6.07; P=0.055). Labetalol, with or without nicardipine, was not associated with death or discharge modified Rankin Score &gt;2.\nCONCLUSIONS: Compared with nicardipine, labetalol was associated with increased in-hospital infections, but not mortality or modified Rankin Score &gt;2. These findings do not support our hypothesis that labetalol use improves outcomes relative to nicardipine in intracerebral hemorrhage.","DOI":"10.1161/STROKEAHA.117.017230","ISSN":"1524-4628","note":"PMID: 28904237","journalAbbreviation":"Stroke","language":"eng","author":[{"family":"Starr","given":"Jordan B."},{"family":"Tirschwell","given":"David L."},{"family":"Becker","given":"Kyra J."}],"issued":{"date-parts":[["2017"]]}}}],"schema":"https://github.com/citation-style-language/schema/raw/master/csl-citation.json"}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US"/>
              </w:rPr>
              <w:t>[41]</w:t>
            </w:r>
            <w:r w:rsidRPr="003418D6">
              <w:rPr>
                <w:rFonts w:ascii="Arial" w:hAnsi="Arial" w:cs="Arial"/>
                <w:sz w:val="16"/>
                <w:szCs w:val="16"/>
                <w:lang w:val="en-US"/>
              </w:rPr>
              <w:fldChar w:fldCharType="end"/>
            </w:r>
          </w:p>
        </w:tc>
        <w:tc>
          <w:tcPr>
            <w:tcW w:w="1091" w:type="dxa"/>
            <w:tcBorders>
              <w:left w:val="single" w:sz="12" w:space="0" w:color="auto"/>
            </w:tcBorders>
          </w:tcPr>
          <w:p w14:paraId="230AFE7F"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77D21CF6"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52ADFD81"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77E32CAE"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Pr>
          <w:p w14:paraId="613601D9"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6FF1DEBC"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2CFACAA2"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E3202A" w:rsidRPr="008442F9" w14:paraId="14FB38A5" w14:textId="77777777" w:rsidTr="007473C4">
        <w:tc>
          <w:tcPr>
            <w:tcW w:w="1406" w:type="dxa"/>
            <w:tcBorders>
              <w:left w:val="single" w:sz="12" w:space="0" w:color="auto"/>
              <w:right w:val="single" w:sz="12" w:space="0" w:color="auto"/>
            </w:tcBorders>
          </w:tcPr>
          <w:p w14:paraId="26D0A499" w14:textId="77777777" w:rsidR="00B97BC7" w:rsidRPr="003418D6" w:rsidRDefault="00B97BC7" w:rsidP="001C1082">
            <w:pPr>
              <w:spacing w:line="276" w:lineRule="auto"/>
              <w:rPr>
                <w:rFonts w:ascii="Arial" w:hAnsi="Arial" w:cs="Arial"/>
                <w:sz w:val="16"/>
                <w:szCs w:val="16"/>
                <w:lang w:val="en-US"/>
              </w:rPr>
            </w:pPr>
            <w:r w:rsidRPr="003418D6">
              <w:rPr>
                <w:rFonts w:ascii="Arial" w:hAnsi="Arial" w:cs="Arial"/>
                <w:sz w:val="16"/>
                <w:szCs w:val="16"/>
              </w:rPr>
              <w:t xml:space="preserve">Starr JB (2017b) </w:t>
            </w:r>
            <w:r w:rsidRPr="003418D6">
              <w:rPr>
                <w:rFonts w:ascii="Arial" w:hAnsi="Arial" w:cs="Arial"/>
                <w:sz w:val="16"/>
                <w:szCs w:val="16"/>
                <w:lang w:val="en-US"/>
              </w:rPr>
              <w:fldChar w:fldCharType="begin"/>
            </w:r>
            <w:r w:rsidRPr="003418D6">
              <w:rPr>
                <w:rFonts w:ascii="Arial" w:hAnsi="Arial" w:cs="Arial"/>
                <w:sz w:val="16"/>
                <w:szCs w:val="16"/>
              </w:rPr>
              <w:instrText xml:space="preserve"> ADDIN ZOTERO_ITEM CSL_CITATION {"citationID":"rv360CAj","properties":{"formattedCitation":"[42]","plainCitation":"[42]","noteIndex":0},"citationItems":[{"id":8057,"uris":["http://zotero.org/users/5097183/items/64KB7EK4"],"uri":["http://zotero.org/users/5097183/items/64KB7EK4"],"itemData":{"id":8057,"type":"article-journal","title":"Increased infections with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use in ischemic stroke, a </w:instrText>
            </w:r>
            <w:r w:rsidRPr="003418D6">
              <w:rPr>
                <w:rFonts w:ascii="Arial" w:hAnsi="Arial" w:cs="Arial"/>
                <w:sz w:val="16"/>
                <w:szCs w:val="16"/>
                <w:lang w:val="en-US"/>
              </w:rPr>
              <w:instrText>β</w:instrText>
            </w:r>
            <w:r w:rsidRPr="003418D6">
              <w:rPr>
                <w:rFonts w:ascii="Arial" w:hAnsi="Arial" w:cs="Arial"/>
                <w:sz w:val="16"/>
                <w:szCs w:val="16"/>
              </w:rPr>
              <w:instrText xml:space="preserve">2-receptor mediated process?","container-title":"Neurological Sciences: Official Journal of the Italian Neurological Society and of the Italian Society of Clinical Neurophysiology","page":"967-974","volume":"38","issue":"6","source":"PubMed","abstract":"Strokes promote immunosuppression, partially from increased sympathetic activity. Altering sympathetic drive with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-blockers has variably been shown to improve stroke outcomes. This study adds to this literature using propensity score matching to limit confounding and by examining the effects of selective and non-selective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-blockers. Prospective data from acute ischemic stroke admissions at a single center from July 2010-June 2015 were analyzed. Outcomes included infection (urinary tract infection [UTI], pneumonia, or bacteremia), discharge modified Rankin Score (mRS), and in-hospital death. Any selective and non-selective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use during the first 3 days of admission were investigated with propensity score matching. A sensitivity analysis was also performed. This study included 1431 admissions. Any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use was associated with increased infections (16.4 vs. 10.7%, p = 0.030). Non-selective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use was associated with increased infections (18.9 vs. 9.7%, p = 0.005) and UTIs (13.0 vs. 5.5%, p = 0.009). Selective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use was not associated with infection. There were no associations between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use and in-hospital death or discharge mRS. In the sensitivity analysis, the association between non-selective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use and urinary tract infections persisted (12.5 vs. 4.2%, p = 0.044). No associations with death or mRS were found. Early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use after ischemic stroke may increase the risk of infection but did not change disability or mortality risk. The mechanism may be mediated by </w:instrText>
            </w:r>
            <w:r w:rsidRPr="003418D6">
              <w:rPr>
                <w:rFonts w:ascii="Arial" w:hAnsi="Arial" w:cs="Arial"/>
                <w:sz w:val="16"/>
                <w:szCs w:val="16"/>
                <w:lang w:val="en-US"/>
              </w:rPr>
              <w:instrText>β</w:instrText>
            </w:r>
            <w:r w:rsidRPr="003418D6">
              <w:rPr>
                <w:rFonts w:ascii="Arial" w:hAnsi="Arial" w:cs="Arial"/>
                <w:sz w:val="16"/>
                <w:szCs w:val="16"/>
              </w:rPr>
              <w:instrText xml:space="preserve">2-adrenergic receptor antagonism given the different effects seen with selective versus non-selective </w:instrText>
            </w:r>
            <w:r w:rsidRPr="003418D6">
              <w:rPr>
                <w:rFonts w:ascii="Arial" w:hAnsi="Arial" w:cs="Arial"/>
                <w:sz w:val="16"/>
                <w:szCs w:val="16"/>
                <w:lang w:val="en-US"/>
              </w:rPr>
              <w:instrText>β</w:instrText>
            </w:r>
            <w:r w:rsidRPr="003418D6">
              <w:rPr>
                <w:rFonts w:ascii="Arial" w:hAnsi="Arial" w:cs="Arial"/>
                <w:sz w:val="16"/>
                <w:szCs w:val="16"/>
              </w:rPr>
              <w:instrText xml:space="preserve">-blocker use.","DOI":"10.1007/s10072-017-2877-x","ISSN":"1590-3478","note":"PMID: 28258316","journalAbbreviation":"Neurol. Sci.","language":"eng","author":[{"family":"Starr","given":"Jordan B."},{"family":"Tirschwell","given":"David L."},{"family":"Becker","given":"Kyra J."}],"issued":{"date-parts":[["2017",6]]}}}],"schema":"https://github.com/citation-style-language/schema/raw/master/csl-citation.json"}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rPr>
              <w:t>[42]</w:t>
            </w:r>
            <w:r w:rsidRPr="003418D6">
              <w:rPr>
                <w:rFonts w:ascii="Arial" w:hAnsi="Arial" w:cs="Arial"/>
                <w:sz w:val="16"/>
                <w:szCs w:val="16"/>
                <w:lang w:val="en-US"/>
              </w:rPr>
              <w:fldChar w:fldCharType="end"/>
            </w:r>
          </w:p>
        </w:tc>
        <w:tc>
          <w:tcPr>
            <w:tcW w:w="1091" w:type="dxa"/>
            <w:tcBorders>
              <w:left w:val="single" w:sz="12" w:space="0" w:color="auto"/>
            </w:tcBorders>
          </w:tcPr>
          <w:p w14:paraId="2D474698"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226BF3DC"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22771312"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4D234C57"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Pr>
          <w:p w14:paraId="5E34854A"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1FEA4000"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78A60ADA"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E3202A" w:rsidRPr="008442F9" w14:paraId="1C8F3B64" w14:textId="77777777" w:rsidTr="007473C4">
        <w:tc>
          <w:tcPr>
            <w:tcW w:w="1406" w:type="dxa"/>
            <w:tcBorders>
              <w:left w:val="single" w:sz="12" w:space="0" w:color="auto"/>
              <w:right w:val="single" w:sz="12" w:space="0" w:color="auto"/>
            </w:tcBorders>
          </w:tcPr>
          <w:p w14:paraId="04B8D7B4" w14:textId="77777777" w:rsidR="00B97BC7" w:rsidRPr="003418D6" w:rsidRDefault="00B97BC7" w:rsidP="001C1082">
            <w:pPr>
              <w:spacing w:line="276" w:lineRule="auto"/>
              <w:rPr>
                <w:rFonts w:ascii="Arial" w:hAnsi="Arial" w:cs="Arial"/>
                <w:sz w:val="16"/>
                <w:szCs w:val="16"/>
              </w:rPr>
            </w:pPr>
            <w:proofErr w:type="spellStart"/>
            <w:r w:rsidRPr="003418D6">
              <w:rPr>
                <w:rFonts w:ascii="Arial" w:hAnsi="Arial" w:cs="Arial"/>
                <w:sz w:val="16"/>
                <w:szCs w:val="16"/>
                <w:lang w:val="en-GB"/>
              </w:rPr>
              <w:t>Eizenberg</w:t>
            </w:r>
            <w:proofErr w:type="spellEnd"/>
            <w:r w:rsidRPr="003418D6">
              <w:rPr>
                <w:rFonts w:ascii="Arial" w:hAnsi="Arial" w:cs="Arial"/>
                <w:sz w:val="16"/>
                <w:szCs w:val="16"/>
                <w:lang w:val="en-GB"/>
              </w:rPr>
              <w:t xml:space="preserve"> Y (2018) </w:t>
            </w:r>
            <w:r w:rsidRPr="003418D6">
              <w:rPr>
                <w:rFonts w:ascii="Arial" w:hAnsi="Arial" w:cs="Arial"/>
                <w:sz w:val="16"/>
                <w:szCs w:val="16"/>
                <w:lang w:val="en-US"/>
              </w:rPr>
              <w:fldChar w:fldCharType="begin"/>
            </w:r>
            <w:r w:rsidRPr="003418D6">
              <w:rPr>
                <w:rFonts w:ascii="Arial" w:hAnsi="Arial" w:cs="Arial"/>
                <w:sz w:val="16"/>
                <w:szCs w:val="16"/>
                <w:lang w:val="en-GB"/>
              </w:rPr>
              <w:instrText xml:space="preserve"> ADDIN ZOTERO_ITEM CSL_CITATION {"citationID":"Wq4VK30x","properties":{"formattedCitation":"[28]","plainCitation":"[28]","noteIndex":0},"citationItems":[{"id":8539,"uris":["http://zotero.org/users/5097183/items/R3JLIRCD"],"uri":["http://zotero.org/users/5097183/items/R3JLIRCD"],"itemData":{"id":8539,"type":"article-journal","title":"Pre admission treatment with Beta-blockers in hypertensive patients with acute stroke and 3-month outcome—Data from a national stroke registry","container-title":"Journal of Clinical Hypertension","page":"568-572","volume":"20","issue":"3","archive":"Scopus","DOI":"10.1111/jch.13211","author":[{"family":"Eizenberg","given":"Y."},{"family":"Grossman","given":"E."},{"family":"Tanne","given":"D."},{"family":"Koton","given":"S."}],"issued":{"date-parts":[["2018"]]}}}],"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[28]</w:t>
            </w:r>
            <w:r w:rsidRPr="003418D6">
              <w:rPr>
                <w:rFonts w:ascii="Arial" w:hAnsi="Arial" w:cs="Arial"/>
                <w:sz w:val="16"/>
                <w:szCs w:val="16"/>
                <w:lang w:val="en-US"/>
              </w:rPr>
              <w:fldChar w:fldCharType="end"/>
            </w:r>
          </w:p>
        </w:tc>
        <w:tc>
          <w:tcPr>
            <w:tcW w:w="1091" w:type="dxa"/>
            <w:tcBorders>
              <w:left w:val="single" w:sz="12" w:space="0" w:color="auto"/>
            </w:tcBorders>
          </w:tcPr>
          <w:p w14:paraId="4237CBFD"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71997A34"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Pr>
          <w:p w14:paraId="27F2202B"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0EC8CE17" w14:textId="77777777" w:rsidR="00B97BC7" w:rsidRPr="003418D6" w:rsidRDefault="007473C4"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c>
          <w:tcPr>
            <w:tcW w:w="1091" w:type="dxa"/>
          </w:tcPr>
          <w:p w14:paraId="4897123C"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66A36561" w14:textId="77777777" w:rsidR="00B97BC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2575356C"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r>
      <w:tr w:rsidR="00E3202A" w:rsidRPr="008442F9" w14:paraId="37D93AC6" w14:textId="77777777" w:rsidTr="007473C4">
        <w:tc>
          <w:tcPr>
            <w:tcW w:w="1406" w:type="dxa"/>
            <w:tcBorders>
              <w:left w:val="single" w:sz="12" w:space="0" w:color="auto"/>
              <w:right w:val="single" w:sz="12" w:space="0" w:color="auto"/>
            </w:tcBorders>
          </w:tcPr>
          <w:p w14:paraId="3DE625EC" w14:textId="77777777" w:rsidR="00B97BC7" w:rsidRPr="003418D6" w:rsidRDefault="00B97BC7" w:rsidP="001C1082">
            <w:pPr>
              <w:spacing w:line="276" w:lineRule="auto"/>
              <w:rPr>
                <w:rFonts w:ascii="Arial" w:hAnsi="Arial" w:cs="Arial"/>
                <w:sz w:val="16"/>
                <w:szCs w:val="16"/>
              </w:rPr>
            </w:pPr>
            <w:r w:rsidRPr="003418D6">
              <w:rPr>
                <w:rFonts w:ascii="Arial" w:hAnsi="Arial" w:cs="Arial"/>
                <w:sz w:val="16"/>
                <w:szCs w:val="16"/>
                <w:lang w:val="en-GB"/>
              </w:rPr>
              <w:t xml:space="preserve">Maier IL (2018) </w:t>
            </w:r>
            <w:r w:rsidRPr="003418D6">
              <w:rPr>
                <w:rFonts w:ascii="Arial" w:hAnsi="Arial" w:cs="Arial"/>
                <w:sz w:val="16"/>
                <w:szCs w:val="16"/>
                <w:lang w:val="en-US"/>
              </w:rPr>
              <w:fldChar w:fldCharType="begin"/>
            </w:r>
            <w:r w:rsidRPr="003418D6">
              <w:rPr>
                <w:rFonts w:ascii="Arial" w:hAnsi="Arial" w:cs="Arial"/>
                <w:sz w:val="16"/>
                <w:szCs w:val="16"/>
                <w:lang w:val="en-GB"/>
              </w:rPr>
              <w:instrText xml:space="preserve"> ADDIN ZOTERO_ITEM CSL_CITATION {"citationID":"U8g93oNQ","properties":{"formattedCitation":"[43]","plainCitation":"[43]","noteIndex":0},"citationItems":[{"id":8025,"uris":["http://zotero.org/users/5097183/items/IW3CNPVZ"],"uri":["http://zotero.org/users/5097183/items/IW3CNPVZ"],"itemData":{"id":8025,"type":"article-journal","title":"Influence of beta-blocker therapy on the risk of infections and death in patients at high risk for stroke induced immunodepression","container-title":"PloS One","page":"e0196174","volume":"13","issue":"4","source":"Pub</w:instrText>
            </w:r>
            <w:r w:rsidRPr="003418D6">
              <w:rPr>
                <w:rFonts w:ascii="Arial" w:hAnsi="Arial" w:cs="Arial"/>
                <w:sz w:val="16"/>
                <w:szCs w:val="16"/>
                <w:lang w:val="en-US"/>
              </w:rPr>
              <w:instrText xml:space="preserve">Med","abstract":"BACKGROUND: Stroke-induced immunodepression is a well characterized complication of acute ischemic stroke. In experimental studies beta-blocker therapy reversed stroke-induced immunodepression, reduced infection rates and mortality. Recent, heterogeneous studies in stroke patients could not provide evidence of a protective effect of beta-blocker therapy. Aim of this study is to investigate the potential preventive effect of beta-blockers in subgroups of patients at high risk for stroke-induced immunodepression.\nMETHODS: Data from a prospectively derived registry of major stroke patients receiving endovascular therapy between 2011-2017 in a tertiary stroke center (University Medical Center Göttingen. Germany) was used. The effect of beta-blocker therapy on pneumonia, urinary tract infection, sepsis and mortality was assessed using multivariate logistic regression analysis.\nRESULTS: Three hundred six patients with a mean age of 72 ± 13 years and a median NIHSS of 16 (IQR 10.75-20) were included. 158 patients (51.6%) had pre-stroke- and continued beta-blocker therapy. Beta-blocker therapy did not reduce the incidence of pneumonia (OR 0.78, 95% CI 0.31-1.92, p = 0.584), urinary tract infections (OR 1.51, 0.88-2.60, p = 0.135), sepsis (OR 0.57, 0.18-1.80, p = 0.334) or mortality (OR 0.59, 0.16-2.17, p = 0.429). Strokes involving the insula and anterio-medial cortex increased the risk for pneumonia (OR 4.55, 2.41-8.56, p&lt;0.001) and sepsis (OR 4.13, 1.81-9.43, p = 0.001), while right hemispheric strokes increased the risk for pneumonia (OR 1.60, 0.92-2.77, p = 0.096). There was a non-significantly increased risk for urinary tract infections in patients with beta-blocker therapy and insula/anterio-medial cortex strokes (OR 3.12, 95% CI 0.88-11.05, p = 0.077) with no effect of beta-blocker therapy on pneumonia, sepsis or mortality in both subgroups.\nCONCLUSIONS: In major ischemic stroke patients, beta-blocker therapy did not lower post-stroke infection rates and was associated with urinary tract infections in a subgroup with insula/anterio-medial strokes.","DOI":"10.1371/journal.pone.0196174","ISSN":"1932-6203","note":"PMID: 29694433\nPMCID: PMC5919008","journalAbbreviation":"PLoS ONE","language":"eng","author":[{"family":"Maier","given":"Ilko L."},{"family":"Becker","given":"Johannes C."},{"family":"Leyhe","given":"Johanna Rosemarie"},{"family":"Schnieder","given":"Marlena"},{"family":"Behme","given":"Daniel"},{"family":"Psychogios","given":"Marios-Nikos"},{"family":"Liman","given":"Jan"}],"issued":{"date-parts":[["2018"]]}}}],"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US"/>
              </w:rPr>
              <w:t>[43]</w:t>
            </w:r>
            <w:r w:rsidRPr="003418D6">
              <w:rPr>
                <w:rFonts w:ascii="Arial" w:hAnsi="Arial" w:cs="Arial"/>
                <w:sz w:val="16"/>
                <w:szCs w:val="16"/>
                <w:lang w:val="en-US"/>
              </w:rPr>
              <w:fldChar w:fldCharType="end"/>
            </w:r>
          </w:p>
        </w:tc>
        <w:tc>
          <w:tcPr>
            <w:tcW w:w="1091" w:type="dxa"/>
            <w:tcBorders>
              <w:left w:val="single" w:sz="12" w:space="0" w:color="auto"/>
            </w:tcBorders>
          </w:tcPr>
          <w:p w14:paraId="4149AA39"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Pr>
          <w:p w14:paraId="42141E3B"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c>
          <w:tcPr>
            <w:tcW w:w="1037" w:type="dxa"/>
          </w:tcPr>
          <w:p w14:paraId="18D888E4"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Pr>
          <w:p w14:paraId="460842EF"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Pr>
          <w:p w14:paraId="45FC95D4"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Pr>
          <w:p w14:paraId="060CB90A"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right w:val="single" w:sz="12" w:space="0" w:color="auto"/>
            </w:tcBorders>
          </w:tcPr>
          <w:p w14:paraId="31237200"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r>
      <w:tr w:rsidR="00E3202A" w:rsidRPr="008442F9" w14:paraId="2B157722" w14:textId="77777777" w:rsidTr="007473C4">
        <w:tc>
          <w:tcPr>
            <w:tcW w:w="1406" w:type="dxa"/>
            <w:tcBorders>
              <w:left w:val="single" w:sz="12" w:space="0" w:color="auto"/>
              <w:bottom w:val="single" w:sz="12" w:space="0" w:color="auto"/>
              <w:right w:val="single" w:sz="12" w:space="0" w:color="auto"/>
            </w:tcBorders>
          </w:tcPr>
          <w:p w14:paraId="23B0906E" w14:textId="77777777" w:rsidR="00B97BC7" w:rsidRPr="003418D6" w:rsidRDefault="00B97BC7" w:rsidP="001C1082">
            <w:pPr>
              <w:spacing w:line="276" w:lineRule="auto"/>
              <w:rPr>
                <w:rFonts w:ascii="Arial" w:hAnsi="Arial" w:cs="Arial"/>
                <w:sz w:val="16"/>
                <w:szCs w:val="16"/>
                <w:lang w:val="en-GB"/>
              </w:rPr>
            </w:pPr>
            <w:r w:rsidRPr="003418D6">
              <w:rPr>
                <w:rFonts w:ascii="Arial" w:hAnsi="Arial" w:cs="Arial"/>
                <w:sz w:val="16"/>
                <w:szCs w:val="16"/>
              </w:rPr>
              <w:t xml:space="preserve">Sykora M (2018)  </w:t>
            </w:r>
            <w:r w:rsidRPr="003418D6">
              <w:rPr>
                <w:rFonts w:ascii="Arial" w:hAnsi="Arial" w:cs="Arial"/>
                <w:sz w:val="16"/>
                <w:szCs w:val="16"/>
                <w:lang w:val="en-US"/>
              </w:rPr>
              <w:fldChar w:fldCharType="begin"/>
            </w:r>
            <w:r w:rsidRPr="003418D6">
              <w:rPr>
                <w:rFonts w:ascii="Arial" w:hAnsi="Arial" w:cs="Arial"/>
                <w:sz w:val="16"/>
                <w:szCs w:val="16"/>
              </w:rPr>
              <w:instrText xml:space="preserve"> ADDIN ZOTERO_ITEM CSL_CITATION {"citationID":"c5IwVRRn","properties":{"formattedCitation":"[44]","plainCitation":"[44]","noteIndex":0},"citationItems":[{"id":7568,"uris":["http://zotero.org/users/5097183/items/GGLBMU3I"],"uri":["http://zotero.</w:instrText>
            </w:r>
            <w:r w:rsidRPr="003418D6">
              <w:rPr>
                <w:rFonts w:ascii="Arial" w:hAnsi="Arial" w:cs="Arial"/>
                <w:sz w:val="16"/>
                <w:szCs w:val="16"/>
                <w:lang w:val="en-US"/>
              </w:rPr>
              <w:instrText xml:space="preserve">org/users/5097183/items/GGLBMU3I"],"itemData":{"id":7568,"type":"article-journal","title":"Beta-blocker therapy is not associated with mortality after intracerebral hemorrhage","container-title":"Acta Neurologica Scandinavica","page":"105-108","volume":"137","issue":"1","source":"PubMed","abstract":"BACKGROUND: Beta-blocker therapy has been suggested to have neuroprotective properties in the setting of acute stroke; however, the evidence is weak and contradictory. We aimed to examine the effects of pre-admission therapy with beta-blockers (BB) on the mortality following spontaneous intracerebral hemorrhage (ICH).\nMETHODS: Retrospective analysis of the Helsinki ICH Study database.\nRESULTS: A total of 1013 patients with ICH were included in the analysis. Patients taking BB were significantly older, had a higher premorbid mRS score, had more DNR orders, and more comorbidities as atrial fibrillation, hypertension, diabetes mellitus, ischemic heart disease, and heart failure. After adjustment for age, pre-existing comorbidities, and prior use of antithrombotic and antihypertensive medications, no differences in in-hospital mortality (OR 1.1, 95% CI 0.8-1.7), 12-month mortality (OR 1.3, 95% CI 0.9-1.9), and 3-month mortality (OR 1.2, 95% CI 0.8-1.7) emerged.\nCONCLUSION: Pre-admission use of BB was not associated with mortality after ICH.","DOI":"10.1111/ane.12817","ISSN":"1600-0404","note":"PMID: 28869294","journalAbbreviation":"Acta Neurol. Scand.","language":"eng","author":[{"family":"Sykora","given":"M."},{"family":"Putaala","given":"J."},{"family":"Meretoja","given":"A."},{"family":"Tatlisumak","given":"T."},{"family":"Strbian","given":"D."}],"issued":{"date-parts":[["2018",1]]}}}],"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US"/>
              </w:rPr>
              <w:t>[44]</w:t>
            </w:r>
            <w:r w:rsidRPr="003418D6">
              <w:rPr>
                <w:rFonts w:ascii="Arial" w:hAnsi="Arial" w:cs="Arial"/>
                <w:sz w:val="16"/>
                <w:szCs w:val="16"/>
                <w:lang w:val="en-US"/>
              </w:rPr>
              <w:fldChar w:fldCharType="end"/>
            </w:r>
          </w:p>
        </w:tc>
        <w:tc>
          <w:tcPr>
            <w:tcW w:w="1091" w:type="dxa"/>
            <w:tcBorders>
              <w:left w:val="single" w:sz="12" w:space="0" w:color="auto"/>
              <w:bottom w:val="single" w:sz="12" w:space="0" w:color="auto"/>
            </w:tcBorders>
          </w:tcPr>
          <w:p w14:paraId="47A17EE9"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 xml:space="preserve">Low risk </w:t>
            </w:r>
          </w:p>
        </w:tc>
        <w:tc>
          <w:tcPr>
            <w:tcW w:w="1144" w:type="dxa"/>
            <w:tcBorders>
              <w:bottom w:val="single" w:sz="12" w:space="0" w:color="auto"/>
            </w:tcBorders>
          </w:tcPr>
          <w:p w14:paraId="198E9E44"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c>
          <w:tcPr>
            <w:tcW w:w="1037" w:type="dxa"/>
            <w:tcBorders>
              <w:bottom w:val="single" w:sz="12" w:space="0" w:color="auto"/>
            </w:tcBorders>
          </w:tcPr>
          <w:p w14:paraId="0F5A6694"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Borders>
              <w:bottom w:val="single" w:sz="12" w:space="0" w:color="auto"/>
            </w:tcBorders>
          </w:tcPr>
          <w:p w14:paraId="1A1E075F"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Not applicable</w:t>
            </w:r>
          </w:p>
        </w:tc>
        <w:tc>
          <w:tcPr>
            <w:tcW w:w="1091" w:type="dxa"/>
            <w:tcBorders>
              <w:bottom w:val="single" w:sz="12" w:space="0" w:color="auto"/>
            </w:tcBorders>
          </w:tcPr>
          <w:p w14:paraId="0D0D858E"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Borders>
              <w:bottom w:val="single" w:sz="12" w:space="0" w:color="auto"/>
            </w:tcBorders>
          </w:tcPr>
          <w:p w14:paraId="5AC95B59"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bottom w:val="single" w:sz="12" w:space="0" w:color="auto"/>
              <w:right w:val="single" w:sz="12" w:space="0" w:color="auto"/>
            </w:tcBorders>
          </w:tcPr>
          <w:p w14:paraId="79C23919"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r>
      <w:tr w:rsidR="00595667" w:rsidRPr="00A405FA" w14:paraId="0E7456E9" w14:textId="77777777" w:rsidTr="007473C4">
        <w:tc>
          <w:tcPr>
            <w:tcW w:w="9072" w:type="dxa"/>
            <w:gridSpan w:val="8"/>
            <w:tcBorders>
              <w:top w:val="single" w:sz="12" w:space="0" w:color="auto"/>
              <w:left w:val="single" w:sz="12" w:space="0" w:color="auto"/>
              <w:bottom w:val="single" w:sz="12" w:space="0" w:color="auto"/>
              <w:right w:val="single" w:sz="12" w:space="0" w:color="auto"/>
            </w:tcBorders>
          </w:tcPr>
          <w:p w14:paraId="71882159" w14:textId="77777777" w:rsidR="00595667" w:rsidRPr="003418D6" w:rsidRDefault="00595667" w:rsidP="001C1082">
            <w:pPr>
              <w:spacing w:line="276" w:lineRule="auto"/>
              <w:rPr>
                <w:rFonts w:ascii="Arial" w:hAnsi="Arial" w:cs="Arial"/>
                <w:sz w:val="16"/>
                <w:szCs w:val="16"/>
                <w:lang w:val="en-US"/>
              </w:rPr>
            </w:pPr>
            <w:r w:rsidRPr="003418D6">
              <w:rPr>
                <w:rFonts w:ascii="Arial" w:hAnsi="Arial" w:cs="Arial"/>
                <w:sz w:val="16"/>
                <w:szCs w:val="16"/>
                <w:lang w:val="en-US"/>
              </w:rPr>
              <w:t xml:space="preserve">SBU´s checklist for observational studies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Dr9pJkMg","properties":{"formattedCitation":"[26]","plainCitation":"[26]","noteIndex":0},"citationItems":[{"id":9071,"uris":["http://zotero.org/users/5097183/items/JXVFDNN5"],"uri":["http://zotero.org/users/5097183/items/JXVFDNN5"],"itemData":{"id":9071,"type":"article","title":"Assessment of methods in health care A handbook","publisher":"Stockholm: Swedish Agency For Health Technology Assessment And Assessment Of Social Services;","URL":"https://www.sbu.se/contentassets/76adf07e270c48efaf67e3b560b7c59c/eng_metodboken.pdf","author":[{"family":"Swedish Agency For Health Technology Assessment And Assessment Of Social Services","given":""}],"issued":{"date-parts":[["2018"]]},"accessed":{"date-parts":[["2018",12,2]]}}}],"schema":"https://github.com/citation-style-language/schema/raw/master/csl-citation.json"}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US"/>
              </w:rPr>
              <w:t>[26]</w:t>
            </w:r>
            <w:r w:rsidRPr="003418D6">
              <w:rPr>
                <w:rFonts w:ascii="Arial" w:hAnsi="Arial" w:cs="Arial"/>
                <w:sz w:val="16"/>
                <w:szCs w:val="16"/>
                <w:lang w:val="en-US"/>
              </w:rPr>
              <w:fldChar w:fldCharType="end"/>
            </w:r>
          </w:p>
        </w:tc>
      </w:tr>
      <w:tr w:rsidR="00E3202A" w:rsidRPr="008442F9" w14:paraId="117714C4" w14:textId="77777777" w:rsidTr="007473C4">
        <w:tc>
          <w:tcPr>
            <w:tcW w:w="1406" w:type="dxa"/>
            <w:tcBorders>
              <w:top w:val="single" w:sz="12" w:space="0" w:color="auto"/>
              <w:left w:val="single" w:sz="12" w:space="0" w:color="auto"/>
              <w:right w:val="single" w:sz="12" w:space="0" w:color="auto"/>
            </w:tcBorders>
          </w:tcPr>
          <w:p w14:paraId="2036DAA0" w14:textId="77777777" w:rsidR="00B97BC7" w:rsidRPr="003418D6" w:rsidRDefault="00B97BC7" w:rsidP="001C1082">
            <w:pPr>
              <w:spacing w:line="276" w:lineRule="auto"/>
              <w:rPr>
                <w:rFonts w:ascii="Arial" w:hAnsi="Arial" w:cs="Arial"/>
                <w:sz w:val="16"/>
                <w:szCs w:val="16"/>
                <w:lang w:val="en-GB"/>
              </w:rPr>
            </w:pPr>
            <w:r w:rsidRPr="003418D6">
              <w:rPr>
                <w:rFonts w:ascii="Arial" w:hAnsi="Arial" w:cs="Arial"/>
                <w:sz w:val="16"/>
                <w:szCs w:val="16"/>
                <w:lang w:val="en-US"/>
              </w:rPr>
              <w:t xml:space="preserve">Barer DH (1988)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9egrKFuy","properties":{"formattedCitation":"[31]","plainCitation":"[31]","noteIndex":0},"citationItems":[{"id":5458,"uris":["http://zotero.org/users/5097183/items/5YXNHF5N"],"uri":["http://zotero.org/users/5097183/items/5YXNHF5N"],"itemData":{"id":5458,"type":"article-journal","title":"Low dose beta blockade in acute stroke (\"BEST\" trial): an evaluation","container-title":"British Medical Journal (Clinical Research Ed.)","page":"737-741","volume":"296","issue":"6624","source":"PubMed","abstract":"The beta blocker stroke (\"BEST\") trial was designed to see if the apparent protective effect of propranolol on cerebral function in patients with subarachnoid haemorrhage applied also to patients suffering from acute stroke. Three hundred and two conscious patients with clinically diagnosed hemispheric strokes sustained within the past 48 hours were randomly assigned to receive atenolol, propranolol, or matching placebo capsules for three weeks. More early deaths occurred among the patients allocated to receive beta blockers, but this was largely explained by differences in the initial characteristics of the patients among the different treatment groups. By contrast, the outcome in a further 60 patients, who had been taking beta blockers at the time of their stroke but were otherwise similar to the patients in the trial, was considerably better, suggesting that prior treatment with beta blockers might be protective. The search for an effective medical treatment for acute stroke must continue. The approach used here, in which neurological outcome was assessed in a modest number of patients with a view to proceeding subsequently to a full scale trial of functional outcome, allows practical benefits of a treatment to be evaluated under realistic conditions and an ineffective treatment to be eliminated without undue cost.","ISSN":"0267-0623","note":"PMID: 3126956\nPMCID: PMC2545364","title-short":"Low dose beta blockade in acute stroke (\"BEST\" trial)","journalAbbreviation":"Br Med J (Clin Res Ed)","language":"eng","author":[{"family":"Barer","given":"D. H."},{"family":"Cruickshank","given":"J. M."},{"family":"Ebrahim","given":"S. B."},{"family":"Mitchell","given":"J. R."}],"issued":{"date-parts":[["1988",3,12]]}}}],"schema":"https://github.com/citation-style-language/schema/raw/master/csl-citation.json"}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rPr>
              <w:t>[31]</w:t>
            </w:r>
            <w:r w:rsidRPr="003418D6">
              <w:rPr>
                <w:rFonts w:ascii="Arial" w:hAnsi="Arial" w:cs="Arial"/>
                <w:sz w:val="16"/>
                <w:szCs w:val="16"/>
                <w:lang w:val="en-US"/>
              </w:rPr>
              <w:fldChar w:fldCharType="end"/>
            </w:r>
          </w:p>
        </w:tc>
        <w:tc>
          <w:tcPr>
            <w:tcW w:w="1091" w:type="dxa"/>
            <w:tcBorders>
              <w:top w:val="single" w:sz="12" w:space="0" w:color="auto"/>
              <w:left w:val="single" w:sz="12" w:space="0" w:color="auto"/>
            </w:tcBorders>
          </w:tcPr>
          <w:p w14:paraId="736DE584"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c>
          <w:tcPr>
            <w:tcW w:w="1144" w:type="dxa"/>
            <w:tcBorders>
              <w:top w:val="single" w:sz="12" w:space="0" w:color="auto"/>
            </w:tcBorders>
          </w:tcPr>
          <w:p w14:paraId="5A0AFE66"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Borders>
              <w:top w:val="single" w:sz="12" w:space="0" w:color="auto"/>
            </w:tcBorders>
          </w:tcPr>
          <w:p w14:paraId="72CE7C39"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Borders>
              <w:top w:val="single" w:sz="12" w:space="0" w:color="auto"/>
            </w:tcBorders>
          </w:tcPr>
          <w:p w14:paraId="7680897F"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c>
          <w:tcPr>
            <w:tcW w:w="1091" w:type="dxa"/>
            <w:tcBorders>
              <w:top w:val="single" w:sz="12" w:space="0" w:color="auto"/>
            </w:tcBorders>
          </w:tcPr>
          <w:p w14:paraId="3C27B177"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Borders>
              <w:top w:val="single" w:sz="12" w:space="0" w:color="auto"/>
            </w:tcBorders>
          </w:tcPr>
          <w:p w14:paraId="59D00476"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top w:val="single" w:sz="12" w:space="0" w:color="auto"/>
              <w:right w:val="single" w:sz="12" w:space="0" w:color="auto"/>
            </w:tcBorders>
          </w:tcPr>
          <w:p w14:paraId="1C4801BB" w14:textId="77777777" w:rsidR="00B97BC7" w:rsidRPr="003418D6" w:rsidRDefault="007473C4"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r>
      <w:tr w:rsidR="00E3202A" w:rsidRPr="00A405FA" w14:paraId="7BF20B7C" w14:textId="77777777" w:rsidTr="007473C4">
        <w:tc>
          <w:tcPr>
            <w:tcW w:w="1406" w:type="dxa"/>
            <w:tcBorders>
              <w:left w:val="single" w:sz="12" w:space="0" w:color="auto"/>
              <w:bottom w:val="single" w:sz="12" w:space="0" w:color="auto"/>
              <w:right w:val="single" w:sz="12" w:space="0" w:color="auto"/>
            </w:tcBorders>
          </w:tcPr>
          <w:p w14:paraId="20644EAA" w14:textId="77777777" w:rsidR="00B97BC7" w:rsidRPr="003418D6" w:rsidRDefault="00B97BC7" w:rsidP="001C1082">
            <w:pPr>
              <w:spacing w:line="276" w:lineRule="auto"/>
              <w:rPr>
                <w:rFonts w:ascii="Arial" w:hAnsi="Arial" w:cs="Arial"/>
                <w:sz w:val="16"/>
                <w:szCs w:val="16"/>
                <w:lang w:val="en-US"/>
              </w:rPr>
            </w:pPr>
            <w:r w:rsidRPr="003418D6">
              <w:rPr>
                <w:rFonts w:ascii="Arial" w:hAnsi="Arial" w:cs="Arial"/>
                <w:sz w:val="16"/>
                <w:szCs w:val="16"/>
                <w:lang w:val="en-US"/>
              </w:rPr>
              <w:t xml:space="preserve">Potter J (2009) </w:t>
            </w:r>
            <w:r w:rsidRPr="003418D6">
              <w:rPr>
                <w:rFonts w:ascii="Arial" w:hAnsi="Arial" w:cs="Arial"/>
                <w:sz w:val="16"/>
                <w:szCs w:val="16"/>
                <w:lang w:val="en-US"/>
              </w:rPr>
              <w:fldChar w:fldCharType="begin"/>
            </w:r>
            <w:r w:rsidRPr="003418D6">
              <w:rPr>
                <w:rFonts w:ascii="Arial" w:hAnsi="Arial" w:cs="Arial"/>
                <w:sz w:val="16"/>
                <w:szCs w:val="16"/>
                <w:lang w:val="en-US"/>
              </w:rPr>
              <w:instrText xml:space="preserve"> ADDIN ZOTERO_ITEM CSL_CITATION {"citationID":"Ojd3FACv","properties":{"formattedCitation":"[33]","plainCitation":"[33]","noteIndex":0},"citationItems":[{"id":7673,"uris":["http://zotero.org/users/5097183/items/AS3HVG82"],"uri":["http://zotero.org/users/5097183/items/AS3HVG82"],"itemData":{"id":7673,"type":"article-journal","title":"Controlling hypertension and hypotension immediately post stroke (CHHIPS)--a randomised controlled trial","container-title":"Health Technology Assessment (Winchester, England)","page":"iii, ix-xi, 1-73","volume":"13","issue":"9","source":"PubMed","abstract":"OBJECTIVES: To assess the effects of acute pressor and depressor blood pressure (BP) manipulation on 2-week death and dependency following acute stroke and investigate the safety and efficacy of such treatments.\nDESIGN: A multicentre, prospective, randomised, double-blind, placebo-controlled titrated-dose trial.\nSETTING: Five hospitals in England.\nPARTICIPANTS: Patients over 18 years admitted to hospital with a clinical diagnosis of suspected stroke and either (1) symptom onset &lt; 36 hours and hypertension, defined as systolic BP (SBP) &lt; 160 mmHg (depressor arm), or (2) symptom onset &lt; 12 hours and hypotension, defined as SBP &lt; or = 140 mmHg (pressor arm).\nINTERVENTIONS: Patients were allocated to either the pressor or the depressor arm depending on blood pressure at randomisation. The ratio of allocation to active intervention versus matched placebo was 2:1 for the depressor arm and 1:1 for the pressor arm.\nMAIN OUTCOME MEASURES: The primary end point was death and dependency at 2 weeks, with dependency defined as a modified Rankin score &lt; 3. Secondary end points were the safety of acute pressor (0-12 hours post stroke) and depressor (0-36 hours post stroke) BP manipulation in stroke patients; whether effects of BP reduction are influenced by stroke type (ischaemic versus haemorrhagic); whether alternative routes for administration of antihypertensive therapy (including sublingual and intravenous) are effective in dysphagic stroke patients; whether effects of BP manipulation are influenced by the time to treatment; and the short- and medium-term cost-effectiveness of such therapy in the acute post-stroke period on subsequent disability or death.\nRESULTS: 180 patients were recruited over the 36-month trial period, 179 in the depressor arm and one in the pressor arm (who received placebo). No significant difference was found in death or dependency at 2 weeks between those receiving active depressor treatment with lisinopril or labetalol and those receiving placebo, although numbers recruited to the trial were lower than projected. Active treatment was not associated with an increase in early neurological deterioration despite significantly greater reductions in BP at 24 hours and 2 weeks with active therapy compared with placebo. Active treatment was generally well tolerated and treatment discontinuation rates were similar in active and placebo groups. Survival analysis showed that the active treatment group had a lower mortality at 3 months than the placebo group (p = 0.05). The pressor arm was closed early because of problems with recruitment, so no conclusions can be drawn regarding this therapy.\nCONCLUSIONS: Oral and sublingual lisinopril and oral and intravenous labetalol are effective BP-lowering agents in acute cerebral infarction and haemorrhage and do not increase the likelihood of early neurological deterioration. The study was not sufficiently powered to detect a difference in disability or death at 2 weeks. However, the 3-month difference in mortality in favour of active treatment is of interest, although care must be taken in interpretation of the results. Further work is needed to confirm this and to assess whether there are differences in the effectiveness of labetalol compared with lisinopril in terms of reducing death or dependency after acute stroke, and whether the introduction of treatment post stroke earlier than was achieved here would be of greater benefit.","DOI":"10.3310/hta13090","ISSN":"2046-4924","note":"PMID: 19208305","journalAbbreviation":"Health Technol Assess","language":"eng","author":[{"family":"Potter","given":"J."},{"family":"Mistri","given":"A."},{"family":"Brodie","given":"F."},{"family":"Chernova","given":"J."},{"family":"Wilson","given":"E."},{"family":"Jagger","given":"C."},{"family":"James","given":"M."},{"family":"Ford","given":"G."},{"family":"Robinson","given":"T."}],"issued":{"date-parts":[["2009",1]]}}}],"schema":"https://github.com/citation-style-language/schema/raw/master/csl-citation.json"} </w:instrText>
            </w:r>
            <w:r w:rsidRPr="003418D6">
              <w:rPr>
                <w:rFonts w:ascii="Arial" w:hAnsi="Arial" w:cs="Arial"/>
                <w:sz w:val="16"/>
                <w:szCs w:val="16"/>
                <w:lang w:val="en-US"/>
              </w:rPr>
              <w:fldChar w:fldCharType="separate"/>
            </w:r>
            <w:r w:rsidRPr="003418D6">
              <w:rPr>
                <w:rFonts w:ascii="Arial" w:hAnsi="Arial" w:cs="Arial"/>
                <w:sz w:val="16"/>
                <w:szCs w:val="16"/>
                <w:lang w:val="en-GB"/>
              </w:rPr>
              <w:t>[33]</w:t>
            </w:r>
            <w:r w:rsidRPr="003418D6">
              <w:rPr>
                <w:rFonts w:ascii="Arial" w:hAnsi="Arial" w:cs="Arial"/>
                <w:sz w:val="16"/>
                <w:szCs w:val="16"/>
                <w:lang w:val="en-US"/>
              </w:rPr>
              <w:fldChar w:fldCharType="end"/>
            </w:r>
          </w:p>
        </w:tc>
        <w:tc>
          <w:tcPr>
            <w:tcW w:w="1091" w:type="dxa"/>
            <w:tcBorders>
              <w:left w:val="single" w:sz="12" w:space="0" w:color="auto"/>
              <w:bottom w:val="single" w:sz="12" w:space="0" w:color="auto"/>
            </w:tcBorders>
          </w:tcPr>
          <w:p w14:paraId="432A90B9"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144" w:type="dxa"/>
            <w:tcBorders>
              <w:bottom w:val="single" w:sz="12" w:space="0" w:color="auto"/>
            </w:tcBorders>
          </w:tcPr>
          <w:p w14:paraId="52FECF30"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37" w:type="dxa"/>
            <w:tcBorders>
              <w:bottom w:val="single" w:sz="12" w:space="0" w:color="auto"/>
            </w:tcBorders>
          </w:tcPr>
          <w:p w14:paraId="145F574E"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317" w:type="dxa"/>
            <w:tcBorders>
              <w:bottom w:val="single" w:sz="12" w:space="0" w:color="auto"/>
            </w:tcBorders>
          </w:tcPr>
          <w:p w14:paraId="28A51046"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M</w:t>
            </w:r>
            <w:r w:rsidR="007473C4" w:rsidRPr="003418D6">
              <w:rPr>
                <w:rFonts w:ascii="Arial" w:hAnsi="Arial" w:cs="Arial"/>
                <w:sz w:val="16"/>
                <w:szCs w:val="16"/>
                <w:lang w:val="en-US"/>
              </w:rPr>
              <w:t>oderate</w:t>
            </w:r>
            <w:r w:rsidRPr="003418D6">
              <w:rPr>
                <w:rFonts w:ascii="Arial" w:hAnsi="Arial" w:cs="Arial"/>
                <w:sz w:val="16"/>
                <w:szCs w:val="16"/>
                <w:lang w:val="en-US"/>
              </w:rPr>
              <w:t xml:space="preserve"> risk</w:t>
            </w:r>
          </w:p>
        </w:tc>
        <w:tc>
          <w:tcPr>
            <w:tcW w:w="1091" w:type="dxa"/>
            <w:tcBorders>
              <w:bottom w:val="single" w:sz="12" w:space="0" w:color="auto"/>
            </w:tcBorders>
          </w:tcPr>
          <w:p w14:paraId="5F6E051A"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895" w:type="dxa"/>
            <w:tcBorders>
              <w:bottom w:val="single" w:sz="12" w:space="0" w:color="auto"/>
            </w:tcBorders>
          </w:tcPr>
          <w:p w14:paraId="1AC68EB7" w14:textId="77777777" w:rsidR="00B97BC7" w:rsidRPr="003418D6" w:rsidRDefault="00E3202A" w:rsidP="001C1082">
            <w:pPr>
              <w:spacing w:line="276" w:lineRule="auto"/>
              <w:rPr>
                <w:rFonts w:ascii="Arial" w:hAnsi="Arial" w:cs="Arial"/>
                <w:sz w:val="16"/>
                <w:szCs w:val="16"/>
                <w:lang w:val="en-US"/>
              </w:rPr>
            </w:pPr>
            <w:r w:rsidRPr="003418D6">
              <w:rPr>
                <w:rFonts w:ascii="Arial" w:hAnsi="Arial" w:cs="Arial"/>
                <w:sz w:val="16"/>
                <w:szCs w:val="16"/>
                <w:lang w:val="en-US"/>
              </w:rPr>
              <w:t>Low risk</w:t>
            </w:r>
          </w:p>
        </w:tc>
        <w:tc>
          <w:tcPr>
            <w:tcW w:w="1091" w:type="dxa"/>
            <w:tcBorders>
              <w:bottom w:val="single" w:sz="12" w:space="0" w:color="auto"/>
              <w:right w:val="single" w:sz="12" w:space="0" w:color="auto"/>
            </w:tcBorders>
          </w:tcPr>
          <w:p w14:paraId="4E5DB4E8" w14:textId="77777777" w:rsidR="00B97BC7" w:rsidRPr="003418D6" w:rsidRDefault="007473C4" w:rsidP="001C1082">
            <w:pPr>
              <w:spacing w:line="276" w:lineRule="auto"/>
              <w:rPr>
                <w:rFonts w:ascii="Arial" w:hAnsi="Arial" w:cs="Arial"/>
                <w:sz w:val="16"/>
                <w:szCs w:val="16"/>
                <w:lang w:val="en-US"/>
              </w:rPr>
            </w:pPr>
            <w:r w:rsidRPr="003418D6">
              <w:rPr>
                <w:rFonts w:ascii="Arial" w:hAnsi="Arial" w:cs="Arial"/>
                <w:sz w:val="16"/>
                <w:szCs w:val="16"/>
                <w:lang w:val="en-US"/>
              </w:rPr>
              <w:t>Moderate risk</w:t>
            </w:r>
          </w:p>
        </w:tc>
      </w:tr>
      <w:tr w:rsidR="00B97BC7" w:rsidRPr="00A405FA" w14:paraId="5AEBCE9F" w14:textId="77777777" w:rsidTr="00595667">
        <w:tc>
          <w:tcPr>
            <w:tcW w:w="9072" w:type="dxa"/>
            <w:gridSpan w:val="8"/>
            <w:tcBorders>
              <w:top w:val="single" w:sz="12" w:space="0" w:color="auto"/>
              <w:left w:val="nil"/>
              <w:bottom w:val="nil"/>
              <w:right w:val="nil"/>
            </w:tcBorders>
          </w:tcPr>
          <w:p w14:paraId="0FAF80C5" w14:textId="77777777" w:rsidR="00B97BC7" w:rsidRPr="003418D6" w:rsidRDefault="00B97BC7" w:rsidP="001C1082">
            <w:pPr>
              <w:spacing w:line="276" w:lineRule="auto"/>
              <w:rPr>
                <w:rFonts w:ascii="Arial" w:hAnsi="Arial" w:cs="Arial"/>
                <w:sz w:val="16"/>
                <w:szCs w:val="16"/>
                <w:lang w:val="en-US"/>
              </w:rPr>
            </w:pPr>
            <w:r w:rsidRPr="003418D6">
              <w:rPr>
                <w:rFonts w:ascii="Arial" w:hAnsi="Arial" w:cs="Arial"/>
                <w:sz w:val="16"/>
                <w:szCs w:val="16"/>
                <w:lang w:val="en-US"/>
              </w:rPr>
              <w:t xml:space="preserve">SBU - Swedish Agency </w:t>
            </w:r>
            <w:proofErr w:type="gramStart"/>
            <w:r w:rsidRPr="003418D6">
              <w:rPr>
                <w:rFonts w:ascii="Arial" w:hAnsi="Arial" w:cs="Arial"/>
                <w:sz w:val="16"/>
                <w:szCs w:val="16"/>
                <w:lang w:val="en-US"/>
              </w:rPr>
              <w:t>For</w:t>
            </w:r>
            <w:proofErr w:type="gramEnd"/>
            <w:r w:rsidRPr="003418D6">
              <w:rPr>
                <w:rFonts w:ascii="Arial" w:hAnsi="Arial" w:cs="Arial"/>
                <w:sz w:val="16"/>
                <w:szCs w:val="16"/>
                <w:lang w:val="en-US"/>
              </w:rPr>
              <w:t xml:space="preserve"> Health Technology Assessment And Assessment Of Social Services</w:t>
            </w:r>
          </w:p>
        </w:tc>
      </w:tr>
    </w:tbl>
    <w:p w14:paraId="2362876D" w14:textId="77777777" w:rsidR="009C6946" w:rsidRDefault="009C6946" w:rsidP="009C6946">
      <w:pPr>
        <w:rPr>
          <w:lang w:val="en-US"/>
        </w:rPr>
      </w:pPr>
    </w:p>
    <w:p w14:paraId="15F21606" w14:textId="77777777" w:rsidR="008442F9" w:rsidRPr="009C6946" w:rsidRDefault="008442F9" w:rsidP="009C6946">
      <w:pPr>
        <w:rPr>
          <w:rFonts w:ascii="Arial" w:hAnsi="Arial" w:cs="Arial"/>
          <w:lang w:val="en-US"/>
        </w:rPr>
      </w:pPr>
    </w:p>
    <w:p w14:paraId="0343AB37" w14:textId="77777777" w:rsidR="00A405FA" w:rsidRDefault="00A405FA" w:rsidP="001C1082">
      <w:pPr>
        <w:spacing w:line="276" w:lineRule="auto"/>
        <w:rPr>
          <w:rFonts w:ascii="Arial" w:hAnsi="Arial" w:cs="Arial"/>
          <w:bCs/>
          <w:lang w:val="en-US"/>
        </w:rPr>
      </w:pPr>
      <w:r>
        <w:rPr>
          <w:rFonts w:ascii="Arial" w:hAnsi="Arial" w:cs="Arial"/>
          <w:bCs/>
          <w:noProof/>
          <w:lang w:val="en-US"/>
        </w:rPr>
        <w:drawing>
          <wp:inline distT="0" distB="0" distL="0" distR="0" wp14:anchorId="25FD25A1" wp14:editId="7B996568">
            <wp:extent cx="5029200" cy="36576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7_ne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560C17F3" w14:textId="77777777" w:rsidR="001C1082" w:rsidRDefault="001C1082" w:rsidP="001C1082">
      <w:pPr>
        <w:spacing w:line="276" w:lineRule="auto"/>
        <w:rPr>
          <w:rFonts w:ascii="Arial" w:hAnsi="Arial" w:cs="Arial"/>
          <w:lang w:val="en-US"/>
        </w:rPr>
      </w:pPr>
      <w:r w:rsidRPr="007B6967">
        <w:rPr>
          <w:rFonts w:ascii="Arial" w:hAnsi="Arial" w:cs="Arial"/>
          <w:bCs/>
          <w:lang w:val="en-US"/>
        </w:rPr>
        <w:t>FIGURE S</w:t>
      </w:r>
      <w:r w:rsidR="009A5BD9">
        <w:rPr>
          <w:rFonts w:ascii="Arial" w:hAnsi="Arial" w:cs="Arial"/>
          <w:bCs/>
          <w:lang w:val="en-US"/>
        </w:rPr>
        <w:t>1</w:t>
      </w:r>
      <w:r w:rsidRPr="007B6967">
        <w:rPr>
          <w:rFonts w:ascii="Arial" w:hAnsi="Arial" w:cs="Arial"/>
          <w:bCs/>
          <w:lang w:val="en-US"/>
        </w:rPr>
        <w:t>.</w:t>
      </w:r>
      <w:r w:rsidRPr="008442F9">
        <w:rPr>
          <w:rFonts w:ascii="Arial" w:hAnsi="Arial" w:cs="Arial"/>
          <w:lang w:val="en-US"/>
        </w:rPr>
        <w:t xml:space="preserve"> Funnel plot visualizing the risk of publication bias among the studies presenting adjusted (for stroke severity and age) rate ratio (RR) for the outcome on mortality. </w:t>
      </w:r>
    </w:p>
    <w:p w14:paraId="28FF9D3F" w14:textId="77777777" w:rsidR="00A405FA" w:rsidRDefault="00A405FA" w:rsidP="001C1082">
      <w:pPr>
        <w:spacing w:line="276" w:lineRule="auto"/>
        <w:rPr>
          <w:rFonts w:ascii="Arial" w:hAnsi="Arial" w:cs="Arial"/>
          <w:lang w:val="en-US"/>
        </w:rPr>
      </w:pPr>
    </w:p>
    <w:p w14:paraId="71404DCE" w14:textId="77777777" w:rsidR="00A405FA" w:rsidRPr="009C6946" w:rsidRDefault="00A405FA" w:rsidP="001C1082">
      <w:pPr>
        <w:spacing w:line="276" w:lineRule="auto"/>
        <w:rPr>
          <w:rFonts w:ascii="Arial" w:hAnsi="Arial" w:cs="Arial"/>
          <w:lang w:val="en-US"/>
        </w:rPr>
      </w:pPr>
      <w:r>
        <w:rPr>
          <w:rFonts w:ascii="Arial" w:hAnsi="Arial" w:cs="Arial"/>
          <w:noProof/>
          <w:lang w:val="en-US"/>
        </w:rPr>
        <w:drawing>
          <wp:inline distT="0" distB="0" distL="0" distR="0" wp14:anchorId="46D43167" wp14:editId="5578288A">
            <wp:extent cx="5029200" cy="36576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8_ne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4AF5C275" w14:textId="77777777" w:rsidR="000A4EA7" w:rsidRDefault="001C1082" w:rsidP="001C1082">
      <w:pPr>
        <w:spacing w:line="276" w:lineRule="auto"/>
        <w:rPr>
          <w:rFonts w:ascii="Arial" w:hAnsi="Arial" w:cs="Arial"/>
          <w:lang w:val="en-US"/>
        </w:rPr>
      </w:pPr>
      <w:r w:rsidRPr="007B6967">
        <w:rPr>
          <w:rFonts w:ascii="Arial" w:hAnsi="Arial" w:cs="Arial"/>
          <w:bCs/>
          <w:lang w:val="en-US"/>
        </w:rPr>
        <w:t>FIGURE S</w:t>
      </w:r>
      <w:r w:rsidR="009A5BD9">
        <w:rPr>
          <w:rFonts w:ascii="Arial" w:hAnsi="Arial" w:cs="Arial"/>
          <w:bCs/>
          <w:lang w:val="en-US"/>
        </w:rPr>
        <w:t>2</w:t>
      </w:r>
      <w:r w:rsidR="007B6967" w:rsidRPr="007B6967">
        <w:rPr>
          <w:rFonts w:ascii="Arial" w:hAnsi="Arial" w:cs="Arial"/>
          <w:bCs/>
          <w:lang w:val="en-US"/>
        </w:rPr>
        <w:t>.</w:t>
      </w:r>
      <w:r w:rsidRPr="008442F9">
        <w:rPr>
          <w:rFonts w:ascii="Arial" w:hAnsi="Arial" w:cs="Arial"/>
          <w:lang w:val="en-US"/>
        </w:rPr>
        <w:t xml:space="preserve"> </w:t>
      </w:r>
      <w:bookmarkStart w:id="4" w:name="_Hlk57821750"/>
      <w:r w:rsidRPr="008442F9">
        <w:rPr>
          <w:rFonts w:ascii="Arial" w:hAnsi="Arial" w:cs="Arial"/>
          <w:lang w:val="en-US"/>
        </w:rPr>
        <w:t>Funnel plot visualizing the risk of publication bias among the studies analyzed for the mortality outcome, rate ratio (RR).</w:t>
      </w:r>
      <w:bookmarkEnd w:id="4"/>
    </w:p>
    <w:p w14:paraId="5131EEA0" w14:textId="77777777" w:rsidR="00A405FA" w:rsidRDefault="00A405FA" w:rsidP="00A71CCC">
      <w:pPr>
        <w:spacing w:line="276" w:lineRule="auto"/>
        <w:rPr>
          <w:rFonts w:ascii="Arial" w:hAnsi="Arial" w:cs="Arial"/>
          <w:lang w:val="en-US"/>
        </w:rPr>
      </w:pPr>
    </w:p>
    <w:p w14:paraId="039C4E17" w14:textId="77777777" w:rsidR="00A405FA" w:rsidRDefault="00A405FA" w:rsidP="00A71CCC">
      <w:pPr>
        <w:spacing w:line="276" w:lineRule="auto"/>
        <w:rPr>
          <w:rFonts w:ascii="Arial" w:hAnsi="Arial" w:cs="Arial"/>
          <w:lang w:val="en-US"/>
        </w:rPr>
      </w:pPr>
      <w:r>
        <w:rPr>
          <w:rFonts w:ascii="Arial" w:hAnsi="Arial" w:cs="Arial"/>
          <w:noProof/>
          <w:lang w:val="en-US"/>
        </w:rPr>
        <w:drawing>
          <wp:inline distT="0" distB="0" distL="0" distR="0" wp14:anchorId="7DB81417" wp14:editId="19E7AE05">
            <wp:extent cx="5760720" cy="576072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ujat_for_Figur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E6C734B" w14:textId="77777777" w:rsidR="00A71CCC" w:rsidRDefault="00A71CCC" w:rsidP="00A71CCC">
      <w:pPr>
        <w:spacing w:line="276" w:lineRule="auto"/>
        <w:rPr>
          <w:rFonts w:ascii="Arial" w:hAnsi="Arial" w:cs="Arial"/>
          <w:lang w:val="en-US"/>
        </w:rPr>
      </w:pPr>
      <w:r>
        <w:rPr>
          <w:rFonts w:ascii="Arial" w:hAnsi="Arial" w:cs="Arial"/>
          <w:lang w:val="en-US"/>
        </w:rPr>
        <w:t>Figure S</w:t>
      </w:r>
      <w:r w:rsidR="009A5BD9">
        <w:rPr>
          <w:rFonts w:ascii="Arial" w:hAnsi="Arial" w:cs="Arial"/>
          <w:lang w:val="en-US"/>
        </w:rPr>
        <w:t>3</w:t>
      </w:r>
      <w:r>
        <w:rPr>
          <w:rFonts w:ascii="Arial" w:hAnsi="Arial" w:cs="Arial"/>
          <w:lang w:val="en-US"/>
        </w:rPr>
        <w:t xml:space="preserve">. </w:t>
      </w:r>
      <w:proofErr w:type="spellStart"/>
      <w:r>
        <w:rPr>
          <w:rFonts w:ascii="Arial" w:hAnsi="Arial" w:cs="Arial"/>
          <w:lang w:val="en-US"/>
        </w:rPr>
        <w:t>Baujat</w:t>
      </w:r>
      <w:proofErr w:type="spellEnd"/>
      <w:r>
        <w:rPr>
          <w:rFonts w:ascii="Arial" w:hAnsi="Arial" w:cs="Arial"/>
          <w:lang w:val="en-US"/>
        </w:rPr>
        <w:t xml:space="preserve"> plot demonstrating the source of heterogeneity among the studies </w:t>
      </w:r>
      <w:r w:rsidRPr="008442F9">
        <w:rPr>
          <w:rFonts w:ascii="Arial" w:hAnsi="Arial" w:cs="Arial"/>
          <w:lang w:val="en-US"/>
        </w:rPr>
        <w:t>presenting adjusted (for stroke severity and age)</w:t>
      </w:r>
      <w:r>
        <w:rPr>
          <w:rFonts w:ascii="Arial" w:hAnsi="Arial" w:cs="Arial"/>
          <w:lang w:val="en-US"/>
        </w:rPr>
        <w:t>.</w:t>
      </w:r>
    </w:p>
    <w:p w14:paraId="418FBACB" w14:textId="77777777" w:rsidR="00A405FA" w:rsidRDefault="00A405FA" w:rsidP="00A71CCC">
      <w:pPr>
        <w:spacing w:line="276" w:lineRule="auto"/>
        <w:rPr>
          <w:rFonts w:ascii="Arial" w:hAnsi="Arial" w:cs="Arial"/>
          <w:lang w:val="en-US"/>
        </w:rPr>
      </w:pPr>
    </w:p>
    <w:p w14:paraId="41FDE094" w14:textId="77777777" w:rsidR="00A405FA" w:rsidRDefault="00A405FA" w:rsidP="00A71CCC">
      <w:pPr>
        <w:spacing w:line="276" w:lineRule="auto"/>
        <w:rPr>
          <w:rFonts w:ascii="Arial" w:hAnsi="Arial" w:cs="Arial"/>
          <w:lang w:val="en-US"/>
        </w:rPr>
      </w:pPr>
      <w:r>
        <w:rPr>
          <w:rFonts w:ascii="Arial" w:hAnsi="Arial" w:cs="Arial"/>
          <w:noProof/>
          <w:lang w:val="en-US"/>
        </w:rPr>
        <w:drawing>
          <wp:inline distT="0" distB="0" distL="0" distR="0" wp14:anchorId="680BAC70" wp14:editId="22E32E7D">
            <wp:extent cx="5760720" cy="576072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ujat_for_Figur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39D57A5" w14:textId="77777777" w:rsidR="00A71CCC" w:rsidRDefault="00A71CCC" w:rsidP="00A71CCC">
      <w:pPr>
        <w:spacing w:line="276" w:lineRule="auto"/>
        <w:rPr>
          <w:rFonts w:ascii="Arial" w:hAnsi="Arial" w:cs="Arial"/>
          <w:lang w:val="en-US"/>
        </w:rPr>
      </w:pPr>
      <w:r>
        <w:rPr>
          <w:rFonts w:ascii="Arial" w:hAnsi="Arial" w:cs="Arial"/>
          <w:lang w:val="en-US"/>
        </w:rPr>
        <w:t>Figure S</w:t>
      </w:r>
      <w:r w:rsidR="009A5BD9">
        <w:rPr>
          <w:rFonts w:ascii="Arial" w:hAnsi="Arial" w:cs="Arial"/>
          <w:lang w:val="en-US"/>
        </w:rPr>
        <w:t>4</w:t>
      </w:r>
      <w:r>
        <w:rPr>
          <w:rFonts w:ascii="Arial" w:hAnsi="Arial" w:cs="Arial"/>
          <w:lang w:val="en-US"/>
        </w:rPr>
        <w:t xml:space="preserve">. </w:t>
      </w:r>
      <w:proofErr w:type="spellStart"/>
      <w:r>
        <w:rPr>
          <w:rFonts w:ascii="Arial" w:hAnsi="Arial" w:cs="Arial"/>
          <w:lang w:val="en-US"/>
        </w:rPr>
        <w:t>Baujat</w:t>
      </w:r>
      <w:proofErr w:type="spellEnd"/>
      <w:r>
        <w:rPr>
          <w:rFonts w:ascii="Arial" w:hAnsi="Arial" w:cs="Arial"/>
          <w:lang w:val="en-US"/>
        </w:rPr>
        <w:t xml:space="preserve"> plot demonstrating the source of heterogeneity among the studies analyzed for the mortality outcome. </w:t>
      </w:r>
    </w:p>
    <w:p w14:paraId="06383288" w14:textId="77777777" w:rsidR="00A405FA" w:rsidRDefault="00A405FA" w:rsidP="00C14EFA">
      <w:pPr>
        <w:spacing w:line="276" w:lineRule="auto"/>
        <w:rPr>
          <w:rFonts w:ascii="Arial" w:hAnsi="Arial" w:cs="Arial"/>
          <w:lang w:val="en-US"/>
        </w:rPr>
      </w:pPr>
    </w:p>
    <w:p w14:paraId="34F739DD" w14:textId="77777777" w:rsidR="00A405FA" w:rsidRDefault="00A405FA" w:rsidP="00C14EFA">
      <w:pPr>
        <w:spacing w:line="276" w:lineRule="auto"/>
        <w:rPr>
          <w:rFonts w:ascii="Arial" w:hAnsi="Arial" w:cs="Arial"/>
          <w:lang w:val="en-US"/>
        </w:rPr>
      </w:pPr>
      <w:r>
        <w:rPr>
          <w:rFonts w:ascii="Arial" w:hAnsi="Arial" w:cs="Arial"/>
          <w:noProof/>
          <w:lang w:val="en-US"/>
        </w:rPr>
        <w:drawing>
          <wp:inline distT="0" distB="0" distL="0" distR="0" wp14:anchorId="007B372C" wp14:editId="12004A96">
            <wp:extent cx="5760720" cy="5760720"/>
            <wp:effectExtent l="0" t="0" r="0" b="0"/>
            <wp:docPr id="5" name="Bildobjekt 5"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o_for_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B739E71" w14:textId="77777777" w:rsidR="00C14EFA" w:rsidRDefault="00C14EFA" w:rsidP="00C14EFA">
      <w:pPr>
        <w:spacing w:line="276" w:lineRule="auto"/>
        <w:rPr>
          <w:rFonts w:ascii="Arial" w:hAnsi="Arial" w:cs="Arial"/>
          <w:lang w:val="en-US"/>
        </w:rPr>
      </w:pPr>
      <w:r>
        <w:rPr>
          <w:rFonts w:ascii="Arial" w:hAnsi="Arial" w:cs="Arial"/>
          <w:lang w:val="en-US"/>
        </w:rPr>
        <w:t>Figure S</w:t>
      </w:r>
      <w:r w:rsidR="009A5BD9">
        <w:rPr>
          <w:rFonts w:ascii="Arial" w:hAnsi="Arial" w:cs="Arial"/>
          <w:lang w:val="en-US"/>
        </w:rPr>
        <w:t>5</w:t>
      </w:r>
      <w:r w:rsidR="007B6967">
        <w:rPr>
          <w:rFonts w:ascii="Arial" w:hAnsi="Arial" w:cs="Arial"/>
          <w:lang w:val="en-US"/>
        </w:rPr>
        <w:t>.</w:t>
      </w:r>
      <w:r>
        <w:rPr>
          <w:rFonts w:ascii="Arial" w:hAnsi="Arial" w:cs="Arial"/>
          <w:lang w:val="en-US"/>
        </w:rPr>
        <w:t xml:space="preserve"> LOO (</w:t>
      </w:r>
      <w:proofErr w:type="spellStart"/>
      <w:r>
        <w:rPr>
          <w:rFonts w:ascii="Arial" w:hAnsi="Arial" w:cs="Arial"/>
          <w:lang w:val="en-US"/>
        </w:rPr>
        <w:t>leave_one_out</w:t>
      </w:r>
      <w:proofErr w:type="spellEnd"/>
      <w:r>
        <w:rPr>
          <w:rFonts w:ascii="Arial" w:hAnsi="Arial" w:cs="Arial"/>
          <w:lang w:val="en-US"/>
        </w:rPr>
        <w:t xml:space="preserve">) method for sensitivity analysis for the studies </w:t>
      </w:r>
      <w:r w:rsidRPr="008442F9">
        <w:rPr>
          <w:rFonts w:ascii="Arial" w:hAnsi="Arial" w:cs="Arial"/>
          <w:lang w:val="en-US"/>
        </w:rPr>
        <w:t>presenting adjusted (for stroke severity and age) rate ratio (RR) for the outcome on mortality.</w:t>
      </w:r>
    </w:p>
    <w:p w14:paraId="6D920FA4" w14:textId="77777777" w:rsidR="00A405FA" w:rsidRDefault="00A405FA" w:rsidP="001C1082">
      <w:pPr>
        <w:spacing w:line="276" w:lineRule="auto"/>
        <w:rPr>
          <w:rFonts w:ascii="Arial" w:hAnsi="Arial" w:cs="Arial"/>
          <w:lang w:val="en-US"/>
        </w:rPr>
      </w:pPr>
    </w:p>
    <w:p w14:paraId="176F086F" w14:textId="77777777" w:rsidR="00A405FA" w:rsidRDefault="00A405FA" w:rsidP="001C1082">
      <w:pPr>
        <w:spacing w:line="276" w:lineRule="auto"/>
        <w:rPr>
          <w:rFonts w:ascii="Arial" w:hAnsi="Arial" w:cs="Arial"/>
          <w:lang w:val="en-US"/>
        </w:rPr>
      </w:pPr>
      <w:r>
        <w:rPr>
          <w:rFonts w:ascii="Arial" w:hAnsi="Arial" w:cs="Arial"/>
          <w:noProof/>
          <w:lang w:val="en-US"/>
        </w:rPr>
        <w:drawing>
          <wp:inline distT="0" distB="0" distL="0" distR="0" wp14:anchorId="303A076E" wp14:editId="3D3BC903">
            <wp:extent cx="5760720" cy="5760720"/>
            <wp:effectExtent l="0" t="0" r="0" b="0"/>
            <wp:docPr id="6" name="Bildobjekt 6"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o_for_Fig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9A3358F" w14:textId="77777777" w:rsidR="000A4EA7" w:rsidRDefault="000A4EA7" w:rsidP="001C1082">
      <w:pPr>
        <w:spacing w:line="276" w:lineRule="auto"/>
        <w:rPr>
          <w:rFonts w:ascii="Arial" w:hAnsi="Arial" w:cs="Arial"/>
          <w:lang w:val="en-US"/>
        </w:rPr>
      </w:pPr>
      <w:r>
        <w:rPr>
          <w:rFonts w:ascii="Arial" w:hAnsi="Arial" w:cs="Arial"/>
          <w:lang w:val="en-US"/>
        </w:rPr>
        <w:t>Figure S</w:t>
      </w:r>
      <w:r w:rsidR="009A5BD9">
        <w:rPr>
          <w:rFonts w:ascii="Arial" w:hAnsi="Arial" w:cs="Arial"/>
          <w:lang w:val="en-US"/>
        </w:rPr>
        <w:t>6</w:t>
      </w:r>
      <w:r w:rsidR="007B6967">
        <w:rPr>
          <w:rFonts w:ascii="Arial" w:hAnsi="Arial" w:cs="Arial"/>
          <w:lang w:val="en-US"/>
        </w:rPr>
        <w:t>.</w:t>
      </w:r>
      <w:r>
        <w:rPr>
          <w:rFonts w:ascii="Arial" w:hAnsi="Arial" w:cs="Arial"/>
          <w:lang w:val="en-US"/>
        </w:rPr>
        <w:t xml:space="preserve"> </w:t>
      </w:r>
      <w:r w:rsidR="00C14EFA">
        <w:rPr>
          <w:rFonts w:ascii="Arial" w:hAnsi="Arial" w:cs="Arial"/>
          <w:lang w:val="en-US"/>
        </w:rPr>
        <w:t>LOO (</w:t>
      </w:r>
      <w:proofErr w:type="spellStart"/>
      <w:r w:rsidR="00C14EFA">
        <w:rPr>
          <w:rFonts w:ascii="Arial" w:hAnsi="Arial" w:cs="Arial"/>
          <w:lang w:val="en-US"/>
        </w:rPr>
        <w:t>leave_one_out</w:t>
      </w:r>
      <w:proofErr w:type="spellEnd"/>
      <w:r w:rsidR="00C14EFA">
        <w:rPr>
          <w:rFonts w:ascii="Arial" w:hAnsi="Arial" w:cs="Arial"/>
          <w:lang w:val="en-US"/>
        </w:rPr>
        <w:t>) method for sensitivity analysis for</w:t>
      </w:r>
      <w:r w:rsidR="00C14EFA" w:rsidRPr="008442F9">
        <w:rPr>
          <w:rFonts w:ascii="Arial" w:hAnsi="Arial" w:cs="Arial"/>
          <w:lang w:val="en-US"/>
        </w:rPr>
        <w:t xml:space="preserve"> the studies analyzed for the mortality outcome</w:t>
      </w:r>
      <w:r w:rsidR="00C14EFA">
        <w:rPr>
          <w:rFonts w:ascii="Arial" w:hAnsi="Arial" w:cs="Arial"/>
          <w:lang w:val="en-US"/>
        </w:rPr>
        <w:t>.</w:t>
      </w:r>
    </w:p>
    <w:p w14:paraId="254A815F" w14:textId="77777777" w:rsidR="00A405FA" w:rsidRDefault="00A405FA" w:rsidP="001C1082">
      <w:pPr>
        <w:spacing w:line="276" w:lineRule="auto"/>
        <w:rPr>
          <w:rFonts w:ascii="Arial" w:hAnsi="Arial" w:cs="Arial"/>
          <w:lang w:val="en-US"/>
        </w:rPr>
      </w:pPr>
    </w:p>
    <w:p w14:paraId="3651EBDC" w14:textId="77777777" w:rsidR="00A405FA" w:rsidRDefault="00A405FA" w:rsidP="001C1082">
      <w:pPr>
        <w:spacing w:line="276" w:lineRule="auto"/>
        <w:rPr>
          <w:rFonts w:ascii="Arial" w:hAnsi="Arial" w:cs="Arial"/>
          <w:lang w:val="en-US"/>
        </w:rPr>
      </w:pPr>
      <w:r>
        <w:rPr>
          <w:rFonts w:ascii="Arial" w:hAnsi="Arial" w:cs="Arial"/>
          <w:noProof/>
          <w:lang w:val="en-US"/>
        </w:rPr>
        <w:drawing>
          <wp:inline distT="0" distB="0" distL="0" distR="0" wp14:anchorId="399B4335" wp14:editId="146E1296">
            <wp:extent cx="5760720" cy="318325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mu_meta_for_Figur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183255"/>
                    </a:xfrm>
                    <a:prstGeom prst="rect">
                      <a:avLst/>
                    </a:prstGeom>
                  </pic:spPr>
                </pic:pic>
              </a:graphicData>
            </a:graphic>
          </wp:inline>
        </w:drawing>
      </w:r>
    </w:p>
    <w:p w14:paraId="7FD2224C" w14:textId="77777777" w:rsidR="00C14EFA" w:rsidRDefault="00C14EFA" w:rsidP="001C1082">
      <w:pPr>
        <w:spacing w:line="276" w:lineRule="auto"/>
        <w:rPr>
          <w:rFonts w:ascii="Arial" w:hAnsi="Arial" w:cs="Arial"/>
          <w:lang w:val="en-US"/>
        </w:rPr>
      </w:pPr>
      <w:r>
        <w:rPr>
          <w:rFonts w:ascii="Arial" w:hAnsi="Arial" w:cs="Arial"/>
          <w:lang w:val="en-US"/>
        </w:rPr>
        <w:t>Figure S</w:t>
      </w:r>
      <w:r w:rsidR="009A5BD9">
        <w:rPr>
          <w:rFonts w:ascii="Arial" w:hAnsi="Arial" w:cs="Arial"/>
          <w:lang w:val="en-US"/>
        </w:rPr>
        <w:t>7</w:t>
      </w:r>
      <w:r w:rsidR="007B6967">
        <w:rPr>
          <w:rFonts w:ascii="Arial" w:hAnsi="Arial" w:cs="Arial"/>
          <w:lang w:val="en-US"/>
        </w:rPr>
        <w:t>.</w:t>
      </w:r>
      <w:r>
        <w:rPr>
          <w:rFonts w:ascii="Arial" w:hAnsi="Arial" w:cs="Arial"/>
          <w:lang w:val="en-US"/>
        </w:rPr>
        <w:t xml:space="preserve"> Cumulative meta-analysis </w:t>
      </w:r>
      <w:r w:rsidR="007B6967">
        <w:rPr>
          <w:rFonts w:ascii="Arial" w:hAnsi="Arial" w:cs="Arial"/>
          <w:lang w:val="en-US"/>
        </w:rPr>
        <w:t>for the studies presenting adjusted (for stroke severity and age) rate ratio (RR) for the outcome on mortality</w:t>
      </w:r>
    </w:p>
    <w:p w14:paraId="3B7AB379" w14:textId="77777777" w:rsidR="00A405FA" w:rsidRDefault="00A405FA" w:rsidP="001C1082">
      <w:pPr>
        <w:spacing w:line="276" w:lineRule="auto"/>
        <w:rPr>
          <w:rFonts w:ascii="Arial" w:hAnsi="Arial" w:cs="Arial"/>
          <w:lang w:val="en-US"/>
        </w:rPr>
      </w:pPr>
    </w:p>
    <w:p w14:paraId="6D43F827" w14:textId="77777777" w:rsidR="00A405FA" w:rsidRDefault="00A405FA" w:rsidP="001C1082">
      <w:pPr>
        <w:spacing w:line="276" w:lineRule="auto"/>
        <w:rPr>
          <w:rFonts w:ascii="Arial" w:hAnsi="Arial" w:cs="Arial"/>
          <w:lang w:val="en-US"/>
        </w:rPr>
      </w:pPr>
      <w:r>
        <w:rPr>
          <w:rFonts w:ascii="Arial" w:hAnsi="Arial" w:cs="Arial"/>
          <w:noProof/>
          <w:lang w:val="en-US"/>
        </w:rPr>
        <w:drawing>
          <wp:inline distT="0" distB="0" distL="0" distR="0" wp14:anchorId="5DCBBF29" wp14:editId="6C716A59">
            <wp:extent cx="5760720" cy="4946015"/>
            <wp:effectExtent l="0" t="0" r="0" b="6985"/>
            <wp:docPr id="8" name="Bildobjekt 8"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mu_meta_for_Figur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946015"/>
                    </a:xfrm>
                    <a:prstGeom prst="rect">
                      <a:avLst/>
                    </a:prstGeom>
                  </pic:spPr>
                </pic:pic>
              </a:graphicData>
            </a:graphic>
          </wp:inline>
        </w:drawing>
      </w:r>
    </w:p>
    <w:p w14:paraId="6393F025" w14:textId="77777777" w:rsidR="001C1082" w:rsidRPr="009C6946" w:rsidRDefault="00C14EFA" w:rsidP="001C1082">
      <w:pPr>
        <w:spacing w:line="276" w:lineRule="auto"/>
        <w:rPr>
          <w:rFonts w:ascii="Arial" w:hAnsi="Arial" w:cs="Arial"/>
          <w:lang w:val="en-US"/>
        </w:rPr>
      </w:pPr>
      <w:r>
        <w:rPr>
          <w:rFonts w:ascii="Arial" w:hAnsi="Arial" w:cs="Arial"/>
          <w:lang w:val="en-US"/>
        </w:rPr>
        <w:t>Figure S</w:t>
      </w:r>
      <w:r w:rsidR="009A5BD9">
        <w:rPr>
          <w:rFonts w:ascii="Arial" w:hAnsi="Arial" w:cs="Arial"/>
          <w:lang w:val="en-US"/>
        </w:rPr>
        <w:t>8</w:t>
      </w:r>
      <w:r w:rsidR="007B6967">
        <w:rPr>
          <w:rFonts w:ascii="Arial" w:hAnsi="Arial" w:cs="Arial"/>
          <w:lang w:val="en-US"/>
        </w:rPr>
        <w:t>. Cumulative meta-analysis for the studies analyzed for the mortality outcome, rate ratio (RR)</w:t>
      </w:r>
    </w:p>
    <w:p w14:paraId="3D709E92" w14:textId="77777777" w:rsidR="00A405FA" w:rsidRDefault="00A405FA" w:rsidP="001C1082">
      <w:pPr>
        <w:spacing w:line="276" w:lineRule="auto"/>
        <w:rPr>
          <w:rFonts w:ascii="Arial" w:hAnsi="Arial" w:cs="Arial"/>
          <w:bCs/>
          <w:lang w:val="en-US"/>
        </w:rPr>
      </w:pPr>
    </w:p>
    <w:p w14:paraId="24802CCB" w14:textId="77777777" w:rsidR="00A405FA" w:rsidRDefault="00A405FA" w:rsidP="001C1082">
      <w:pPr>
        <w:spacing w:line="276" w:lineRule="auto"/>
        <w:rPr>
          <w:rFonts w:ascii="Arial" w:hAnsi="Arial" w:cs="Arial"/>
          <w:bCs/>
          <w:lang w:val="en-US"/>
        </w:rPr>
      </w:pPr>
      <w:r>
        <w:rPr>
          <w:rFonts w:ascii="Arial" w:hAnsi="Arial" w:cs="Arial"/>
          <w:bCs/>
          <w:noProof/>
          <w:lang w:val="en-US"/>
        </w:rPr>
        <w:drawing>
          <wp:inline distT="0" distB="0" distL="0" distR="0" wp14:anchorId="5609CC18" wp14:editId="50E7A6FC">
            <wp:extent cx="5029200" cy="36576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S9_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644334D8" w14:textId="77777777" w:rsidR="001C1082" w:rsidRPr="009C6946" w:rsidRDefault="001C1082" w:rsidP="001C1082">
      <w:pPr>
        <w:spacing w:line="276" w:lineRule="auto"/>
        <w:rPr>
          <w:rFonts w:ascii="Arial" w:hAnsi="Arial" w:cs="Arial"/>
          <w:lang w:val="en-US"/>
        </w:rPr>
      </w:pPr>
      <w:r w:rsidRPr="007B6967">
        <w:rPr>
          <w:rFonts w:ascii="Arial" w:hAnsi="Arial" w:cs="Arial"/>
          <w:bCs/>
          <w:lang w:val="en-US"/>
        </w:rPr>
        <w:t>FIGURE S</w:t>
      </w:r>
      <w:r w:rsidR="009A5BD9">
        <w:rPr>
          <w:rFonts w:ascii="Arial" w:hAnsi="Arial" w:cs="Arial"/>
          <w:bCs/>
          <w:lang w:val="en-US"/>
        </w:rPr>
        <w:t>9</w:t>
      </w:r>
      <w:r w:rsidRPr="007B6967">
        <w:rPr>
          <w:rFonts w:ascii="Arial" w:hAnsi="Arial" w:cs="Arial"/>
          <w:bCs/>
          <w:lang w:val="en-US"/>
        </w:rPr>
        <w:t>.</w:t>
      </w:r>
      <w:r w:rsidRPr="008442F9">
        <w:rPr>
          <w:rFonts w:ascii="Arial" w:hAnsi="Arial" w:cs="Arial"/>
          <w:b/>
          <w:lang w:val="en-US"/>
        </w:rPr>
        <w:t xml:space="preserve"> </w:t>
      </w:r>
      <w:r w:rsidRPr="008442F9">
        <w:rPr>
          <w:rFonts w:ascii="Arial" w:hAnsi="Arial" w:cs="Arial"/>
          <w:lang w:val="en-US"/>
        </w:rPr>
        <w:t>Funnel plot visualizing the risk of publication bias among</w:t>
      </w:r>
      <w:bookmarkStart w:id="5" w:name="_Hlk57822706"/>
      <w:r w:rsidRPr="008442F9">
        <w:rPr>
          <w:rFonts w:ascii="Arial" w:hAnsi="Arial" w:cs="Arial"/>
          <w:lang w:val="en-US"/>
        </w:rPr>
        <w:t xml:space="preserve"> </w:t>
      </w:r>
      <w:bookmarkStart w:id="6" w:name="_Hlk57822652"/>
      <w:r w:rsidRPr="008442F9">
        <w:rPr>
          <w:rFonts w:ascii="Arial" w:hAnsi="Arial" w:cs="Arial"/>
          <w:lang w:val="en-US"/>
        </w:rPr>
        <w:t>the studies presenting adjusted (for stroke severity and age) odds ratio (OR) for the outcome functional outcome.</w:t>
      </w:r>
      <w:bookmarkEnd w:id="5"/>
      <w:r w:rsidRPr="008442F9">
        <w:rPr>
          <w:rFonts w:ascii="Arial" w:hAnsi="Arial" w:cs="Arial"/>
          <w:lang w:val="en-US"/>
        </w:rPr>
        <w:t xml:space="preserve"> </w:t>
      </w:r>
      <w:bookmarkEnd w:id="6"/>
    </w:p>
    <w:p w14:paraId="014F3F27" w14:textId="77777777" w:rsidR="00A405FA" w:rsidRDefault="00A405FA" w:rsidP="001C1082">
      <w:pPr>
        <w:spacing w:line="276" w:lineRule="auto"/>
        <w:rPr>
          <w:rFonts w:ascii="Arial" w:hAnsi="Arial" w:cs="Arial"/>
          <w:bCs/>
          <w:lang w:val="en-US"/>
        </w:rPr>
      </w:pPr>
    </w:p>
    <w:p w14:paraId="5836783C" w14:textId="77777777" w:rsidR="00A405FA" w:rsidRDefault="0042107A" w:rsidP="001C1082">
      <w:pPr>
        <w:spacing w:line="276" w:lineRule="auto"/>
        <w:rPr>
          <w:rFonts w:ascii="Arial" w:hAnsi="Arial" w:cs="Arial"/>
          <w:bCs/>
          <w:lang w:val="en-US"/>
        </w:rPr>
      </w:pPr>
      <w:r>
        <w:rPr>
          <w:rFonts w:ascii="Arial" w:hAnsi="Arial" w:cs="Arial"/>
          <w:bCs/>
          <w:noProof/>
          <w:lang w:val="en-US"/>
        </w:rPr>
        <w:drawing>
          <wp:inline distT="0" distB="0" distL="0" distR="0" wp14:anchorId="61FDEB76" wp14:editId="653EE681">
            <wp:extent cx="5029200" cy="365760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S10_n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3CAF7110" w14:textId="77777777" w:rsidR="001C1082" w:rsidRDefault="001C1082" w:rsidP="001C1082">
      <w:pPr>
        <w:spacing w:line="276" w:lineRule="auto"/>
        <w:rPr>
          <w:rFonts w:ascii="Arial" w:hAnsi="Arial" w:cs="Arial"/>
          <w:lang w:val="en-US"/>
        </w:rPr>
      </w:pPr>
      <w:r w:rsidRPr="007B6967">
        <w:rPr>
          <w:rFonts w:ascii="Arial" w:hAnsi="Arial" w:cs="Arial"/>
          <w:bCs/>
          <w:lang w:val="en-US"/>
        </w:rPr>
        <w:t>FIGURE S</w:t>
      </w:r>
      <w:r w:rsidR="009A5BD9">
        <w:rPr>
          <w:rFonts w:ascii="Arial" w:hAnsi="Arial" w:cs="Arial"/>
          <w:bCs/>
          <w:lang w:val="en-US"/>
        </w:rPr>
        <w:t>10</w:t>
      </w:r>
      <w:r w:rsidRPr="007B6967">
        <w:rPr>
          <w:rFonts w:ascii="Arial" w:hAnsi="Arial" w:cs="Arial"/>
          <w:bCs/>
          <w:lang w:val="en-US"/>
        </w:rPr>
        <w:t>.</w:t>
      </w:r>
      <w:r w:rsidRPr="008442F9">
        <w:rPr>
          <w:rFonts w:ascii="Arial" w:hAnsi="Arial" w:cs="Arial"/>
          <w:lang w:val="en-US"/>
        </w:rPr>
        <w:t xml:space="preserve"> Funnel plot visualizing the risk of publication bias among </w:t>
      </w:r>
      <w:bookmarkStart w:id="7" w:name="_Hlk57822688"/>
      <w:r w:rsidRPr="008442F9">
        <w:rPr>
          <w:rFonts w:ascii="Arial" w:hAnsi="Arial" w:cs="Arial"/>
          <w:lang w:val="en-US"/>
        </w:rPr>
        <w:t xml:space="preserve">the studies analyzed on functional outcome, odds ratio (OR). </w:t>
      </w:r>
      <w:bookmarkEnd w:id="7"/>
    </w:p>
    <w:p w14:paraId="31913AE5" w14:textId="77777777" w:rsidR="0042107A" w:rsidRDefault="0042107A" w:rsidP="007B6967">
      <w:pPr>
        <w:spacing w:line="276" w:lineRule="auto"/>
        <w:rPr>
          <w:rFonts w:ascii="Arial" w:hAnsi="Arial" w:cs="Arial"/>
          <w:lang w:val="en-US"/>
        </w:rPr>
      </w:pPr>
    </w:p>
    <w:p w14:paraId="2B8D32FE" w14:textId="77777777" w:rsidR="0042107A" w:rsidRDefault="0042107A" w:rsidP="007B6967">
      <w:pPr>
        <w:spacing w:line="276" w:lineRule="auto"/>
        <w:rPr>
          <w:rFonts w:ascii="Arial" w:hAnsi="Arial" w:cs="Arial"/>
          <w:lang w:val="en-US"/>
        </w:rPr>
      </w:pPr>
      <w:r>
        <w:rPr>
          <w:rFonts w:ascii="Arial" w:hAnsi="Arial" w:cs="Arial"/>
          <w:noProof/>
          <w:lang w:val="en-US"/>
        </w:rPr>
        <w:drawing>
          <wp:inline distT="0" distB="0" distL="0" distR="0" wp14:anchorId="391DDE7F" wp14:editId="49ED7CBC">
            <wp:extent cx="5760720" cy="576072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o_for_Figure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2E9FEE8" w14:textId="77777777" w:rsidR="007B6967" w:rsidRDefault="007B6967" w:rsidP="007B6967">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w:t>
      </w:r>
      <w:r>
        <w:rPr>
          <w:rFonts w:ascii="Arial" w:hAnsi="Arial" w:cs="Arial"/>
          <w:lang w:val="en-US"/>
        </w:rPr>
        <w:t>1</w:t>
      </w:r>
      <w:r w:rsidR="009A5BD9">
        <w:rPr>
          <w:rFonts w:ascii="Arial" w:hAnsi="Arial" w:cs="Arial"/>
          <w:lang w:val="en-US"/>
        </w:rPr>
        <w:t>1</w:t>
      </w:r>
      <w:r>
        <w:rPr>
          <w:rFonts w:ascii="Arial" w:hAnsi="Arial" w:cs="Arial"/>
          <w:lang w:val="en-US"/>
        </w:rPr>
        <w:t>.</w:t>
      </w:r>
      <w:r w:rsidRPr="007B6967">
        <w:rPr>
          <w:rFonts w:ascii="Arial" w:hAnsi="Arial" w:cs="Arial"/>
          <w:lang w:val="en-US"/>
        </w:rPr>
        <w:t xml:space="preserve"> </w:t>
      </w:r>
      <w:r>
        <w:rPr>
          <w:rFonts w:ascii="Arial" w:hAnsi="Arial" w:cs="Arial"/>
          <w:lang w:val="en-US"/>
        </w:rPr>
        <w:t>LOO (</w:t>
      </w:r>
      <w:proofErr w:type="spellStart"/>
      <w:r>
        <w:rPr>
          <w:rFonts w:ascii="Arial" w:hAnsi="Arial" w:cs="Arial"/>
          <w:lang w:val="en-US"/>
        </w:rPr>
        <w:t>leave_one_out</w:t>
      </w:r>
      <w:proofErr w:type="spellEnd"/>
      <w:r>
        <w:rPr>
          <w:rFonts w:ascii="Arial" w:hAnsi="Arial" w:cs="Arial"/>
          <w:lang w:val="en-US"/>
        </w:rPr>
        <w:t>) method for sensitivity analysis</w:t>
      </w:r>
      <w:r w:rsidR="00546BBE">
        <w:rPr>
          <w:rFonts w:ascii="Arial" w:hAnsi="Arial" w:cs="Arial"/>
          <w:lang w:val="en-US"/>
        </w:rPr>
        <w:t xml:space="preserve"> for</w:t>
      </w:r>
      <w:r>
        <w:rPr>
          <w:rFonts w:ascii="Arial" w:hAnsi="Arial" w:cs="Arial"/>
          <w:lang w:val="en-US"/>
        </w:rPr>
        <w:t xml:space="preserve"> </w:t>
      </w:r>
      <w:r w:rsidRPr="008442F9">
        <w:rPr>
          <w:rFonts w:ascii="Arial" w:hAnsi="Arial" w:cs="Arial"/>
          <w:lang w:val="en-US"/>
        </w:rPr>
        <w:t>the studies presenting adjusted (for stroke severity and age) odds ratio (OR) for the outcome functional outcome.</w:t>
      </w:r>
    </w:p>
    <w:p w14:paraId="45E4F2CE" w14:textId="77777777" w:rsidR="0042107A" w:rsidRDefault="0042107A" w:rsidP="001C1082">
      <w:pPr>
        <w:spacing w:line="276" w:lineRule="auto"/>
        <w:rPr>
          <w:rFonts w:ascii="Arial" w:hAnsi="Arial" w:cs="Arial"/>
          <w:lang w:val="en-US"/>
        </w:rPr>
      </w:pPr>
    </w:p>
    <w:p w14:paraId="7B43B195" w14:textId="77777777" w:rsidR="0042107A" w:rsidRDefault="0042107A" w:rsidP="001C1082">
      <w:pPr>
        <w:spacing w:line="276" w:lineRule="auto"/>
        <w:rPr>
          <w:rFonts w:ascii="Arial" w:hAnsi="Arial" w:cs="Arial"/>
          <w:lang w:val="en-US"/>
        </w:rPr>
      </w:pPr>
      <w:r>
        <w:rPr>
          <w:rFonts w:ascii="Arial" w:hAnsi="Arial" w:cs="Arial"/>
          <w:noProof/>
          <w:lang w:val="en-US"/>
        </w:rPr>
        <w:drawing>
          <wp:inline distT="0" distB="0" distL="0" distR="0" wp14:anchorId="36D726E4" wp14:editId="76FBD68F">
            <wp:extent cx="5760720" cy="576072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ujat_for_Figure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F009EC8" w14:textId="77777777" w:rsidR="007B6967" w:rsidRDefault="007B6967" w:rsidP="001C1082">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w:t>
      </w:r>
      <w:r>
        <w:rPr>
          <w:rFonts w:ascii="Arial" w:hAnsi="Arial" w:cs="Arial"/>
          <w:lang w:val="en-US"/>
        </w:rPr>
        <w:t>1</w:t>
      </w:r>
      <w:r w:rsidR="009A5BD9">
        <w:rPr>
          <w:rFonts w:ascii="Arial" w:hAnsi="Arial" w:cs="Arial"/>
          <w:lang w:val="en-US"/>
        </w:rPr>
        <w:t>2</w:t>
      </w:r>
      <w:r>
        <w:rPr>
          <w:rFonts w:ascii="Arial" w:hAnsi="Arial" w:cs="Arial"/>
          <w:lang w:val="en-US"/>
        </w:rPr>
        <w:t xml:space="preserve">. </w:t>
      </w:r>
      <w:proofErr w:type="spellStart"/>
      <w:r>
        <w:rPr>
          <w:rFonts w:ascii="Arial" w:hAnsi="Arial" w:cs="Arial"/>
          <w:lang w:val="en-US"/>
        </w:rPr>
        <w:t>Baujat</w:t>
      </w:r>
      <w:proofErr w:type="spellEnd"/>
      <w:r>
        <w:rPr>
          <w:rFonts w:ascii="Arial" w:hAnsi="Arial" w:cs="Arial"/>
          <w:lang w:val="en-US"/>
        </w:rPr>
        <w:t xml:space="preserve"> plot demonstrating the source of heterogeneity </w:t>
      </w:r>
      <w:r w:rsidR="00546BBE">
        <w:rPr>
          <w:rFonts w:ascii="Arial" w:hAnsi="Arial" w:cs="Arial"/>
          <w:lang w:val="en-US"/>
        </w:rPr>
        <w:t xml:space="preserve">for </w:t>
      </w:r>
      <w:r w:rsidRPr="008442F9">
        <w:rPr>
          <w:rFonts w:ascii="Arial" w:hAnsi="Arial" w:cs="Arial"/>
          <w:lang w:val="en-US"/>
        </w:rPr>
        <w:t>the studies presenting adjusted (for stroke severity and age) odds ratio (OR) for the outcome functional outcome.</w:t>
      </w:r>
    </w:p>
    <w:p w14:paraId="05D85007" w14:textId="77777777" w:rsidR="0042107A" w:rsidRDefault="0042107A" w:rsidP="001C1082">
      <w:pPr>
        <w:spacing w:line="276" w:lineRule="auto"/>
        <w:rPr>
          <w:rFonts w:ascii="Arial" w:hAnsi="Arial" w:cs="Arial"/>
          <w:lang w:val="en-US"/>
        </w:rPr>
      </w:pPr>
    </w:p>
    <w:p w14:paraId="5682C946" w14:textId="77777777" w:rsidR="0042107A" w:rsidRDefault="0042107A" w:rsidP="001C1082">
      <w:pPr>
        <w:spacing w:line="276" w:lineRule="auto"/>
        <w:rPr>
          <w:rFonts w:ascii="Arial" w:hAnsi="Arial" w:cs="Arial"/>
          <w:lang w:val="en-US"/>
        </w:rPr>
      </w:pPr>
    </w:p>
    <w:p w14:paraId="72706D20" w14:textId="77777777" w:rsidR="007B6967" w:rsidRDefault="0042107A" w:rsidP="001C1082">
      <w:pPr>
        <w:spacing w:line="276" w:lineRule="auto"/>
        <w:rPr>
          <w:rFonts w:ascii="Arial" w:hAnsi="Arial" w:cs="Arial"/>
          <w:lang w:val="en-US"/>
        </w:rPr>
      </w:pPr>
      <w:r>
        <w:rPr>
          <w:rFonts w:ascii="Arial" w:hAnsi="Arial" w:cs="Arial"/>
          <w:noProof/>
          <w:lang w:val="en-US"/>
        </w:rPr>
        <w:drawing>
          <wp:inline distT="0" distB="0" distL="0" distR="0" wp14:anchorId="36633512" wp14:editId="16F7B69A">
            <wp:extent cx="5760720" cy="5760720"/>
            <wp:effectExtent l="0" t="0" r="0" b="0"/>
            <wp:docPr id="13" name="Bildobjekt 13"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o_for_Figure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sidR="007B6967">
        <w:rPr>
          <w:rFonts w:ascii="Arial" w:hAnsi="Arial" w:cs="Arial"/>
          <w:lang w:val="en-US"/>
        </w:rPr>
        <w:t xml:space="preserve">Figure </w:t>
      </w:r>
      <w:r w:rsidR="009A5BD9">
        <w:rPr>
          <w:rFonts w:ascii="Arial" w:hAnsi="Arial" w:cs="Arial"/>
          <w:lang w:val="en-US"/>
        </w:rPr>
        <w:t>S</w:t>
      </w:r>
      <w:r w:rsidR="007B6967">
        <w:rPr>
          <w:rFonts w:ascii="Arial" w:hAnsi="Arial" w:cs="Arial"/>
          <w:lang w:val="en-US"/>
        </w:rPr>
        <w:t>1</w:t>
      </w:r>
      <w:r w:rsidR="009A5BD9">
        <w:rPr>
          <w:rFonts w:ascii="Arial" w:hAnsi="Arial" w:cs="Arial"/>
          <w:lang w:val="en-US"/>
        </w:rPr>
        <w:t>3</w:t>
      </w:r>
      <w:r w:rsidR="007B6967">
        <w:rPr>
          <w:rFonts w:ascii="Arial" w:hAnsi="Arial" w:cs="Arial"/>
          <w:lang w:val="en-US"/>
        </w:rPr>
        <w:t>.</w:t>
      </w:r>
      <w:r w:rsidR="007B6967" w:rsidRPr="007B6967">
        <w:rPr>
          <w:rFonts w:ascii="Arial" w:hAnsi="Arial" w:cs="Arial"/>
          <w:lang w:val="en-US"/>
        </w:rPr>
        <w:t xml:space="preserve"> </w:t>
      </w:r>
      <w:r w:rsidR="007B6967">
        <w:rPr>
          <w:rFonts w:ascii="Arial" w:hAnsi="Arial" w:cs="Arial"/>
          <w:lang w:val="en-US"/>
        </w:rPr>
        <w:t>LOO (</w:t>
      </w:r>
      <w:proofErr w:type="spellStart"/>
      <w:r w:rsidR="007B6967">
        <w:rPr>
          <w:rFonts w:ascii="Arial" w:hAnsi="Arial" w:cs="Arial"/>
          <w:lang w:val="en-US"/>
        </w:rPr>
        <w:t>leave_one_out</w:t>
      </w:r>
      <w:proofErr w:type="spellEnd"/>
      <w:r w:rsidR="007B6967">
        <w:rPr>
          <w:rFonts w:ascii="Arial" w:hAnsi="Arial" w:cs="Arial"/>
          <w:lang w:val="en-US"/>
        </w:rPr>
        <w:t xml:space="preserve">) method for sensitivity analysis </w:t>
      </w:r>
      <w:r w:rsidR="00546BBE">
        <w:rPr>
          <w:rFonts w:ascii="Arial" w:hAnsi="Arial" w:cs="Arial"/>
          <w:lang w:val="en-US"/>
        </w:rPr>
        <w:t xml:space="preserve">for </w:t>
      </w:r>
      <w:r w:rsidR="007B6967" w:rsidRPr="008442F9">
        <w:rPr>
          <w:rFonts w:ascii="Arial" w:hAnsi="Arial" w:cs="Arial"/>
          <w:lang w:val="en-US"/>
        </w:rPr>
        <w:t>the studies analyzed on functional outcome, odds ratio (OR).</w:t>
      </w:r>
    </w:p>
    <w:p w14:paraId="5E1757A3" w14:textId="77777777" w:rsidR="0042107A" w:rsidRDefault="0042107A" w:rsidP="001C1082">
      <w:pPr>
        <w:spacing w:line="276" w:lineRule="auto"/>
        <w:rPr>
          <w:rFonts w:ascii="Arial" w:hAnsi="Arial" w:cs="Arial"/>
          <w:lang w:val="en-US"/>
        </w:rPr>
      </w:pPr>
    </w:p>
    <w:p w14:paraId="408A0186" w14:textId="77777777" w:rsidR="0042107A" w:rsidRDefault="0042107A" w:rsidP="001C1082">
      <w:pPr>
        <w:spacing w:line="276" w:lineRule="auto"/>
        <w:rPr>
          <w:rFonts w:ascii="Arial" w:hAnsi="Arial" w:cs="Arial"/>
          <w:lang w:val="en-US"/>
        </w:rPr>
      </w:pPr>
      <w:r>
        <w:rPr>
          <w:rFonts w:ascii="Arial" w:hAnsi="Arial" w:cs="Arial"/>
          <w:noProof/>
          <w:lang w:val="en-US"/>
        </w:rPr>
        <w:drawing>
          <wp:inline distT="0" distB="0" distL="0" distR="0" wp14:anchorId="3824FB3A" wp14:editId="7DC6AC45">
            <wp:extent cx="5760720" cy="576072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ujat_for_Figure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9694E72" w14:textId="77777777" w:rsidR="007B6967" w:rsidRDefault="007B6967" w:rsidP="001C1082">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S14</w:t>
      </w:r>
      <w:r>
        <w:rPr>
          <w:rFonts w:ascii="Arial" w:hAnsi="Arial" w:cs="Arial"/>
          <w:lang w:val="en-US"/>
        </w:rPr>
        <w:t>.</w:t>
      </w:r>
      <w:r w:rsidRPr="007B6967">
        <w:rPr>
          <w:rFonts w:ascii="Arial" w:hAnsi="Arial" w:cs="Arial"/>
          <w:lang w:val="en-US"/>
        </w:rPr>
        <w:t xml:space="preserve"> </w:t>
      </w:r>
      <w:proofErr w:type="spellStart"/>
      <w:r>
        <w:rPr>
          <w:rFonts w:ascii="Arial" w:hAnsi="Arial" w:cs="Arial"/>
          <w:lang w:val="en-US"/>
        </w:rPr>
        <w:t>Baujat</w:t>
      </w:r>
      <w:proofErr w:type="spellEnd"/>
      <w:r>
        <w:rPr>
          <w:rFonts w:ascii="Arial" w:hAnsi="Arial" w:cs="Arial"/>
          <w:lang w:val="en-US"/>
        </w:rPr>
        <w:t xml:space="preserve"> plot demonstrating the source of heterogeneity </w:t>
      </w:r>
      <w:r w:rsidR="00546BBE">
        <w:rPr>
          <w:rFonts w:ascii="Arial" w:hAnsi="Arial" w:cs="Arial"/>
          <w:lang w:val="en-US"/>
        </w:rPr>
        <w:t xml:space="preserve">for </w:t>
      </w:r>
      <w:r w:rsidRPr="008442F9">
        <w:rPr>
          <w:rFonts w:ascii="Arial" w:hAnsi="Arial" w:cs="Arial"/>
          <w:lang w:val="en-US"/>
        </w:rPr>
        <w:t>the studies analyzed on functional outcome, odds ratio (OR).</w:t>
      </w:r>
    </w:p>
    <w:p w14:paraId="27F319F2" w14:textId="77777777" w:rsidR="0042107A" w:rsidRDefault="0042107A" w:rsidP="001C1082">
      <w:pPr>
        <w:spacing w:line="276" w:lineRule="auto"/>
        <w:rPr>
          <w:rFonts w:ascii="Arial" w:hAnsi="Arial" w:cs="Arial"/>
          <w:lang w:val="en-US"/>
        </w:rPr>
      </w:pPr>
    </w:p>
    <w:p w14:paraId="34372B09" w14:textId="77777777" w:rsidR="0042107A" w:rsidRDefault="0042107A" w:rsidP="001C1082">
      <w:pPr>
        <w:spacing w:line="276" w:lineRule="auto"/>
        <w:rPr>
          <w:rFonts w:ascii="Arial" w:hAnsi="Arial" w:cs="Arial"/>
          <w:lang w:val="en-US"/>
        </w:rPr>
      </w:pPr>
      <w:r>
        <w:rPr>
          <w:rFonts w:ascii="Arial" w:hAnsi="Arial" w:cs="Arial"/>
          <w:noProof/>
          <w:lang w:val="en-US"/>
        </w:rPr>
        <w:drawing>
          <wp:inline distT="0" distB="0" distL="0" distR="0" wp14:anchorId="49CBC8DA" wp14:editId="29E541B7">
            <wp:extent cx="5760720" cy="164274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mu_meta_for_Figur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642745"/>
                    </a:xfrm>
                    <a:prstGeom prst="rect">
                      <a:avLst/>
                    </a:prstGeom>
                  </pic:spPr>
                </pic:pic>
              </a:graphicData>
            </a:graphic>
          </wp:inline>
        </w:drawing>
      </w:r>
    </w:p>
    <w:p w14:paraId="437AD51B" w14:textId="77777777" w:rsidR="007B6967" w:rsidRDefault="007B6967" w:rsidP="001C1082">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S15</w:t>
      </w:r>
      <w:r>
        <w:rPr>
          <w:rFonts w:ascii="Arial" w:hAnsi="Arial" w:cs="Arial"/>
          <w:lang w:val="en-US"/>
        </w:rPr>
        <w:t xml:space="preserve">. Cumulative meta-analysis </w:t>
      </w:r>
      <w:r w:rsidR="00546BBE">
        <w:rPr>
          <w:rFonts w:ascii="Arial" w:hAnsi="Arial" w:cs="Arial"/>
          <w:lang w:val="en-US"/>
        </w:rPr>
        <w:t xml:space="preserve">for </w:t>
      </w:r>
      <w:r w:rsidRPr="008442F9">
        <w:rPr>
          <w:rFonts w:ascii="Arial" w:hAnsi="Arial" w:cs="Arial"/>
          <w:lang w:val="en-US"/>
        </w:rPr>
        <w:t>the studies presenting adjusted (for stroke severity and age) odds ratio (OR) for the outcome functional outcome.</w:t>
      </w:r>
    </w:p>
    <w:p w14:paraId="5A4E48AB" w14:textId="77777777" w:rsidR="0042107A" w:rsidRDefault="0042107A" w:rsidP="001C1082">
      <w:pPr>
        <w:spacing w:line="276" w:lineRule="auto"/>
        <w:rPr>
          <w:rFonts w:ascii="Arial" w:hAnsi="Arial" w:cs="Arial"/>
          <w:lang w:val="en-US"/>
        </w:rPr>
      </w:pPr>
    </w:p>
    <w:p w14:paraId="0846BC7D" w14:textId="77777777" w:rsidR="0042107A" w:rsidRDefault="0042107A" w:rsidP="001C1082">
      <w:pPr>
        <w:spacing w:line="276" w:lineRule="auto"/>
        <w:rPr>
          <w:rFonts w:ascii="Arial" w:hAnsi="Arial" w:cs="Arial"/>
          <w:lang w:val="en-US"/>
        </w:rPr>
      </w:pPr>
      <w:r>
        <w:rPr>
          <w:rFonts w:ascii="Arial" w:hAnsi="Arial" w:cs="Arial"/>
          <w:noProof/>
          <w:lang w:val="en-US"/>
        </w:rPr>
        <w:drawing>
          <wp:inline distT="0" distB="0" distL="0" distR="0" wp14:anchorId="5B16E03F" wp14:editId="17A5B7C4">
            <wp:extent cx="5760720" cy="3402965"/>
            <wp:effectExtent l="0" t="0" r="0" b="698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mu_meta_for_Figur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402965"/>
                    </a:xfrm>
                    <a:prstGeom prst="rect">
                      <a:avLst/>
                    </a:prstGeom>
                  </pic:spPr>
                </pic:pic>
              </a:graphicData>
            </a:graphic>
          </wp:inline>
        </w:drawing>
      </w:r>
    </w:p>
    <w:p w14:paraId="1CB9BE43" w14:textId="77777777" w:rsidR="001C1082" w:rsidRPr="009C6946" w:rsidRDefault="007B6967" w:rsidP="001C1082">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S16</w:t>
      </w:r>
      <w:r>
        <w:rPr>
          <w:rFonts w:ascii="Arial" w:hAnsi="Arial" w:cs="Arial"/>
          <w:lang w:val="en-US"/>
        </w:rPr>
        <w:t>.</w:t>
      </w:r>
      <w:r w:rsidRPr="007B6967">
        <w:rPr>
          <w:rFonts w:ascii="Arial" w:hAnsi="Arial" w:cs="Arial"/>
          <w:lang w:val="en-US"/>
        </w:rPr>
        <w:t xml:space="preserve"> </w:t>
      </w:r>
      <w:r>
        <w:rPr>
          <w:rFonts w:ascii="Arial" w:hAnsi="Arial" w:cs="Arial"/>
          <w:lang w:val="en-US"/>
        </w:rPr>
        <w:t>Cumulative meta-analysis</w:t>
      </w:r>
      <w:r w:rsidRPr="007B6967">
        <w:rPr>
          <w:rFonts w:ascii="Arial" w:hAnsi="Arial" w:cs="Arial"/>
          <w:lang w:val="en-US"/>
        </w:rPr>
        <w:t xml:space="preserve"> </w:t>
      </w:r>
      <w:r w:rsidR="00546BBE">
        <w:rPr>
          <w:rFonts w:ascii="Arial" w:hAnsi="Arial" w:cs="Arial"/>
          <w:lang w:val="en-US"/>
        </w:rPr>
        <w:t xml:space="preserve">for </w:t>
      </w:r>
      <w:r w:rsidRPr="008442F9">
        <w:rPr>
          <w:rFonts w:ascii="Arial" w:hAnsi="Arial" w:cs="Arial"/>
          <w:lang w:val="en-US"/>
        </w:rPr>
        <w:t>the studies analyzed on functional outcome, odds ratio (OR).</w:t>
      </w:r>
    </w:p>
    <w:p w14:paraId="1CC4C252" w14:textId="77777777" w:rsidR="0042107A" w:rsidRDefault="0042107A" w:rsidP="001C1082">
      <w:pPr>
        <w:spacing w:line="276" w:lineRule="auto"/>
        <w:rPr>
          <w:rFonts w:ascii="Arial" w:hAnsi="Arial" w:cs="Arial"/>
          <w:bCs/>
          <w:lang w:val="en-US"/>
        </w:rPr>
      </w:pPr>
    </w:p>
    <w:p w14:paraId="435F7D2F" w14:textId="77777777" w:rsidR="0042107A" w:rsidRDefault="0042107A" w:rsidP="001C1082">
      <w:pPr>
        <w:spacing w:line="276" w:lineRule="auto"/>
        <w:rPr>
          <w:rFonts w:ascii="Arial" w:hAnsi="Arial" w:cs="Arial"/>
          <w:bCs/>
          <w:lang w:val="en-US"/>
        </w:rPr>
      </w:pPr>
      <w:r>
        <w:rPr>
          <w:rFonts w:ascii="Arial" w:hAnsi="Arial" w:cs="Arial"/>
          <w:bCs/>
          <w:noProof/>
          <w:lang w:val="en-US"/>
        </w:rPr>
        <w:drawing>
          <wp:inline distT="0" distB="0" distL="0" distR="0" wp14:anchorId="4B879CBD" wp14:editId="2C94E3E4">
            <wp:extent cx="5029200" cy="36576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S12_ne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41525329" w14:textId="77777777" w:rsidR="001C1082" w:rsidRPr="008442F9" w:rsidRDefault="001C1082" w:rsidP="001C1082">
      <w:pPr>
        <w:spacing w:line="276" w:lineRule="auto"/>
        <w:rPr>
          <w:rFonts w:ascii="Arial" w:hAnsi="Arial" w:cs="Arial"/>
          <w:sz w:val="24"/>
          <w:lang w:val="en-US"/>
        </w:rPr>
      </w:pPr>
      <w:r w:rsidRPr="00546BBE">
        <w:rPr>
          <w:rFonts w:ascii="Arial" w:hAnsi="Arial" w:cs="Arial"/>
          <w:bCs/>
          <w:lang w:val="en-US"/>
        </w:rPr>
        <w:t>FIGURE S</w:t>
      </w:r>
      <w:r w:rsidR="009A5BD9">
        <w:rPr>
          <w:rFonts w:ascii="Arial" w:hAnsi="Arial" w:cs="Arial"/>
          <w:bCs/>
          <w:lang w:val="en-US"/>
        </w:rPr>
        <w:t>17</w:t>
      </w:r>
      <w:r w:rsidR="00546BBE">
        <w:rPr>
          <w:rFonts w:ascii="Arial" w:hAnsi="Arial" w:cs="Arial"/>
          <w:bCs/>
          <w:lang w:val="en-US"/>
        </w:rPr>
        <w:t>.</w:t>
      </w:r>
      <w:r w:rsidRPr="008442F9">
        <w:rPr>
          <w:rFonts w:ascii="Arial" w:hAnsi="Arial" w:cs="Arial"/>
          <w:lang w:val="en-US"/>
        </w:rPr>
        <w:t xml:space="preserve"> Funnel plot visualizing the risk of publication bias among the studies analyzed on the infection outcome, odds ratio (OR). </w:t>
      </w:r>
    </w:p>
    <w:p w14:paraId="0E4D12A1" w14:textId="77777777" w:rsidR="0042107A" w:rsidRDefault="0042107A" w:rsidP="001C1082">
      <w:pPr>
        <w:spacing w:line="276" w:lineRule="auto"/>
        <w:rPr>
          <w:rFonts w:ascii="Arial" w:hAnsi="Arial" w:cs="Arial"/>
          <w:bCs/>
          <w:lang w:val="en-US"/>
        </w:rPr>
      </w:pPr>
    </w:p>
    <w:p w14:paraId="3DD06FF3" w14:textId="77777777" w:rsidR="0042107A" w:rsidRDefault="0042107A" w:rsidP="001C1082">
      <w:pPr>
        <w:spacing w:line="276" w:lineRule="auto"/>
        <w:rPr>
          <w:rFonts w:ascii="Arial" w:hAnsi="Arial" w:cs="Arial"/>
          <w:bCs/>
          <w:lang w:val="en-US"/>
        </w:rPr>
      </w:pPr>
      <w:r>
        <w:rPr>
          <w:rFonts w:ascii="Arial" w:hAnsi="Arial" w:cs="Arial"/>
          <w:bCs/>
          <w:noProof/>
          <w:lang w:val="en-US"/>
        </w:rPr>
        <w:drawing>
          <wp:inline distT="0" distB="0" distL="0" distR="0" wp14:anchorId="66F76483" wp14:editId="3BD7E8C1">
            <wp:extent cx="5029200" cy="36576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S11_n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00637F5E" w14:textId="77777777" w:rsidR="001C1082" w:rsidRPr="008442F9" w:rsidRDefault="001C1082" w:rsidP="001C1082">
      <w:pPr>
        <w:spacing w:line="276" w:lineRule="auto"/>
        <w:rPr>
          <w:rFonts w:ascii="Arial" w:hAnsi="Arial" w:cs="Arial"/>
          <w:sz w:val="24"/>
          <w:lang w:val="en-US"/>
        </w:rPr>
      </w:pPr>
      <w:r w:rsidRPr="00546BBE">
        <w:rPr>
          <w:rFonts w:ascii="Arial" w:hAnsi="Arial" w:cs="Arial"/>
          <w:bCs/>
          <w:lang w:val="en-US"/>
        </w:rPr>
        <w:t>FIGURE S</w:t>
      </w:r>
      <w:r w:rsidR="009A5BD9">
        <w:rPr>
          <w:rFonts w:ascii="Arial" w:hAnsi="Arial" w:cs="Arial"/>
          <w:bCs/>
          <w:lang w:val="en-US"/>
        </w:rPr>
        <w:t>18</w:t>
      </w:r>
      <w:r w:rsidR="00546BBE">
        <w:rPr>
          <w:rFonts w:ascii="Arial" w:hAnsi="Arial" w:cs="Arial"/>
          <w:bCs/>
          <w:lang w:val="en-US"/>
        </w:rPr>
        <w:t>.</w:t>
      </w:r>
      <w:r w:rsidRPr="008442F9">
        <w:rPr>
          <w:rFonts w:ascii="Arial" w:hAnsi="Arial" w:cs="Arial"/>
          <w:lang w:val="en-US"/>
        </w:rPr>
        <w:t xml:space="preserve"> Funnel plot visualizing the risk of publication bias among the studies presenting adjusted (for stroke severity and age) odds ratio (OR) for the infection outcome.</w:t>
      </w:r>
    </w:p>
    <w:p w14:paraId="0419F492" w14:textId="77777777" w:rsidR="0042107A" w:rsidRDefault="0042107A" w:rsidP="00546BBE">
      <w:pPr>
        <w:spacing w:line="276" w:lineRule="auto"/>
        <w:rPr>
          <w:rFonts w:ascii="Arial" w:hAnsi="Arial" w:cs="Arial"/>
          <w:lang w:val="en-US"/>
        </w:rPr>
      </w:pPr>
    </w:p>
    <w:p w14:paraId="72C83A16" w14:textId="77777777" w:rsidR="0042107A" w:rsidRDefault="0042107A" w:rsidP="00546BBE">
      <w:pPr>
        <w:spacing w:line="276" w:lineRule="auto"/>
        <w:rPr>
          <w:rFonts w:ascii="Arial" w:hAnsi="Arial" w:cs="Arial"/>
          <w:lang w:val="en-US"/>
        </w:rPr>
      </w:pPr>
      <w:r>
        <w:rPr>
          <w:rFonts w:ascii="Arial" w:hAnsi="Arial" w:cs="Arial"/>
          <w:noProof/>
          <w:lang w:val="en-US"/>
        </w:rPr>
        <w:drawing>
          <wp:inline distT="0" distB="0" distL="0" distR="0" wp14:anchorId="650914EB" wp14:editId="28746F49">
            <wp:extent cx="5760720" cy="576072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ujat_for_Figure 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6695D49" w14:textId="77777777" w:rsidR="00546BBE" w:rsidRDefault="00546BBE" w:rsidP="00546BBE">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S19</w:t>
      </w:r>
      <w:r>
        <w:rPr>
          <w:rFonts w:ascii="Arial" w:hAnsi="Arial" w:cs="Arial"/>
          <w:lang w:val="en-US"/>
        </w:rPr>
        <w:t xml:space="preserve">. </w:t>
      </w:r>
      <w:proofErr w:type="spellStart"/>
      <w:r>
        <w:rPr>
          <w:rFonts w:ascii="Arial" w:hAnsi="Arial" w:cs="Arial"/>
          <w:lang w:val="en-US"/>
        </w:rPr>
        <w:t>Baujat</w:t>
      </w:r>
      <w:proofErr w:type="spellEnd"/>
      <w:r>
        <w:rPr>
          <w:rFonts w:ascii="Arial" w:hAnsi="Arial" w:cs="Arial"/>
          <w:lang w:val="en-US"/>
        </w:rPr>
        <w:t xml:space="preserve"> plot demonstrating the source of heterogeneity for </w:t>
      </w:r>
      <w:r w:rsidRPr="008442F9">
        <w:rPr>
          <w:rFonts w:ascii="Arial" w:hAnsi="Arial" w:cs="Arial"/>
          <w:lang w:val="en-US"/>
        </w:rPr>
        <w:t xml:space="preserve">the studies presenting adjusted (for stroke severity and age) odds ratio (OR) for the </w:t>
      </w:r>
      <w:r w:rsidR="00A85EFA">
        <w:rPr>
          <w:rFonts w:ascii="Arial" w:hAnsi="Arial" w:cs="Arial"/>
          <w:lang w:val="en-US"/>
        </w:rPr>
        <w:t>infection outcome</w:t>
      </w:r>
      <w:r w:rsidRPr="008442F9">
        <w:rPr>
          <w:rFonts w:ascii="Arial" w:hAnsi="Arial" w:cs="Arial"/>
          <w:lang w:val="en-US"/>
        </w:rPr>
        <w:t>.</w:t>
      </w:r>
    </w:p>
    <w:p w14:paraId="132C6D73" w14:textId="77777777" w:rsidR="0042107A" w:rsidRDefault="0042107A" w:rsidP="00546BBE">
      <w:pPr>
        <w:spacing w:line="276" w:lineRule="auto"/>
        <w:rPr>
          <w:rFonts w:ascii="Arial" w:hAnsi="Arial" w:cs="Arial"/>
          <w:lang w:val="en-US"/>
        </w:rPr>
      </w:pPr>
    </w:p>
    <w:p w14:paraId="2A6F8389" w14:textId="77777777" w:rsidR="0042107A" w:rsidRDefault="0042107A" w:rsidP="00546BBE">
      <w:pPr>
        <w:spacing w:line="276" w:lineRule="auto"/>
        <w:rPr>
          <w:rFonts w:ascii="Arial" w:hAnsi="Arial" w:cs="Arial"/>
          <w:lang w:val="en-US"/>
        </w:rPr>
      </w:pPr>
      <w:r>
        <w:rPr>
          <w:rFonts w:ascii="Arial" w:hAnsi="Arial" w:cs="Arial"/>
          <w:noProof/>
          <w:lang w:val="en-US"/>
        </w:rPr>
        <w:drawing>
          <wp:inline distT="0" distB="0" distL="0" distR="0" wp14:anchorId="15DE1D49" wp14:editId="0516443A">
            <wp:extent cx="5760720" cy="576072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o_for_Figure 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315DF70" w14:textId="77777777" w:rsidR="00546BBE" w:rsidRDefault="00546BBE" w:rsidP="00546BBE">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S20</w:t>
      </w:r>
      <w:r>
        <w:rPr>
          <w:rFonts w:ascii="Arial" w:hAnsi="Arial" w:cs="Arial"/>
          <w:lang w:val="en-US"/>
        </w:rPr>
        <w:t>.</w:t>
      </w:r>
      <w:r w:rsidRPr="007B6967">
        <w:rPr>
          <w:rFonts w:ascii="Arial" w:hAnsi="Arial" w:cs="Arial"/>
          <w:lang w:val="en-US"/>
        </w:rPr>
        <w:t xml:space="preserve"> </w:t>
      </w:r>
      <w:r>
        <w:rPr>
          <w:rFonts w:ascii="Arial" w:hAnsi="Arial" w:cs="Arial"/>
          <w:lang w:val="en-US"/>
        </w:rPr>
        <w:t>LOO (</w:t>
      </w:r>
      <w:proofErr w:type="spellStart"/>
      <w:r>
        <w:rPr>
          <w:rFonts w:ascii="Arial" w:hAnsi="Arial" w:cs="Arial"/>
          <w:lang w:val="en-US"/>
        </w:rPr>
        <w:t>leave_one_out</w:t>
      </w:r>
      <w:proofErr w:type="spellEnd"/>
      <w:r>
        <w:rPr>
          <w:rFonts w:ascii="Arial" w:hAnsi="Arial" w:cs="Arial"/>
          <w:lang w:val="en-US"/>
        </w:rPr>
        <w:t xml:space="preserve">) method for sensitivity analysis for </w:t>
      </w:r>
      <w:r w:rsidRPr="008442F9">
        <w:rPr>
          <w:rFonts w:ascii="Arial" w:hAnsi="Arial" w:cs="Arial"/>
          <w:lang w:val="en-US"/>
        </w:rPr>
        <w:t xml:space="preserve">the studies presenting adjusted (for stroke severity and age) odds ratio (OR) for the </w:t>
      </w:r>
      <w:r w:rsidR="00A85EFA">
        <w:rPr>
          <w:rFonts w:ascii="Arial" w:hAnsi="Arial" w:cs="Arial"/>
          <w:lang w:val="en-US"/>
        </w:rPr>
        <w:t>infection outcome</w:t>
      </w:r>
      <w:r w:rsidRPr="008442F9">
        <w:rPr>
          <w:rFonts w:ascii="Arial" w:hAnsi="Arial" w:cs="Arial"/>
          <w:lang w:val="en-US"/>
        </w:rPr>
        <w:t>.</w:t>
      </w:r>
    </w:p>
    <w:p w14:paraId="492975CC" w14:textId="77777777" w:rsidR="0042107A" w:rsidRDefault="0042107A" w:rsidP="00546BBE">
      <w:pPr>
        <w:spacing w:line="276" w:lineRule="auto"/>
        <w:rPr>
          <w:rFonts w:ascii="Arial" w:hAnsi="Arial" w:cs="Arial"/>
          <w:lang w:val="en-US"/>
        </w:rPr>
      </w:pPr>
    </w:p>
    <w:p w14:paraId="5698F018" w14:textId="77777777" w:rsidR="0042107A" w:rsidRDefault="0042107A" w:rsidP="00546BBE">
      <w:pPr>
        <w:spacing w:line="276" w:lineRule="auto"/>
        <w:rPr>
          <w:rFonts w:ascii="Arial" w:hAnsi="Arial" w:cs="Arial"/>
          <w:lang w:val="en-US"/>
        </w:rPr>
      </w:pPr>
      <w:r>
        <w:rPr>
          <w:rFonts w:ascii="Arial" w:hAnsi="Arial" w:cs="Arial"/>
          <w:noProof/>
          <w:lang w:val="en-US"/>
        </w:rPr>
        <w:drawing>
          <wp:inline distT="0" distB="0" distL="0" distR="0" wp14:anchorId="42441C38" wp14:editId="49FB5E32">
            <wp:extent cx="5760720" cy="5760720"/>
            <wp:effectExtent l="0" t="0" r="0" b="0"/>
            <wp:docPr id="21" name="Bildobjekt 21"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o_for_Figure 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43FB284" w14:textId="77777777" w:rsidR="00546BBE" w:rsidRDefault="00546BBE" w:rsidP="00546BBE">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S21</w:t>
      </w:r>
      <w:r>
        <w:rPr>
          <w:rFonts w:ascii="Arial" w:hAnsi="Arial" w:cs="Arial"/>
          <w:lang w:val="en-US"/>
        </w:rPr>
        <w:t>.</w:t>
      </w:r>
      <w:r w:rsidRPr="007B6967">
        <w:rPr>
          <w:rFonts w:ascii="Arial" w:hAnsi="Arial" w:cs="Arial"/>
          <w:lang w:val="en-US"/>
        </w:rPr>
        <w:t xml:space="preserve"> </w:t>
      </w:r>
      <w:r>
        <w:rPr>
          <w:rFonts w:ascii="Arial" w:hAnsi="Arial" w:cs="Arial"/>
          <w:lang w:val="en-US"/>
        </w:rPr>
        <w:t>LOO (</w:t>
      </w:r>
      <w:proofErr w:type="spellStart"/>
      <w:r>
        <w:rPr>
          <w:rFonts w:ascii="Arial" w:hAnsi="Arial" w:cs="Arial"/>
          <w:lang w:val="en-US"/>
        </w:rPr>
        <w:t>leave_one_out</w:t>
      </w:r>
      <w:proofErr w:type="spellEnd"/>
      <w:r>
        <w:rPr>
          <w:rFonts w:ascii="Arial" w:hAnsi="Arial" w:cs="Arial"/>
          <w:lang w:val="en-US"/>
        </w:rPr>
        <w:t xml:space="preserve">) method for sensitivity analysis </w:t>
      </w:r>
      <w:r w:rsidRPr="008442F9">
        <w:rPr>
          <w:rFonts w:ascii="Arial" w:hAnsi="Arial" w:cs="Arial"/>
          <w:lang w:val="en-US"/>
        </w:rPr>
        <w:t>the studies analyzed on functional outcome, odds ratio (OR).</w:t>
      </w:r>
    </w:p>
    <w:p w14:paraId="5AB05E13" w14:textId="77777777" w:rsidR="0042107A" w:rsidRDefault="0042107A" w:rsidP="00546BBE">
      <w:pPr>
        <w:spacing w:line="276" w:lineRule="auto"/>
        <w:rPr>
          <w:rFonts w:ascii="Arial" w:hAnsi="Arial" w:cs="Arial"/>
          <w:lang w:val="en-US"/>
        </w:rPr>
      </w:pPr>
    </w:p>
    <w:p w14:paraId="3B15DCDD" w14:textId="77777777" w:rsidR="0042107A" w:rsidRDefault="0042107A" w:rsidP="00546BBE">
      <w:pPr>
        <w:spacing w:line="276" w:lineRule="auto"/>
        <w:rPr>
          <w:rFonts w:ascii="Arial" w:hAnsi="Arial" w:cs="Arial"/>
          <w:lang w:val="en-US"/>
        </w:rPr>
      </w:pPr>
      <w:r>
        <w:rPr>
          <w:rFonts w:ascii="Arial" w:hAnsi="Arial" w:cs="Arial"/>
          <w:noProof/>
          <w:lang w:val="en-US"/>
        </w:rPr>
        <w:drawing>
          <wp:inline distT="0" distB="0" distL="0" distR="0" wp14:anchorId="4B597370" wp14:editId="41AE7045">
            <wp:extent cx="5760720" cy="5760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ujat_for_Figure 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0C6DB95" w14:textId="77777777" w:rsidR="00546BBE" w:rsidRDefault="00546BBE" w:rsidP="00546BBE">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S22</w:t>
      </w:r>
      <w:r>
        <w:rPr>
          <w:rFonts w:ascii="Arial" w:hAnsi="Arial" w:cs="Arial"/>
          <w:lang w:val="en-US"/>
        </w:rPr>
        <w:t>.</w:t>
      </w:r>
      <w:r w:rsidRPr="007B6967">
        <w:rPr>
          <w:rFonts w:ascii="Arial" w:hAnsi="Arial" w:cs="Arial"/>
          <w:lang w:val="en-US"/>
        </w:rPr>
        <w:t xml:space="preserve"> </w:t>
      </w:r>
      <w:proofErr w:type="spellStart"/>
      <w:r>
        <w:rPr>
          <w:rFonts w:ascii="Arial" w:hAnsi="Arial" w:cs="Arial"/>
          <w:lang w:val="en-US"/>
        </w:rPr>
        <w:t>Baujat</w:t>
      </w:r>
      <w:proofErr w:type="spellEnd"/>
      <w:r>
        <w:rPr>
          <w:rFonts w:ascii="Arial" w:hAnsi="Arial" w:cs="Arial"/>
          <w:lang w:val="en-US"/>
        </w:rPr>
        <w:t xml:space="preserve"> plot demonstrating the source of heterogeneity </w:t>
      </w:r>
      <w:r w:rsidRPr="008442F9">
        <w:rPr>
          <w:rFonts w:ascii="Arial" w:hAnsi="Arial" w:cs="Arial"/>
          <w:lang w:val="en-US"/>
        </w:rPr>
        <w:t>the studies analyzed on functional outcome, odds ratio (OR).</w:t>
      </w:r>
    </w:p>
    <w:p w14:paraId="77E2C009" w14:textId="77777777" w:rsidR="0042107A" w:rsidRDefault="0042107A" w:rsidP="00546BBE">
      <w:pPr>
        <w:spacing w:line="276" w:lineRule="auto"/>
        <w:rPr>
          <w:rFonts w:ascii="Arial" w:hAnsi="Arial" w:cs="Arial"/>
          <w:lang w:val="en-US"/>
        </w:rPr>
      </w:pPr>
    </w:p>
    <w:p w14:paraId="50EE2276" w14:textId="77777777" w:rsidR="0042107A" w:rsidRDefault="0042107A" w:rsidP="00546BBE">
      <w:pPr>
        <w:spacing w:line="276" w:lineRule="auto"/>
        <w:rPr>
          <w:rFonts w:ascii="Arial" w:hAnsi="Arial" w:cs="Arial"/>
          <w:lang w:val="en-US"/>
        </w:rPr>
      </w:pPr>
      <w:r>
        <w:rPr>
          <w:rFonts w:ascii="Arial" w:hAnsi="Arial" w:cs="Arial"/>
          <w:noProof/>
          <w:lang w:val="en-US"/>
        </w:rPr>
        <w:drawing>
          <wp:inline distT="0" distB="0" distL="0" distR="0" wp14:anchorId="5C15E613" wp14:editId="4F284D07">
            <wp:extent cx="5760720" cy="1421130"/>
            <wp:effectExtent l="0" t="0" r="0" b="762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umu_meta_for_Figure_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421130"/>
                    </a:xfrm>
                    <a:prstGeom prst="rect">
                      <a:avLst/>
                    </a:prstGeom>
                  </pic:spPr>
                </pic:pic>
              </a:graphicData>
            </a:graphic>
          </wp:inline>
        </w:drawing>
      </w:r>
    </w:p>
    <w:p w14:paraId="5AACF92F" w14:textId="77777777" w:rsidR="00546BBE" w:rsidRDefault="00546BBE" w:rsidP="00546BBE">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S23</w:t>
      </w:r>
      <w:r>
        <w:rPr>
          <w:rFonts w:ascii="Arial" w:hAnsi="Arial" w:cs="Arial"/>
          <w:lang w:val="en-US"/>
        </w:rPr>
        <w:t xml:space="preserve">. Cumulative meta-analysis </w:t>
      </w:r>
      <w:r w:rsidRPr="008442F9">
        <w:rPr>
          <w:rFonts w:ascii="Arial" w:hAnsi="Arial" w:cs="Arial"/>
          <w:lang w:val="en-US"/>
        </w:rPr>
        <w:t>the studies presenting adjusted (for stroke severity and age) odds ratio (OR) for the outcome functional outcome.</w:t>
      </w:r>
    </w:p>
    <w:p w14:paraId="38E064A1" w14:textId="77777777" w:rsidR="0042107A" w:rsidRDefault="0042107A" w:rsidP="00546BBE">
      <w:pPr>
        <w:spacing w:line="276" w:lineRule="auto"/>
        <w:rPr>
          <w:rFonts w:ascii="Arial" w:hAnsi="Arial" w:cs="Arial"/>
          <w:lang w:val="en-US"/>
        </w:rPr>
      </w:pPr>
    </w:p>
    <w:p w14:paraId="13814530" w14:textId="77777777" w:rsidR="0042107A" w:rsidRDefault="0042107A" w:rsidP="00546BBE">
      <w:pPr>
        <w:spacing w:line="276" w:lineRule="auto"/>
        <w:rPr>
          <w:rFonts w:ascii="Arial" w:hAnsi="Arial" w:cs="Arial"/>
          <w:lang w:val="en-US"/>
        </w:rPr>
      </w:pPr>
      <w:r>
        <w:rPr>
          <w:rFonts w:ascii="Arial" w:hAnsi="Arial" w:cs="Arial"/>
          <w:noProof/>
          <w:lang w:val="en-US"/>
        </w:rPr>
        <w:drawing>
          <wp:inline distT="0" distB="0" distL="0" distR="0" wp14:anchorId="581FF57C" wp14:editId="5D197E1F">
            <wp:extent cx="5760720" cy="3402965"/>
            <wp:effectExtent l="0" t="0" r="0" b="698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umu_meta_for_Figure_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402965"/>
                    </a:xfrm>
                    <a:prstGeom prst="rect">
                      <a:avLst/>
                    </a:prstGeom>
                  </pic:spPr>
                </pic:pic>
              </a:graphicData>
            </a:graphic>
          </wp:inline>
        </w:drawing>
      </w:r>
    </w:p>
    <w:p w14:paraId="61480DF7" w14:textId="77777777" w:rsidR="00546BBE" w:rsidRDefault="00546BBE" w:rsidP="00546BBE">
      <w:pPr>
        <w:spacing w:line="276" w:lineRule="auto"/>
        <w:rPr>
          <w:rFonts w:ascii="Arial" w:hAnsi="Arial" w:cs="Arial"/>
          <w:lang w:val="en-US"/>
        </w:rPr>
      </w:pPr>
      <w:r>
        <w:rPr>
          <w:rFonts w:ascii="Arial" w:hAnsi="Arial" w:cs="Arial"/>
          <w:lang w:val="en-US"/>
        </w:rPr>
        <w:t xml:space="preserve">Figure </w:t>
      </w:r>
      <w:r w:rsidR="009A5BD9">
        <w:rPr>
          <w:rFonts w:ascii="Arial" w:hAnsi="Arial" w:cs="Arial"/>
          <w:lang w:val="en-US"/>
        </w:rPr>
        <w:t>S24</w:t>
      </w:r>
      <w:r>
        <w:rPr>
          <w:rFonts w:ascii="Arial" w:hAnsi="Arial" w:cs="Arial"/>
          <w:lang w:val="en-US"/>
        </w:rPr>
        <w:t>.</w:t>
      </w:r>
      <w:r w:rsidRPr="007B6967">
        <w:rPr>
          <w:rFonts w:ascii="Arial" w:hAnsi="Arial" w:cs="Arial"/>
          <w:lang w:val="en-US"/>
        </w:rPr>
        <w:t xml:space="preserve"> </w:t>
      </w:r>
      <w:r>
        <w:rPr>
          <w:rFonts w:ascii="Arial" w:hAnsi="Arial" w:cs="Arial"/>
          <w:lang w:val="en-US"/>
        </w:rPr>
        <w:t>Cumulative meta-analysis</w:t>
      </w:r>
      <w:r w:rsidRPr="007B6967">
        <w:rPr>
          <w:rFonts w:ascii="Arial" w:hAnsi="Arial" w:cs="Arial"/>
          <w:lang w:val="en-US"/>
        </w:rPr>
        <w:t xml:space="preserve"> </w:t>
      </w:r>
      <w:r w:rsidRPr="008442F9">
        <w:rPr>
          <w:rFonts w:ascii="Arial" w:hAnsi="Arial" w:cs="Arial"/>
          <w:lang w:val="en-US"/>
        </w:rPr>
        <w:t>the studies analyzed on functional outcome, odds ratio (OR).</w:t>
      </w:r>
    </w:p>
    <w:p w14:paraId="244C9A2B" w14:textId="77777777" w:rsidR="003418D6" w:rsidRPr="008442F9" w:rsidRDefault="003418D6" w:rsidP="003418D6">
      <w:pPr>
        <w:rPr>
          <w:rFonts w:ascii="Arial" w:hAnsi="Arial" w:cs="Arial"/>
          <w:lang w:val="en-US"/>
        </w:rPr>
      </w:pPr>
      <w:r>
        <w:rPr>
          <w:rFonts w:ascii="Arial" w:hAnsi="Arial" w:cs="Arial"/>
          <w:lang w:val="en-US"/>
        </w:rPr>
        <w:br w:type="page"/>
      </w:r>
    </w:p>
    <w:tbl>
      <w:tblPr>
        <w:tblW w:w="4983" w:type="pct"/>
        <w:tblInd w:w="15" w:type="dxa"/>
        <w:tblCellMar>
          <w:top w:w="50" w:type="dxa"/>
          <w:left w:w="50" w:type="dxa"/>
          <w:bottom w:w="50" w:type="dxa"/>
          <w:right w:w="50" w:type="dxa"/>
        </w:tblCellMar>
        <w:tblLook w:val="04A0" w:firstRow="1" w:lastRow="0" w:firstColumn="1" w:lastColumn="0" w:noHBand="0" w:noVBand="1"/>
      </w:tblPr>
      <w:tblGrid>
        <w:gridCol w:w="519"/>
        <w:gridCol w:w="743"/>
        <w:gridCol w:w="456"/>
        <w:gridCol w:w="852"/>
        <w:gridCol w:w="770"/>
        <w:gridCol w:w="741"/>
        <w:gridCol w:w="899"/>
        <w:gridCol w:w="790"/>
        <w:gridCol w:w="790"/>
        <w:gridCol w:w="554"/>
        <w:gridCol w:w="600"/>
        <w:gridCol w:w="606"/>
        <w:gridCol w:w="737"/>
      </w:tblGrid>
      <w:tr w:rsidR="003418D6" w:rsidRPr="00A405FA" w14:paraId="3F426A42" w14:textId="77777777" w:rsidTr="003418D6">
        <w:trPr>
          <w:cantSplit/>
        </w:trPr>
        <w:tc>
          <w:tcPr>
            <w:tcW w:w="0" w:type="auto"/>
            <w:gridSpan w:val="13"/>
            <w:shd w:val="clear" w:color="auto" w:fill="FFFFFF"/>
            <w:tcMar>
              <w:top w:w="75" w:type="dxa"/>
              <w:left w:w="50" w:type="dxa"/>
              <w:bottom w:w="50" w:type="dxa"/>
              <w:right w:w="50" w:type="dxa"/>
            </w:tcMar>
            <w:vAlign w:val="center"/>
          </w:tcPr>
          <w:p w14:paraId="29C32A81" w14:textId="77777777" w:rsidR="003418D6" w:rsidRPr="003418D6" w:rsidRDefault="003418D6" w:rsidP="00A71CCC">
            <w:pPr>
              <w:rPr>
                <w:rFonts w:ascii="Arial" w:hAnsi="Arial" w:cs="Arial"/>
                <w:b/>
                <w:bCs/>
                <w:sz w:val="16"/>
                <w:szCs w:val="16"/>
                <w:lang w:val="en-GB"/>
              </w:rPr>
            </w:pPr>
            <w:r w:rsidRPr="003418D6">
              <w:rPr>
                <w:rFonts w:ascii="Arial" w:hAnsi="Arial" w:cs="Arial"/>
                <w:bCs/>
                <w:lang w:val="en-US"/>
              </w:rPr>
              <w:t>TABLE S7</w:t>
            </w:r>
            <w:r>
              <w:rPr>
                <w:rFonts w:ascii="Arial" w:hAnsi="Arial" w:cs="Arial"/>
                <w:bCs/>
                <w:lang w:val="en-US"/>
              </w:rPr>
              <w:t>.</w:t>
            </w:r>
            <w:r w:rsidRPr="003418D6">
              <w:rPr>
                <w:rFonts w:ascii="Arial" w:hAnsi="Arial" w:cs="Arial"/>
                <w:bCs/>
                <w:lang w:val="en-US"/>
              </w:rPr>
              <w:t xml:space="preserve"> S</w:t>
            </w:r>
            <w:proofErr w:type="spellStart"/>
            <w:r w:rsidRPr="003418D6">
              <w:rPr>
                <w:rFonts w:ascii="Arial" w:hAnsi="Arial" w:cs="Arial"/>
                <w:bCs/>
                <w:sz w:val="24"/>
                <w:lang w:val="en-GB"/>
              </w:rPr>
              <w:t>ummary</w:t>
            </w:r>
            <w:proofErr w:type="spellEnd"/>
            <w:r w:rsidRPr="003418D6">
              <w:rPr>
                <w:rFonts w:ascii="Arial" w:hAnsi="Arial" w:cs="Arial"/>
                <w:sz w:val="24"/>
                <w:lang w:val="en-GB"/>
              </w:rPr>
              <w:t xml:space="preserve"> of findings table</w:t>
            </w:r>
          </w:p>
        </w:tc>
      </w:tr>
      <w:tr w:rsidR="003418D6" w:rsidRPr="003418D6" w14:paraId="7CBA0CBD" w14:textId="77777777" w:rsidTr="003418D6">
        <w:trPr>
          <w:cantSplit/>
          <w:tblHeader/>
        </w:trPr>
        <w:tc>
          <w:tcPr>
            <w:tcW w:w="2749"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1F3462F"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Certainty assessment</w:t>
            </w:r>
          </w:p>
        </w:tc>
        <w:tc>
          <w:tcPr>
            <w:tcW w:w="873"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D85B9B"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 of patients</w:t>
            </w:r>
          </w:p>
        </w:tc>
        <w:tc>
          <w:tcPr>
            <w:tcW w:w="637"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33F1DC1"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Effect</w:t>
            </w:r>
          </w:p>
        </w:tc>
        <w:tc>
          <w:tcPr>
            <w:tcW w:w="335"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76543CA"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Certainty</w:t>
            </w:r>
          </w:p>
        </w:tc>
        <w:tc>
          <w:tcPr>
            <w:tcW w:w="407"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2E66B96"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Importance</w:t>
            </w:r>
          </w:p>
        </w:tc>
      </w:tr>
      <w:tr w:rsidR="003418D6" w:rsidRPr="003418D6" w14:paraId="41EE8311" w14:textId="77777777" w:rsidTr="003418D6">
        <w:trPr>
          <w:cantSplit/>
          <w:tblHeader/>
        </w:trPr>
        <w:tc>
          <w:tcPr>
            <w:tcW w:w="28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887B828"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 of studies</w:t>
            </w:r>
          </w:p>
        </w:tc>
        <w:tc>
          <w:tcPr>
            <w:tcW w:w="41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9B095FF"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Study design</w:t>
            </w:r>
          </w:p>
        </w:tc>
        <w:tc>
          <w:tcPr>
            <w:tcW w:w="25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772BB4"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Risk of bias</w:t>
            </w:r>
          </w:p>
        </w:tc>
        <w:tc>
          <w:tcPr>
            <w:tcW w:w="47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4D490F4"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Inconsistency</w:t>
            </w:r>
          </w:p>
        </w:tc>
        <w:tc>
          <w:tcPr>
            <w:tcW w:w="42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9C99E14"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Indirectness</w:t>
            </w:r>
          </w:p>
        </w:tc>
        <w:tc>
          <w:tcPr>
            <w:tcW w:w="40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6C2635E"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Imprecision</w:t>
            </w:r>
          </w:p>
        </w:tc>
        <w:tc>
          <w:tcPr>
            <w:tcW w:w="49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A6B01E4"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Other considerations</w:t>
            </w:r>
          </w:p>
        </w:tc>
        <w:tc>
          <w:tcPr>
            <w:tcW w:w="43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6343B4F"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Beta-blockers</w:t>
            </w:r>
          </w:p>
        </w:tc>
        <w:tc>
          <w:tcPr>
            <w:tcW w:w="43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D3F101"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Non-beta-blockers</w:t>
            </w:r>
          </w:p>
        </w:tc>
        <w:tc>
          <w:tcPr>
            <w:tcW w:w="30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9D1B31E"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Relative</w:t>
            </w:r>
            <w:r w:rsidRPr="003418D6">
              <w:rPr>
                <w:rFonts w:ascii="Arial" w:hAnsi="Arial" w:cs="Arial"/>
                <w:b/>
                <w:bCs/>
                <w:sz w:val="16"/>
                <w:szCs w:val="16"/>
              </w:rPr>
              <w:br/>
              <w:t>(95% CI)</w:t>
            </w:r>
          </w:p>
        </w:tc>
        <w:tc>
          <w:tcPr>
            <w:tcW w:w="33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D15433"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Absolute</w:t>
            </w:r>
            <w:r w:rsidRPr="003418D6">
              <w:rPr>
                <w:rFonts w:ascii="Arial" w:hAnsi="Arial" w:cs="Arial"/>
                <w:b/>
                <w:bCs/>
                <w:sz w:val="16"/>
                <w:szCs w:val="16"/>
              </w:rPr>
              <w:br/>
              <w:t>(95% CI)</w:t>
            </w:r>
          </w:p>
        </w:tc>
        <w:tc>
          <w:tcPr>
            <w:tcW w:w="335" w:type="pct"/>
            <w:vMerge/>
            <w:tcBorders>
              <w:top w:val="single" w:sz="12" w:space="0" w:color="FFFFFF"/>
              <w:left w:val="single" w:sz="12" w:space="0" w:color="FFFFFF"/>
              <w:bottom w:val="single" w:sz="12" w:space="0" w:color="FFFFFF"/>
              <w:right w:val="single" w:sz="12" w:space="0" w:color="FFFFFF"/>
            </w:tcBorders>
            <w:vAlign w:val="center"/>
            <w:hideMark/>
          </w:tcPr>
          <w:p w14:paraId="2597FB40" w14:textId="77777777" w:rsidR="003418D6" w:rsidRPr="003418D6" w:rsidRDefault="003418D6" w:rsidP="003418D6">
            <w:pPr>
              <w:rPr>
                <w:rFonts w:ascii="Arial" w:hAnsi="Arial" w:cs="Arial"/>
                <w:b/>
                <w:bCs/>
                <w:sz w:val="16"/>
                <w:szCs w:val="16"/>
              </w:rPr>
            </w:pPr>
          </w:p>
        </w:tc>
        <w:tc>
          <w:tcPr>
            <w:tcW w:w="407" w:type="pct"/>
            <w:vMerge/>
            <w:tcBorders>
              <w:top w:val="single" w:sz="12" w:space="0" w:color="FFFFFF"/>
              <w:left w:val="single" w:sz="12" w:space="0" w:color="FFFFFF"/>
              <w:bottom w:val="single" w:sz="12" w:space="0" w:color="FFFFFF"/>
              <w:right w:val="single" w:sz="12" w:space="0" w:color="FFFFFF"/>
            </w:tcBorders>
            <w:vAlign w:val="center"/>
            <w:hideMark/>
          </w:tcPr>
          <w:p w14:paraId="528E8E1B" w14:textId="77777777" w:rsidR="003418D6" w:rsidRPr="003418D6" w:rsidRDefault="003418D6" w:rsidP="003418D6">
            <w:pPr>
              <w:rPr>
                <w:rFonts w:ascii="Arial" w:hAnsi="Arial" w:cs="Arial"/>
                <w:b/>
                <w:bCs/>
                <w:sz w:val="16"/>
                <w:szCs w:val="16"/>
              </w:rPr>
            </w:pPr>
          </w:p>
        </w:tc>
      </w:tr>
      <w:tr w:rsidR="003418D6" w:rsidRPr="003418D6" w14:paraId="4F722363" w14:textId="77777777" w:rsidTr="003418D6">
        <w:trPr>
          <w:cantSplit/>
        </w:trPr>
        <w:tc>
          <w:tcPr>
            <w:tcW w:w="5000" w:type="pct"/>
            <w:gridSpan w:val="13"/>
            <w:shd w:val="clear" w:color="auto" w:fill="FFFFFF"/>
            <w:tcMar>
              <w:top w:w="75" w:type="dxa"/>
              <w:left w:w="50" w:type="dxa"/>
              <w:bottom w:w="50" w:type="dxa"/>
              <w:right w:w="50" w:type="dxa"/>
            </w:tcMar>
            <w:vAlign w:val="center"/>
            <w:hideMark/>
          </w:tcPr>
          <w:p w14:paraId="7626F42C"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Mortality</w:t>
            </w:r>
          </w:p>
        </w:tc>
      </w:tr>
      <w:tr w:rsidR="003418D6" w:rsidRPr="003418D6" w14:paraId="3B1CC7FC" w14:textId="77777777" w:rsidTr="003418D6">
        <w:trPr>
          <w:cantSplit/>
        </w:trPr>
        <w:tc>
          <w:tcPr>
            <w:tcW w:w="286" w:type="pct"/>
            <w:tcBorders>
              <w:top w:val="single" w:sz="6" w:space="0" w:color="000000"/>
              <w:left w:val="single" w:sz="6" w:space="0" w:color="000000"/>
              <w:bottom w:val="single" w:sz="6" w:space="0" w:color="000000"/>
              <w:right w:val="single" w:sz="6" w:space="0" w:color="000000"/>
            </w:tcBorders>
            <w:hideMark/>
          </w:tcPr>
          <w:p w14:paraId="68C459EA"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18 </w:t>
            </w:r>
          </w:p>
        </w:tc>
        <w:tc>
          <w:tcPr>
            <w:tcW w:w="410" w:type="pct"/>
            <w:tcBorders>
              <w:top w:val="single" w:sz="6" w:space="0" w:color="000000"/>
              <w:left w:val="single" w:sz="6" w:space="0" w:color="000000"/>
              <w:bottom w:val="single" w:sz="6" w:space="0" w:color="000000"/>
              <w:right w:val="single" w:sz="6" w:space="0" w:color="000000"/>
            </w:tcBorders>
            <w:hideMark/>
          </w:tcPr>
          <w:p w14:paraId="4FBA54C0"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observational studies </w:t>
            </w:r>
          </w:p>
        </w:tc>
        <w:tc>
          <w:tcPr>
            <w:tcW w:w="252" w:type="pct"/>
            <w:tcBorders>
              <w:top w:val="single" w:sz="6" w:space="0" w:color="000000"/>
              <w:left w:val="single" w:sz="6" w:space="0" w:color="000000"/>
              <w:bottom w:val="single" w:sz="6" w:space="0" w:color="000000"/>
              <w:right w:val="single" w:sz="6" w:space="0" w:color="000000"/>
            </w:tcBorders>
            <w:hideMark/>
          </w:tcPr>
          <w:p w14:paraId="3A52356C"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serious </w:t>
            </w:r>
            <w:r w:rsidRPr="003418D6">
              <w:rPr>
                <w:rFonts w:ascii="Arial" w:hAnsi="Arial" w:cs="Arial"/>
                <w:sz w:val="16"/>
                <w:szCs w:val="16"/>
                <w:vertAlign w:val="superscript"/>
              </w:rPr>
              <w:t>a</w:t>
            </w:r>
          </w:p>
        </w:tc>
        <w:tc>
          <w:tcPr>
            <w:tcW w:w="471" w:type="pct"/>
            <w:tcBorders>
              <w:top w:val="single" w:sz="6" w:space="0" w:color="000000"/>
              <w:left w:val="single" w:sz="6" w:space="0" w:color="000000"/>
              <w:bottom w:val="single" w:sz="6" w:space="0" w:color="000000"/>
              <w:right w:val="single" w:sz="6" w:space="0" w:color="000000"/>
            </w:tcBorders>
            <w:hideMark/>
          </w:tcPr>
          <w:p w14:paraId="7ED84ABF"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serious </w:t>
            </w:r>
            <w:r w:rsidRPr="003418D6">
              <w:rPr>
                <w:rFonts w:ascii="Arial" w:hAnsi="Arial" w:cs="Arial"/>
                <w:sz w:val="16"/>
                <w:szCs w:val="16"/>
                <w:vertAlign w:val="superscript"/>
              </w:rPr>
              <w:t>b</w:t>
            </w:r>
          </w:p>
        </w:tc>
        <w:tc>
          <w:tcPr>
            <w:tcW w:w="425" w:type="pct"/>
            <w:tcBorders>
              <w:top w:val="single" w:sz="6" w:space="0" w:color="000000"/>
              <w:left w:val="single" w:sz="6" w:space="0" w:color="000000"/>
              <w:bottom w:val="single" w:sz="6" w:space="0" w:color="000000"/>
              <w:right w:val="single" w:sz="6" w:space="0" w:color="000000"/>
            </w:tcBorders>
            <w:hideMark/>
          </w:tcPr>
          <w:p w14:paraId="4AB86B69"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1FFD75E3"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96" w:type="pct"/>
            <w:tcBorders>
              <w:top w:val="single" w:sz="6" w:space="0" w:color="000000"/>
              <w:left w:val="single" w:sz="6" w:space="0" w:color="000000"/>
              <w:bottom w:val="single" w:sz="6" w:space="0" w:color="000000"/>
              <w:right w:val="single" w:sz="6" w:space="0" w:color="000000"/>
            </w:tcBorders>
            <w:hideMark/>
          </w:tcPr>
          <w:p w14:paraId="59A037AA" w14:textId="77777777" w:rsidR="003418D6" w:rsidRPr="003418D6" w:rsidRDefault="003418D6" w:rsidP="003418D6">
            <w:pPr>
              <w:rPr>
                <w:rFonts w:ascii="Arial" w:hAnsi="Arial" w:cs="Arial"/>
                <w:sz w:val="16"/>
                <w:szCs w:val="16"/>
                <w:lang w:val="en-GB"/>
              </w:rPr>
            </w:pPr>
            <w:r w:rsidRPr="003418D6">
              <w:rPr>
                <w:rFonts w:ascii="Arial" w:hAnsi="Arial" w:cs="Arial"/>
                <w:sz w:val="16"/>
                <w:szCs w:val="16"/>
                <w:lang w:val="en-GB"/>
              </w:rPr>
              <w:t xml:space="preserve">publication bias strongly suspected </w:t>
            </w:r>
            <w:r w:rsidRPr="003418D6">
              <w:rPr>
                <w:rFonts w:ascii="Arial" w:hAnsi="Arial" w:cs="Arial"/>
                <w:sz w:val="16"/>
                <w:szCs w:val="16"/>
                <w:vertAlign w:val="superscript"/>
                <w:lang w:val="en-GB"/>
              </w:rPr>
              <w:t>c</w:t>
            </w:r>
          </w:p>
        </w:tc>
        <w:tc>
          <w:tcPr>
            <w:tcW w:w="436" w:type="pct"/>
            <w:tcBorders>
              <w:top w:val="single" w:sz="6" w:space="0" w:color="000000"/>
              <w:left w:val="single" w:sz="6" w:space="0" w:color="000000"/>
              <w:bottom w:val="single" w:sz="6" w:space="0" w:color="000000"/>
              <w:right w:val="single" w:sz="6" w:space="0" w:color="000000"/>
            </w:tcBorders>
            <w:hideMark/>
          </w:tcPr>
          <w:p w14:paraId="7284696B"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26186/116540 (22.5%) </w:t>
            </w:r>
          </w:p>
        </w:tc>
        <w:tc>
          <w:tcPr>
            <w:tcW w:w="436" w:type="pct"/>
            <w:tcBorders>
              <w:top w:val="single" w:sz="6" w:space="0" w:color="000000"/>
              <w:left w:val="single" w:sz="6" w:space="0" w:color="000000"/>
              <w:bottom w:val="single" w:sz="6" w:space="0" w:color="000000"/>
              <w:right w:val="single" w:sz="6" w:space="0" w:color="000000"/>
            </w:tcBorders>
            <w:hideMark/>
          </w:tcPr>
          <w:p w14:paraId="5CCD26F4"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90354/116540 (77.5%) </w:t>
            </w:r>
          </w:p>
        </w:tc>
        <w:tc>
          <w:tcPr>
            <w:tcW w:w="306" w:type="pct"/>
            <w:tcBorders>
              <w:top w:val="single" w:sz="6" w:space="0" w:color="000000"/>
              <w:left w:val="single" w:sz="6" w:space="0" w:color="000000"/>
              <w:bottom w:val="single" w:sz="6" w:space="0" w:color="000000"/>
              <w:right w:val="single" w:sz="6" w:space="0" w:color="000000"/>
            </w:tcBorders>
            <w:hideMark/>
          </w:tcPr>
          <w:p w14:paraId="455C4CDC" w14:textId="77777777" w:rsidR="003418D6" w:rsidRPr="003418D6" w:rsidRDefault="003418D6" w:rsidP="003418D6">
            <w:pPr>
              <w:rPr>
                <w:rFonts w:ascii="Arial" w:hAnsi="Arial" w:cs="Arial"/>
                <w:sz w:val="16"/>
                <w:szCs w:val="16"/>
              </w:rPr>
            </w:pPr>
            <w:r w:rsidRPr="003418D6">
              <w:rPr>
                <w:rFonts w:ascii="Arial" w:hAnsi="Arial" w:cs="Arial"/>
                <w:b/>
                <w:bCs/>
                <w:sz w:val="16"/>
                <w:szCs w:val="16"/>
              </w:rPr>
              <w:t>RR 0.94</w:t>
            </w:r>
            <w:r w:rsidRPr="003418D6">
              <w:rPr>
                <w:rFonts w:ascii="Arial" w:hAnsi="Arial" w:cs="Arial"/>
                <w:sz w:val="16"/>
                <w:szCs w:val="16"/>
              </w:rPr>
              <w:br/>
              <w:t xml:space="preserve">(0.79 to 1.12) </w:t>
            </w:r>
          </w:p>
        </w:tc>
        <w:tc>
          <w:tcPr>
            <w:tcW w:w="331" w:type="pct"/>
            <w:tcBorders>
              <w:top w:val="single" w:sz="6" w:space="0" w:color="000000"/>
              <w:left w:val="single" w:sz="6" w:space="0" w:color="000000"/>
              <w:bottom w:val="single" w:sz="6" w:space="0" w:color="000000"/>
              <w:right w:val="single" w:sz="6" w:space="0" w:color="000000"/>
            </w:tcBorders>
            <w:hideMark/>
          </w:tcPr>
          <w:p w14:paraId="00FD752F" w14:textId="77777777" w:rsidR="003418D6" w:rsidRPr="003418D6" w:rsidRDefault="003418D6" w:rsidP="003418D6">
            <w:pPr>
              <w:rPr>
                <w:rFonts w:ascii="Arial" w:hAnsi="Arial" w:cs="Arial"/>
                <w:sz w:val="16"/>
                <w:szCs w:val="16"/>
                <w:lang w:val="en-GB"/>
              </w:rPr>
            </w:pPr>
            <w:r w:rsidRPr="003418D6">
              <w:rPr>
                <w:rFonts w:ascii="Arial" w:hAnsi="Arial" w:cs="Arial"/>
                <w:b/>
                <w:bCs/>
                <w:sz w:val="16"/>
                <w:szCs w:val="16"/>
                <w:lang w:val="en-GB"/>
              </w:rPr>
              <w:t>47 fewer per 1 000</w:t>
            </w:r>
            <w:r w:rsidRPr="003418D6">
              <w:rPr>
                <w:rFonts w:ascii="Arial" w:hAnsi="Arial" w:cs="Arial"/>
                <w:sz w:val="16"/>
                <w:szCs w:val="16"/>
                <w:lang w:val="en-GB"/>
              </w:rPr>
              <w:br/>
              <w:t xml:space="preserve">(from 163 fewer to 93 more) </w:t>
            </w:r>
          </w:p>
        </w:tc>
        <w:tc>
          <w:tcPr>
            <w:tcW w:w="335" w:type="pct"/>
            <w:tcBorders>
              <w:top w:val="single" w:sz="6" w:space="0" w:color="000000"/>
              <w:left w:val="single" w:sz="6" w:space="0" w:color="000000"/>
              <w:bottom w:val="single" w:sz="6" w:space="0" w:color="000000"/>
              <w:right w:val="single" w:sz="6" w:space="0" w:color="000000"/>
            </w:tcBorders>
            <w:hideMark/>
          </w:tcPr>
          <w:p w14:paraId="168536B6" w14:textId="77777777" w:rsidR="003418D6" w:rsidRPr="003418D6" w:rsidRDefault="003418D6" w:rsidP="003418D6">
            <w:pPr>
              <w:rPr>
                <w:rFonts w:ascii="Arial" w:hAnsi="Arial" w:cs="Arial"/>
                <w:sz w:val="16"/>
                <w:szCs w:val="16"/>
              </w:rPr>
            </w:pPr>
            <w:r w:rsidRPr="003418D6">
              <w:rPr>
                <w:rFonts w:ascii="Cambria Math" w:hAnsi="Cambria Math" w:cs="Cambria Math"/>
                <w:sz w:val="16"/>
                <w:szCs w:val="16"/>
              </w:rPr>
              <w:t>⨁◯◯◯</w:t>
            </w:r>
            <w:r w:rsidRPr="003418D6">
              <w:rPr>
                <w:rFonts w:ascii="Arial" w:hAnsi="Arial" w:cs="Arial"/>
                <w:sz w:val="16"/>
                <w:szCs w:val="16"/>
              </w:rPr>
              <w:br/>
              <w:t xml:space="preserve">VERY LOW </w:t>
            </w:r>
          </w:p>
        </w:tc>
        <w:tc>
          <w:tcPr>
            <w:tcW w:w="407" w:type="pct"/>
            <w:tcBorders>
              <w:top w:val="single" w:sz="6" w:space="0" w:color="000000"/>
              <w:left w:val="single" w:sz="6" w:space="0" w:color="000000"/>
              <w:bottom w:val="single" w:sz="6" w:space="0" w:color="000000"/>
              <w:right w:val="single" w:sz="6" w:space="0" w:color="000000"/>
            </w:tcBorders>
            <w:hideMark/>
          </w:tcPr>
          <w:p w14:paraId="0F90A529"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IMPORTANT </w:t>
            </w:r>
          </w:p>
        </w:tc>
      </w:tr>
      <w:tr w:rsidR="003418D6" w:rsidRPr="003418D6" w14:paraId="20E42473" w14:textId="77777777" w:rsidTr="003418D6">
        <w:trPr>
          <w:cantSplit/>
        </w:trPr>
        <w:tc>
          <w:tcPr>
            <w:tcW w:w="5000" w:type="pct"/>
            <w:gridSpan w:val="13"/>
            <w:shd w:val="clear" w:color="auto" w:fill="FFFFFF"/>
            <w:tcMar>
              <w:top w:w="75" w:type="dxa"/>
              <w:left w:w="50" w:type="dxa"/>
              <w:bottom w:w="50" w:type="dxa"/>
              <w:right w:w="50" w:type="dxa"/>
            </w:tcMar>
            <w:vAlign w:val="center"/>
            <w:hideMark/>
          </w:tcPr>
          <w:p w14:paraId="5A30E593"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Mortality subanalysis</w:t>
            </w:r>
          </w:p>
        </w:tc>
      </w:tr>
      <w:tr w:rsidR="003418D6" w:rsidRPr="003418D6" w14:paraId="5A9092D2" w14:textId="77777777" w:rsidTr="003418D6">
        <w:trPr>
          <w:cantSplit/>
        </w:trPr>
        <w:tc>
          <w:tcPr>
            <w:tcW w:w="286" w:type="pct"/>
            <w:tcBorders>
              <w:top w:val="single" w:sz="6" w:space="0" w:color="000000"/>
              <w:left w:val="single" w:sz="6" w:space="0" w:color="000000"/>
              <w:bottom w:val="single" w:sz="6" w:space="0" w:color="000000"/>
              <w:right w:val="single" w:sz="6" w:space="0" w:color="000000"/>
            </w:tcBorders>
            <w:hideMark/>
          </w:tcPr>
          <w:p w14:paraId="6B5726C4"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10 </w:t>
            </w:r>
          </w:p>
        </w:tc>
        <w:tc>
          <w:tcPr>
            <w:tcW w:w="410" w:type="pct"/>
            <w:tcBorders>
              <w:top w:val="single" w:sz="6" w:space="0" w:color="000000"/>
              <w:left w:val="single" w:sz="6" w:space="0" w:color="000000"/>
              <w:bottom w:val="single" w:sz="6" w:space="0" w:color="000000"/>
              <w:right w:val="single" w:sz="6" w:space="0" w:color="000000"/>
            </w:tcBorders>
            <w:hideMark/>
          </w:tcPr>
          <w:p w14:paraId="097728FD"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observational studies </w:t>
            </w:r>
          </w:p>
        </w:tc>
        <w:tc>
          <w:tcPr>
            <w:tcW w:w="252" w:type="pct"/>
            <w:tcBorders>
              <w:top w:val="single" w:sz="6" w:space="0" w:color="000000"/>
              <w:left w:val="single" w:sz="6" w:space="0" w:color="000000"/>
              <w:bottom w:val="single" w:sz="6" w:space="0" w:color="000000"/>
              <w:right w:val="single" w:sz="6" w:space="0" w:color="000000"/>
            </w:tcBorders>
            <w:hideMark/>
          </w:tcPr>
          <w:p w14:paraId="3B6C2815"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71" w:type="pct"/>
            <w:tcBorders>
              <w:top w:val="single" w:sz="6" w:space="0" w:color="000000"/>
              <w:left w:val="single" w:sz="6" w:space="0" w:color="000000"/>
              <w:bottom w:val="single" w:sz="6" w:space="0" w:color="000000"/>
              <w:right w:val="single" w:sz="6" w:space="0" w:color="000000"/>
            </w:tcBorders>
            <w:hideMark/>
          </w:tcPr>
          <w:p w14:paraId="3F4A93FB"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serious </w:t>
            </w:r>
            <w:r w:rsidRPr="003418D6">
              <w:rPr>
                <w:rFonts w:ascii="Arial" w:hAnsi="Arial" w:cs="Arial"/>
                <w:sz w:val="16"/>
                <w:szCs w:val="16"/>
                <w:vertAlign w:val="superscript"/>
              </w:rPr>
              <w:t>d</w:t>
            </w:r>
          </w:p>
        </w:tc>
        <w:tc>
          <w:tcPr>
            <w:tcW w:w="425" w:type="pct"/>
            <w:tcBorders>
              <w:top w:val="single" w:sz="6" w:space="0" w:color="000000"/>
              <w:left w:val="single" w:sz="6" w:space="0" w:color="000000"/>
              <w:bottom w:val="single" w:sz="6" w:space="0" w:color="000000"/>
              <w:right w:val="single" w:sz="6" w:space="0" w:color="000000"/>
            </w:tcBorders>
            <w:hideMark/>
          </w:tcPr>
          <w:p w14:paraId="2B1BE2AB"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67D395D5"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96" w:type="pct"/>
            <w:tcBorders>
              <w:top w:val="single" w:sz="6" w:space="0" w:color="000000"/>
              <w:left w:val="single" w:sz="6" w:space="0" w:color="000000"/>
              <w:bottom w:val="single" w:sz="6" w:space="0" w:color="000000"/>
              <w:right w:val="single" w:sz="6" w:space="0" w:color="000000"/>
            </w:tcBorders>
            <w:hideMark/>
          </w:tcPr>
          <w:p w14:paraId="3B27F2CE"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none </w:t>
            </w:r>
          </w:p>
        </w:tc>
        <w:tc>
          <w:tcPr>
            <w:tcW w:w="436" w:type="pct"/>
            <w:tcBorders>
              <w:top w:val="single" w:sz="6" w:space="0" w:color="000000"/>
              <w:left w:val="single" w:sz="6" w:space="0" w:color="000000"/>
              <w:bottom w:val="single" w:sz="6" w:space="0" w:color="000000"/>
              <w:right w:val="single" w:sz="6" w:space="0" w:color="000000"/>
            </w:tcBorders>
            <w:hideMark/>
          </w:tcPr>
          <w:p w14:paraId="069AAE4B"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5557/17001 (32.7%) </w:t>
            </w:r>
          </w:p>
        </w:tc>
        <w:tc>
          <w:tcPr>
            <w:tcW w:w="436" w:type="pct"/>
            <w:tcBorders>
              <w:top w:val="single" w:sz="6" w:space="0" w:color="000000"/>
              <w:left w:val="single" w:sz="6" w:space="0" w:color="000000"/>
              <w:bottom w:val="single" w:sz="6" w:space="0" w:color="000000"/>
              <w:right w:val="single" w:sz="6" w:space="0" w:color="000000"/>
            </w:tcBorders>
            <w:hideMark/>
          </w:tcPr>
          <w:p w14:paraId="771D2479"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11444/17001 (67.3%) </w:t>
            </w:r>
          </w:p>
        </w:tc>
        <w:tc>
          <w:tcPr>
            <w:tcW w:w="306" w:type="pct"/>
            <w:tcBorders>
              <w:top w:val="single" w:sz="6" w:space="0" w:color="000000"/>
              <w:left w:val="single" w:sz="6" w:space="0" w:color="000000"/>
              <w:bottom w:val="single" w:sz="6" w:space="0" w:color="000000"/>
              <w:right w:val="single" w:sz="6" w:space="0" w:color="000000"/>
            </w:tcBorders>
            <w:hideMark/>
          </w:tcPr>
          <w:p w14:paraId="340D1CC2" w14:textId="77777777" w:rsidR="003418D6" w:rsidRPr="003418D6" w:rsidRDefault="003418D6" w:rsidP="003418D6">
            <w:pPr>
              <w:rPr>
                <w:rFonts w:ascii="Arial" w:hAnsi="Arial" w:cs="Arial"/>
                <w:sz w:val="16"/>
                <w:szCs w:val="16"/>
              </w:rPr>
            </w:pPr>
            <w:r w:rsidRPr="003418D6">
              <w:rPr>
                <w:rFonts w:ascii="Arial" w:hAnsi="Arial" w:cs="Arial"/>
                <w:b/>
                <w:bCs/>
                <w:sz w:val="16"/>
                <w:szCs w:val="16"/>
              </w:rPr>
              <w:t>RR 0.90</w:t>
            </w:r>
            <w:r w:rsidRPr="003418D6">
              <w:rPr>
                <w:rFonts w:ascii="Arial" w:hAnsi="Arial" w:cs="Arial"/>
                <w:sz w:val="16"/>
                <w:szCs w:val="16"/>
              </w:rPr>
              <w:br/>
              <w:t xml:space="preserve">(0.65 to 1.24) </w:t>
            </w:r>
          </w:p>
        </w:tc>
        <w:tc>
          <w:tcPr>
            <w:tcW w:w="331" w:type="pct"/>
            <w:tcBorders>
              <w:top w:val="single" w:sz="6" w:space="0" w:color="000000"/>
              <w:left w:val="single" w:sz="6" w:space="0" w:color="000000"/>
              <w:bottom w:val="single" w:sz="6" w:space="0" w:color="000000"/>
              <w:right w:val="single" w:sz="6" w:space="0" w:color="000000"/>
            </w:tcBorders>
            <w:hideMark/>
          </w:tcPr>
          <w:p w14:paraId="76152068" w14:textId="77777777" w:rsidR="003418D6" w:rsidRPr="003418D6" w:rsidRDefault="003418D6" w:rsidP="003418D6">
            <w:pPr>
              <w:rPr>
                <w:rFonts w:ascii="Arial" w:hAnsi="Arial" w:cs="Arial"/>
                <w:sz w:val="16"/>
                <w:szCs w:val="16"/>
                <w:lang w:val="en-GB"/>
              </w:rPr>
            </w:pPr>
            <w:r w:rsidRPr="003418D6">
              <w:rPr>
                <w:rFonts w:ascii="Arial" w:hAnsi="Arial" w:cs="Arial"/>
                <w:b/>
                <w:bCs/>
                <w:sz w:val="16"/>
                <w:szCs w:val="16"/>
                <w:lang w:val="en-GB"/>
              </w:rPr>
              <w:t>67 fewer per 1 000</w:t>
            </w:r>
            <w:r w:rsidRPr="003418D6">
              <w:rPr>
                <w:rFonts w:ascii="Arial" w:hAnsi="Arial" w:cs="Arial"/>
                <w:sz w:val="16"/>
                <w:szCs w:val="16"/>
                <w:lang w:val="en-GB"/>
              </w:rPr>
              <w:br/>
              <w:t xml:space="preserve">(from 236 fewer to 162 more) </w:t>
            </w:r>
          </w:p>
        </w:tc>
        <w:tc>
          <w:tcPr>
            <w:tcW w:w="335" w:type="pct"/>
            <w:tcBorders>
              <w:top w:val="single" w:sz="6" w:space="0" w:color="000000"/>
              <w:left w:val="single" w:sz="6" w:space="0" w:color="000000"/>
              <w:bottom w:val="single" w:sz="6" w:space="0" w:color="000000"/>
              <w:right w:val="single" w:sz="6" w:space="0" w:color="000000"/>
            </w:tcBorders>
            <w:hideMark/>
          </w:tcPr>
          <w:p w14:paraId="23891F22" w14:textId="77777777" w:rsidR="003418D6" w:rsidRPr="003418D6" w:rsidRDefault="003418D6" w:rsidP="003418D6">
            <w:pPr>
              <w:rPr>
                <w:rFonts w:ascii="Arial" w:hAnsi="Arial" w:cs="Arial"/>
                <w:sz w:val="16"/>
                <w:szCs w:val="16"/>
              </w:rPr>
            </w:pPr>
            <w:r w:rsidRPr="003418D6">
              <w:rPr>
                <w:rFonts w:ascii="Cambria Math" w:hAnsi="Cambria Math" w:cs="Cambria Math"/>
                <w:sz w:val="16"/>
                <w:szCs w:val="16"/>
              </w:rPr>
              <w:t>⨁◯◯◯</w:t>
            </w:r>
            <w:r w:rsidRPr="003418D6">
              <w:rPr>
                <w:rFonts w:ascii="Arial" w:hAnsi="Arial" w:cs="Arial"/>
                <w:sz w:val="16"/>
                <w:szCs w:val="16"/>
              </w:rPr>
              <w:br/>
              <w:t xml:space="preserve">VERY LOW </w:t>
            </w:r>
          </w:p>
        </w:tc>
        <w:tc>
          <w:tcPr>
            <w:tcW w:w="407" w:type="pct"/>
            <w:tcBorders>
              <w:top w:val="single" w:sz="6" w:space="0" w:color="000000"/>
              <w:left w:val="single" w:sz="6" w:space="0" w:color="000000"/>
              <w:bottom w:val="single" w:sz="6" w:space="0" w:color="000000"/>
              <w:right w:val="single" w:sz="6" w:space="0" w:color="000000"/>
            </w:tcBorders>
            <w:hideMark/>
          </w:tcPr>
          <w:p w14:paraId="5E7C1DD0"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IMPORTANT </w:t>
            </w:r>
          </w:p>
        </w:tc>
      </w:tr>
      <w:tr w:rsidR="003418D6" w:rsidRPr="003418D6" w14:paraId="5689CE4B" w14:textId="77777777" w:rsidTr="003418D6">
        <w:trPr>
          <w:cantSplit/>
        </w:trPr>
        <w:tc>
          <w:tcPr>
            <w:tcW w:w="5000" w:type="pct"/>
            <w:gridSpan w:val="13"/>
            <w:shd w:val="clear" w:color="auto" w:fill="FFFFFF"/>
            <w:tcMar>
              <w:top w:w="75" w:type="dxa"/>
              <w:left w:w="50" w:type="dxa"/>
              <w:bottom w:w="50" w:type="dxa"/>
              <w:right w:w="50" w:type="dxa"/>
            </w:tcMar>
            <w:vAlign w:val="center"/>
            <w:hideMark/>
          </w:tcPr>
          <w:p w14:paraId="775D6F75"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Functional outcome</w:t>
            </w:r>
          </w:p>
        </w:tc>
      </w:tr>
      <w:tr w:rsidR="003418D6" w:rsidRPr="003418D6" w14:paraId="2316AF0A" w14:textId="77777777" w:rsidTr="003418D6">
        <w:trPr>
          <w:cantSplit/>
        </w:trPr>
        <w:tc>
          <w:tcPr>
            <w:tcW w:w="286" w:type="pct"/>
            <w:tcBorders>
              <w:top w:val="single" w:sz="6" w:space="0" w:color="000000"/>
              <w:left w:val="single" w:sz="6" w:space="0" w:color="000000"/>
              <w:bottom w:val="single" w:sz="6" w:space="0" w:color="000000"/>
              <w:right w:val="single" w:sz="6" w:space="0" w:color="000000"/>
            </w:tcBorders>
            <w:hideMark/>
          </w:tcPr>
          <w:p w14:paraId="7FBBF792"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11 </w:t>
            </w:r>
          </w:p>
        </w:tc>
        <w:tc>
          <w:tcPr>
            <w:tcW w:w="410" w:type="pct"/>
            <w:tcBorders>
              <w:top w:val="single" w:sz="6" w:space="0" w:color="000000"/>
              <w:left w:val="single" w:sz="6" w:space="0" w:color="000000"/>
              <w:bottom w:val="single" w:sz="6" w:space="0" w:color="000000"/>
              <w:right w:val="single" w:sz="6" w:space="0" w:color="000000"/>
            </w:tcBorders>
            <w:hideMark/>
          </w:tcPr>
          <w:p w14:paraId="6915A48E"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observational studies </w:t>
            </w:r>
          </w:p>
        </w:tc>
        <w:tc>
          <w:tcPr>
            <w:tcW w:w="252" w:type="pct"/>
            <w:tcBorders>
              <w:top w:val="single" w:sz="6" w:space="0" w:color="000000"/>
              <w:left w:val="single" w:sz="6" w:space="0" w:color="000000"/>
              <w:bottom w:val="single" w:sz="6" w:space="0" w:color="000000"/>
              <w:right w:val="single" w:sz="6" w:space="0" w:color="000000"/>
            </w:tcBorders>
            <w:hideMark/>
          </w:tcPr>
          <w:p w14:paraId="7E56D9FD"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serious </w:t>
            </w:r>
            <w:r w:rsidRPr="003418D6">
              <w:rPr>
                <w:rFonts w:ascii="Arial" w:hAnsi="Arial" w:cs="Arial"/>
                <w:sz w:val="16"/>
                <w:szCs w:val="16"/>
                <w:vertAlign w:val="superscript"/>
              </w:rPr>
              <w:t>e</w:t>
            </w:r>
          </w:p>
        </w:tc>
        <w:tc>
          <w:tcPr>
            <w:tcW w:w="471" w:type="pct"/>
            <w:tcBorders>
              <w:top w:val="single" w:sz="6" w:space="0" w:color="000000"/>
              <w:left w:val="single" w:sz="6" w:space="0" w:color="000000"/>
              <w:bottom w:val="single" w:sz="6" w:space="0" w:color="000000"/>
              <w:right w:val="single" w:sz="6" w:space="0" w:color="000000"/>
            </w:tcBorders>
            <w:hideMark/>
          </w:tcPr>
          <w:p w14:paraId="64F5A928"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25" w:type="pct"/>
            <w:tcBorders>
              <w:top w:val="single" w:sz="6" w:space="0" w:color="000000"/>
              <w:left w:val="single" w:sz="6" w:space="0" w:color="000000"/>
              <w:bottom w:val="single" w:sz="6" w:space="0" w:color="000000"/>
              <w:right w:val="single" w:sz="6" w:space="0" w:color="000000"/>
            </w:tcBorders>
            <w:hideMark/>
          </w:tcPr>
          <w:p w14:paraId="3F675340"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79F1916B"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96" w:type="pct"/>
            <w:tcBorders>
              <w:top w:val="single" w:sz="6" w:space="0" w:color="000000"/>
              <w:left w:val="single" w:sz="6" w:space="0" w:color="000000"/>
              <w:bottom w:val="single" w:sz="6" w:space="0" w:color="000000"/>
              <w:right w:val="single" w:sz="6" w:space="0" w:color="000000"/>
            </w:tcBorders>
            <w:hideMark/>
          </w:tcPr>
          <w:p w14:paraId="4364A78A"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none </w:t>
            </w:r>
          </w:p>
        </w:tc>
        <w:tc>
          <w:tcPr>
            <w:tcW w:w="436" w:type="pct"/>
            <w:tcBorders>
              <w:top w:val="single" w:sz="6" w:space="0" w:color="000000"/>
              <w:left w:val="single" w:sz="6" w:space="0" w:color="000000"/>
              <w:bottom w:val="single" w:sz="6" w:space="0" w:color="000000"/>
              <w:right w:val="single" w:sz="6" w:space="0" w:color="000000"/>
            </w:tcBorders>
            <w:hideMark/>
          </w:tcPr>
          <w:p w14:paraId="077C21BE"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4503/19122 (23.5%) </w:t>
            </w:r>
          </w:p>
        </w:tc>
        <w:tc>
          <w:tcPr>
            <w:tcW w:w="436" w:type="pct"/>
            <w:tcBorders>
              <w:top w:val="single" w:sz="6" w:space="0" w:color="000000"/>
              <w:left w:val="single" w:sz="6" w:space="0" w:color="000000"/>
              <w:bottom w:val="single" w:sz="6" w:space="0" w:color="000000"/>
              <w:right w:val="single" w:sz="6" w:space="0" w:color="000000"/>
            </w:tcBorders>
            <w:hideMark/>
          </w:tcPr>
          <w:p w14:paraId="402729E0"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14619/19122 (76.5%) </w:t>
            </w:r>
          </w:p>
        </w:tc>
        <w:tc>
          <w:tcPr>
            <w:tcW w:w="306" w:type="pct"/>
            <w:tcBorders>
              <w:top w:val="single" w:sz="6" w:space="0" w:color="000000"/>
              <w:left w:val="single" w:sz="6" w:space="0" w:color="000000"/>
              <w:bottom w:val="single" w:sz="6" w:space="0" w:color="000000"/>
              <w:right w:val="single" w:sz="6" w:space="0" w:color="000000"/>
            </w:tcBorders>
            <w:hideMark/>
          </w:tcPr>
          <w:p w14:paraId="397E4487" w14:textId="77777777" w:rsidR="003418D6" w:rsidRPr="003418D6" w:rsidRDefault="003418D6" w:rsidP="003418D6">
            <w:pPr>
              <w:rPr>
                <w:rFonts w:ascii="Arial" w:hAnsi="Arial" w:cs="Arial"/>
                <w:sz w:val="16"/>
                <w:szCs w:val="16"/>
              </w:rPr>
            </w:pPr>
            <w:r w:rsidRPr="003418D6">
              <w:rPr>
                <w:rFonts w:ascii="Arial" w:hAnsi="Arial" w:cs="Arial"/>
                <w:b/>
                <w:bCs/>
                <w:sz w:val="16"/>
                <w:szCs w:val="16"/>
              </w:rPr>
              <w:t>OR 0.99</w:t>
            </w:r>
            <w:r w:rsidRPr="003418D6">
              <w:rPr>
                <w:rFonts w:ascii="Arial" w:hAnsi="Arial" w:cs="Arial"/>
                <w:sz w:val="16"/>
                <w:szCs w:val="16"/>
              </w:rPr>
              <w:br/>
              <w:t xml:space="preserve">(0.91 to 1.08) </w:t>
            </w:r>
          </w:p>
        </w:tc>
        <w:tc>
          <w:tcPr>
            <w:tcW w:w="331" w:type="pct"/>
            <w:tcBorders>
              <w:top w:val="single" w:sz="6" w:space="0" w:color="000000"/>
              <w:left w:val="single" w:sz="6" w:space="0" w:color="000000"/>
              <w:bottom w:val="single" w:sz="6" w:space="0" w:color="000000"/>
              <w:right w:val="single" w:sz="6" w:space="0" w:color="000000"/>
            </w:tcBorders>
            <w:hideMark/>
          </w:tcPr>
          <w:p w14:paraId="3C17B3D4" w14:textId="77777777" w:rsidR="003418D6" w:rsidRPr="003418D6" w:rsidRDefault="003418D6" w:rsidP="003418D6">
            <w:pPr>
              <w:rPr>
                <w:rFonts w:ascii="Arial" w:hAnsi="Arial" w:cs="Arial"/>
                <w:sz w:val="16"/>
                <w:szCs w:val="16"/>
                <w:lang w:val="en-GB"/>
              </w:rPr>
            </w:pPr>
            <w:r w:rsidRPr="003418D6">
              <w:rPr>
                <w:rFonts w:ascii="Arial" w:hAnsi="Arial" w:cs="Arial"/>
                <w:b/>
                <w:bCs/>
                <w:sz w:val="16"/>
                <w:szCs w:val="16"/>
                <w:lang w:val="en-GB"/>
              </w:rPr>
              <w:t>2 fewer per 1 000</w:t>
            </w:r>
            <w:r w:rsidRPr="003418D6">
              <w:rPr>
                <w:rFonts w:ascii="Arial" w:hAnsi="Arial" w:cs="Arial"/>
                <w:sz w:val="16"/>
                <w:szCs w:val="16"/>
                <w:lang w:val="en-GB"/>
              </w:rPr>
              <w:br/>
              <w:t xml:space="preserve">(from 17 fewer to 14 more) </w:t>
            </w:r>
          </w:p>
        </w:tc>
        <w:tc>
          <w:tcPr>
            <w:tcW w:w="335" w:type="pct"/>
            <w:tcBorders>
              <w:top w:val="single" w:sz="6" w:space="0" w:color="000000"/>
              <w:left w:val="single" w:sz="6" w:space="0" w:color="000000"/>
              <w:bottom w:val="single" w:sz="6" w:space="0" w:color="000000"/>
              <w:right w:val="single" w:sz="6" w:space="0" w:color="000000"/>
            </w:tcBorders>
            <w:hideMark/>
          </w:tcPr>
          <w:p w14:paraId="745A9C1C" w14:textId="77777777" w:rsidR="003418D6" w:rsidRPr="003418D6" w:rsidRDefault="003418D6" w:rsidP="003418D6">
            <w:pPr>
              <w:rPr>
                <w:rFonts w:ascii="Arial" w:hAnsi="Arial" w:cs="Arial"/>
                <w:sz w:val="16"/>
                <w:szCs w:val="16"/>
              </w:rPr>
            </w:pPr>
            <w:r w:rsidRPr="003418D6">
              <w:rPr>
                <w:rFonts w:ascii="Cambria Math" w:hAnsi="Cambria Math" w:cs="Cambria Math"/>
                <w:sz w:val="16"/>
                <w:szCs w:val="16"/>
              </w:rPr>
              <w:t>⨁◯◯◯</w:t>
            </w:r>
            <w:r w:rsidRPr="003418D6">
              <w:rPr>
                <w:rFonts w:ascii="Arial" w:hAnsi="Arial" w:cs="Arial"/>
                <w:sz w:val="16"/>
                <w:szCs w:val="16"/>
              </w:rPr>
              <w:br/>
              <w:t xml:space="preserve">VERY LOW </w:t>
            </w:r>
          </w:p>
        </w:tc>
        <w:tc>
          <w:tcPr>
            <w:tcW w:w="407" w:type="pct"/>
            <w:tcBorders>
              <w:top w:val="single" w:sz="6" w:space="0" w:color="000000"/>
              <w:left w:val="single" w:sz="6" w:space="0" w:color="000000"/>
              <w:bottom w:val="single" w:sz="6" w:space="0" w:color="000000"/>
              <w:right w:val="single" w:sz="6" w:space="0" w:color="000000"/>
            </w:tcBorders>
            <w:hideMark/>
          </w:tcPr>
          <w:p w14:paraId="5323E50B"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IMPORTANT </w:t>
            </w:r>
          </w:p>
        </w:tc>
      </w:tr>
      <w:tr w:rsidR="003418D6" w:rsidRPr="003418D6" w14:paraId="6A437585" w14:textId="77777777" w:rsidTr="003418D6">
        <w:trPr>
          <w:cantSplit/>
        </w:trPr>
        <w:tc>
          <w:tcPr>
            <w:tcW w:w="5000" w:type="pct"/>
            <w:gridSpan w:val="13"/>
            <w:shd w:val="clear" w:color="auto" w:fill="FFFFFF"/>
            <w:tcMar>
              <w:top w:w="75" w:type="dxa"/>
              <w:left w:w="50" w:type="dxa"/>
              <w:bottom w:w="50" w:type="dxa"/>
              <w:right w:w="50" w:type="dxa"/>
            </w:tcMar>
            <w:vAlign w:val="center"/>
            <w:hideMark/>
          </w:tcPr>
          <w:p w14:paraId="3845D685"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Functional outcome subanalysis</w:t>
            </w:r>
          </w:p>
        </w:tc>
      </w:tr>
      <w:tr w:rsidR="003418D6" w:rsidRPr="003418D6" w14:paraId="0D1C57A5" w14:textId="77777777" w:rsidTr="003418D6">
        <w:trPr>
          <w:cantSplit/>
        </w:trPr>
        <w:tc>
          <w:tcPr>
            <w:tcW w:w="286" w:type="pct"/>
            <w:tcBorders>
              <w:top w:val="single" w:sz="6" w:space="0" w:color="000000"/>
              <w:left w:val="single" w:sz="6" w:space="0" w:color="000000"/>
              <w:bottom w:val="single" w:sz="6" w:space="0" w:color="000000"/>
              <w:right w:val="single" w:sz="6" w:space="0" w:color="000000"/>
            </w:tcBorders>
            <w:hideMark/>
          </w:tcPr>
          <w:p w14:paraId="39005AEA"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3 </w:t>
            </w:r>
          </w:p>
        </w:tc>
        <w:tc>
          <w:tcPr>
            <w:tcW w:w="410" w:type="pct"/>
            <w:tcBorders>
              <w:top w:val="single" w:sz="6" w:space="0" w:color="000000"/>
              <w:left w:val="single" w:sz="6" w:space="0" w:color="000000"/>
              <w:bottom w:val="single" w:sz="6" w:space="0" w:color="000000"/>
              <w:right w:val="single" w:sz="6" w:space="0" w:color="000000"/>
            </w:tcBorders>
            <w:hideMark/>
          </w:tcPr>
          <w:p w14:paraId="5DAC968D"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observational studies </w:t>
            </w:r>
          </w:p>
        </w:tc>
        <w:tc>
          <w:tcPr>
            <w:tcW w:w="252" w:type="pct"/>
            <w:tcBorders>
              <w:top w:val="single" w:sz="6" w:space="0" w:color="000000"/>
              <w:left w:val="single" w:sz="6" w:space="0" w:color="000000"/>
              <w:bottom w:val="single" w:sz="6" w:space="0" w:color="000000"/>
              <w:right w:val="single" w:sz="6" w:space="0" w:color="000000"/>
            </w:tcBorders>
            <w:hideMark/>
          </w:tcPr>
          <w:p w14:paraId="41188D5E"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71" w:type="pct"/>
            <w:tcBorders>
              <w:top w:val="single" w:sz="6" w:space="0" w:color="000000"/>
              <w:left w:val="single" w:sz="6" w:space="0" w:color="000000"/>
              <w:bottom w:val="single" w:sz="6" w:space="0" w:color="000000"/>
              <w:right w:val="single" w:sz="6" w:space="0" w:color="000000"/>
            </w:tcBorders>
            <w:hideMark/>
          </w:tcPr>
          <w:p w14:paraId="65F4296F"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25" w:type="pct"/>
            <w:tcBorders>
              <w:top w:val="single" w:sz="6" w:space="0" w:color="000000"/>
              <w:left w:val="single" w:sz="6" w:space="0" w:color="000000"/>
              <w:bottom w:val="single" w:sz="6" w:space="0" w:color="000000"/>
              <w:right w:val="single" w:sz="6" w:space="0" w:color="000000"/>
            </w:tcBorders>
            <w:hideMark/>
          </w:tcPr>
          <w:p w14:paraId="62E682CE"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4034FFDD"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96" w:type="pct"/>
            <w:tcBorders>
              <w:top w:val="single" w:sz="6" w:space="0" w:color="000000"/>
              <w:left w:val="single" w:sz="6" w:space="0" w:color="000000"/>
              <w:bottom w:val="single" w:sz="6" w:space="0" w:color="000000"/>
              <w:right w:val="single" w:sz="6" w:space="0" w:color="000000"/>
            </w:tcBorders>
            <w:hideMark/>
          </w:tcPr>
          <w:p w14:paraId="4C4891C2"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none </w:t>
            </w:r>
          </w:p>
        </w:tc>
        <w:tc>
          <w:tcPr>
            <w:tcW w:w="436" w:type="pct"/>
            <w:tcBorders>
              <w:top w:val="single" w:sz="6" w:space="0" w:color="000000"/>
              <w:left w:val="single" w:sz="6" w:space="0" w:color="000000"/>
              <w:bottom w:val="single" w:sz="6" w:space="0" w:color="000000"/>
              <w:right w:val="single" w:sz="6" w:space="0" w:color="000000"/>
            </w:tcBorders>
            <w:hideMark/>
          </w:tcPr>
          <w:p w14:paraId="170C9C77"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2988/9038 (33.1%) </w:t>
            </w:r>
          </w:p>
        </w:tc>
        <w:tc>
          <w:tcPr>
            <w:tcW w:w="436" w:type="pct"/>
            <w:tcBorders>
              <w:top w:val="single" w:sz="6" w:space="0" w:color="000000"/>
              <w:left w:val="single" w:sz="6" w:space="0" w:color="000000"/>
              <w:bottom w:val="single" w:sz="6" w:space="0" w:color="000000"/>
              <w:right w:val="single" w:sz="6" w:space="0" w:color="000000"/>
            </w:tcBorders>
            <w:hideMark/>
          </w:tcPr>
          <w:p w14:paraId="59DB44AA"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6050/9038 (66.9%) </w:t>
            </w:r>
          </w:p>
        </w:tc>
        <w:tc>
          <w:tcPr>
            <w:tcW w:w="306" w:type="pct"/>
            <w:tcBorders>
              <w:top w:val="single" w:sz="6" w:space="0" w:color="000000"/>
              <w:left w:val="single" w:sz="6" w:space="0" w:color="000000"/>
              <w:bottom w:val="single" w:sz="6" w:space="0" w:color="000000"/>
              <w:right w:val="single" w:sz="6" w:space="0" w:color="000000"/>
            </w:tcBorders>
            <w:hideMark/>
          </w:tcPr>
          <w:p w14:paraId="4BE619E1" w14:textId="77777777" w:rsidR="003418D6" w:rsidRPr="003418D6" w:rsidRDefault="003418D6" w:rsidP="003418D6">
            <w:pPr>
              <w:rPr>
                <w:rFonts w:ascii="Arial" w:hAnsi="Arial" w:cs="Arial"/>
                <w:sz w:val="16"/>
                <w:szCs w:val="16"/>
              </w:rPr>
            </w:pPr>
            <w:r w:rsidRPr="003418D6">
              <w:rPr>
                <w:rFonts w:ascii="Arial" w:hAnsi="Arial" w:cs="Arial"/>
                <w:b/>
                <w:bCs/>
                <w:sz w:val="16"/>
                <w:szCs w:val="16"/>
              </w:rPr>
              <w:t>OR 1.04</w:t>
            </w:r>
            <w:r w:rsidRPr="003418D6">
              <w:rPr>
                <w:rFonts w:ascii="Arial" w:hAnsi="Arial" w:cs="Arial"/>
                <w:sz w:val="16"/>
                <w:szCs w:val="16"/>
              </w:rPr>
              <w:br/>
              <w:t xml:space="preserve">(0.92 to 1.18) </w:t>
            </w:r>
          </w:p>
        </w:tc>
        <w:tc>
          <w:tcPr>
            <w:tcW w:w="331" w:type="pct"/>
            <w:tcBorders>
              <w:top w:val="single" w:sz="6" w:space="0" w:color="000000"/>
              <w:left w:val="single" w:sz="6" w:space="0" w:color="000000"/>
              <w:bottom w:val="single" w:sz="6" w:space="0" w:color="000000"/>
              <w:right w:val="single" w:sz="6" w:space="0" w:color="000000"/>
            </w:tcBorders>
            <w:hideMark/>
          </w:tcPr>
          <w:p w14:paraId="557BAAB3" w14:textId="77777777" w:rsidR="003418D6" w:rsidRPr="003418D6" w:rsidRDefault="003418D6" w:rsidP="003418D6">
            <w:pPr>
              <w:rPr>
                <w:rFonts w:ascii="Arial" w:hAnsi="Arial" w:cs="Arial"/>
                <w:sz w:val="16"/>
                <w:szCs w:val="16"/>
                <w:lang w:val="en-GB"/>
              </w:rPr>
            </w:pPr>
            <w:r w:rsidRPr="003418D6">
              <w:rPr>
                <w:rFonts w:ascii="Arial" w:hAnsi="Arial" w:cs="Arial"/>
                <w:b/>
                <w:bCs/>
                <w:sz w:val="16"/>
                <w:szCs w:val="16"/>
                <w:lang w:val="en-GB"/>
              </w:rPr>
              <w:t>9 more per 1 000</w:t>
            </w:r>
            <w:r w:rsidRPr="003418D6">
              <w:rPr>
                <w:rFonts w:ascii="Arial" w:hAnsi="Arial" w:cs="Arial"/>
                <w:sz w:val="16"/>
                <w:szCs w:val="16"/>
                <w:lang w:val="en-GB"/>
              </w:rPr>
              <w:br/>
              <w:t xml:space="preserve">(from 19 fewer to 36 more) </w:t>
            </w:r>
          </w:p>
        </w:tc>
        <w:tc>
          <w:tcPr>
            <w:tcW w:w="335" w:type="pct"/>
            <w:tcBorders>
              <w:top w:val="single" w:sz="6" w:space="0" w:color="000000"/>
              <w:left w:val="single" w:sz="6" w:space="0" w:color="000000"/>
              <w:bottom w:val="single" w:sz="6" w:space="0" w:color="000000"/>
              <w:right w:val="single" w:sz="6" w:space="0" w:color="000000"/>
            </w:tcBorders>
            <w:hideMark/>
          </w:tcPr>
          <w:p w14:paraId="04506654" w14:textId="77777777" w:rsidR="003418D6" w:rsidRPr="003418D6" w:rsidRDefault="003418D6" w:rsidP="003418D6">
            <w:pPr>
              <w:rPr>
                <w:rFonts w:ascii="Arial" w:hAnsi="Arial" w:cs="Arial"/>
                <w:sz w:val="16"/>
                <w:szCs w:val="16"/>
              </w:rPr>
            </w:pPr>
            <w:r w:rsidRPr="003418D6">
              <w:rPr>
                <w:rFonts w:ascii="Cambria Math" w:hAnsi="Cambria Math" w:cs="Cambria Math"/>
                <w:sz w:val="16"/>
                <w:szCs w:val="16"/>
              </w:rPr>
              <w:t>⨁⨁◯◯</w:t>
            </w:r>
            <w:r w:rsidRPr="003418D6">
              <w:rPr>
                <w:rFonts w:ascii="Arial" w:hAnsi="Arial" w:cs="Arial"/>
                <w:sz w:val="16"/>
                <w:szCs w:val="16"/>
              </w:rPr>
              <w:br/>
              <w:t xml:space="preserve">LOW </w:t>
            </w:r>
          </w:p>
        </w:tc>
        <w:tc>
          <w:tcPr>
            <w:tcW w:w="407" w:type="pct"/>
            <w:tcBorders>
              <w:top w:val="single" w:sz="6" w:space="0" w:color="000000"/>
              <w:left w:val="single" w:sz="6" w:space="0" w:color="000000"/>
              <w:bottom w:val="single" w:sz="6" w:space="0" w:color="000000"/>
              <w:right w:val="single" w:sz="6" w:space="0" w:color="000000"/>
            </w:tcBorders>
            <w:hideMark/>
          </w:tcPr>
          <w:p w14:paraId="1B725B11"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IMPORTANT </w:t>
            </w:r>
          </w:p>
        </w:tc>
      </w:tr>
      <w:tr w:rsidR="003418D6" w:rsidRPr="003418D6" w14:paraId="29BA3BE0" w14:textId="77777777" w:rsidTr="003418D6">
        <w:trPr>
          <w:cantSplit/>
        </w:trPr>
        <w:tc>
          <w:tcPr>
            <w:tcW w:w="5000" w:type="pct"/>
            <w:gridSpan w:val="13"/>
            <w:shd w:val="clear" w:color="auto" w:fill="FFFFFF"/>
            <w:tcMar>
              <w:top w:w="75" w:type="dxa"/>
              <w:left w:w="50" w:type="dxa"/>
              <w:bottom w:w="50" w:type="dxa"/>
              <w:right w:w="50" w:type="dxa"/>
            </w:tcMar>
            <w:vAlign w:val="center"/>
            <w:hideMark/>
          </w:tcPr>
          <w:p w14:paraId="135B1ED3"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Infection</w:t>
            </w:r>
          </w:p>
        </w:tc>
      </w:tr>
      <w:tr w:rsidR="003418D6" w:rsidRPr="003418D6" w14:paraId="6EB8DE3D" w14:textId="77777777" w:rsidTr="003418D6">
        <w:trPr>
          <w:cantSplit/>
        </w:trPr>
        <w:tc>
          <w:tcPr>
            <w:tcW w:w="286" w:type="pct"/>
            <w:tcBorders>
              <w:top w:val="single" w:sz="6" w:space="0" w:color="000000"/>
              <w:left w:val="single" w:sz="6" w:space="0" w:color="000000"/>
              <w:bottom w:val="single" w:sz="6" w:space="0" w:color="000000"/>
              <w:right w:val="single" w:sz="6" w:space="0" w:color="000000"/>
            </w:tcBorders>
            <w:hideMark/>
          </w:tcPr>
          <w:p w14:paraId="6897D531"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11 </w:t>
            </w:r>
          </w:p>
        </w:tc>
        <w:tc>
          <w:tcPr>
            <w:tcW w:w="410" w:type="pct"/>
            <w:tcBorders>
              <w:top w:val="single" w:sz="6" w:space="0" w:color="000000"/>
              <w:left w:val="single" w:sz="6" w:space="0" w:color="000000"/>
              <w:bottom w:val="single" w:sz="6" w:space="0" w:color="000000"/>
              <w:right w:val="single" w:sz="6" w:space="0" w:color="000000"/>
            </w:tcBorders>
            <w:hideMark/>
          </w:tcPr>
          <w:p w14:paraId="23DAAA52"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observational studies </w:t>
            </w:r>
          </w:p>
        </w:tc>
        <w:tc>
          <w:tcPr>
            <w:tcW w:w="252" w:type="pct"/>
            <w:tcBorders>
              <w:top w:val="single" w:sz="6" w:space="0" w:color="000000"/>
              <w:left w:val="single" w:sz="6" w:space="0" w:color="000000"/>
              <w:bottom w:val="single" w:sz="6" w:space="0" w:color="000000"/>
              <w:right w:val="single" w:sz="6" w:space="0" w:color="000000"/>
            </w:tcBorders>
            <w:hideMark/>
          </w:tcPr>
          <w:p w14:paraId="16C4C663"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serious </w:t>
            </w:r>
            <w:r w:rsidRPr="003418D6">
              <w:rPr>
                <w:rFonts w:ascii="Arial" w:hAnsi="Arial" w:cs="Arial"/>
                <w:sz w:val="16"/>
                <w:szCs w:val="16"/>
                <w:vertAlign w:val="superscript"/>
              </w:rPr>
              <w:t>f</w:t>
            </w:r>
          </w:p>
        </w:tc>
        <w:tc>
          <w:tcPr>
            <w:tcW w:w="471" w:type="pct"/>
            <w:tcBorders>
              <w:top w:val="single" w:sz="6" w:space="0" w:color="000000"/>
              <w:left w:val="single" w:sz="6" w:space="0" w:color="000000"/>
              <w:bottom w:val="single" w:sz="6" w:space="0" w:color="000000"/>
              <w:right w:val="single" w:sz="6" w:space="0" w:color="000000"/>
            </w:tcBorders>
            <w:hideMark/>
          </w:tcPr>
          <w:p w14:paraId="15FB7918"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serious </w:t>
            </w:r>
            <w:r w:rsidRPr="003418D6">
              <w:rPr>
                <w:rFonts w:ascii="Arial" w:hAnsi="Arial" w:cs="Arial"/>
                <w:sz w:val="16"/>
                <w:szCs w:val="16"/>
                <w:vertAlign w:val="superscript"/>
              </w:rPr>
              <w:t>g</w:t>
            </w:r>
          </w:p>
        </w:tc>
        <w:tc>
          <w:tcPr>
            <w:tcW w:w="425" w:type="pct"/>
            <w:tcBorders>
              <w:top w:val="single" w:sz="6" w:space="0" w:color="000000"/>
              <w:left w:val="single" w:sz="6" w:space="0" w:color="000000"/>
              <w:bottom w:val="single" w:sz="6" w:space="0" w:color="000000"/>
              <w:right w:val="single" w:sz="6" w:space="0" w:color="000000"/>
            </w:tcBorders>
            <w:hideMark/>
          </w:tcPr>
          <w:p w14:paraId="6B6138E0"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0BCFDB32"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96" w:type="pct"/>
            <w:tcBorders>
              <w:top w:val="single" w:sz="6" w:space="0" w:color="000000"/>
              <w:left w:val="single" w:sz="6" w:space="0" w:color="000000"/>
              <w:bottom w:val="single" w:sz="6" w:space="0" w:color="000000"/>
              <w:right w:val="single" w:sz="6" w:space="0" w:color="000000"/>
            </w:tcBorders>
            <w:hideMark/>
          </w:tcPr>
          <w:p w14:paraId="4018BD58"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publication bias strongly suspected </w:t>
            </w:r>
          </w:p>
        </w:tc>
        <w:tc>
          <w:tcPr>
            <w:tcW w:w="436" w:type="pct"/>
            <w:tcBorders>
              <w:top w:val="single" w:sz="6" w:space="0" w:color="000000"/>
              <w:left w:val="single" w:sz="6" w:space="0" w:color="000000"/>
              <w:bottom w:val="single" w:sz="6" w:space="0" w:color="000000"/>
              <w:right w:val="single" w:sz="6" w:space="0" w:color="000000"/>
            </w:tcBorders>
            <w:hideMark/>
          </w:tcPr>
          <w:p w14:paraId="1024AAF2"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3324/14305 (23.2%) </w:t>
            </w:r>
          </w:p>
        </w:tc>
        <w:tc>
          <w:tcPr>
            <w:tcW w:w="436" w:type="pct"/>
            <w:tcBorders>
              <w:top w:val="single" w:sz="6" w:space="0" w:color="000000"/>
              <w:left w:val="single" w:sz="6" w:space="0" w:color="000000"/>
              <w:bottom w:val="single" w:sz="6" w:space="0" w:color="000000"/>
              <w:right w:val="single" w:sz="6" w:space="0" w:color="000000"/>
            </w:tcBorders>
            <w:hideMark/>
          </w:tcPr>
          <w:p w14:paraId="69BEAE73"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10981/14305 (76.8%) </w:t>
            </w:r>
          </w:p>
        </w:tc>
        <w:tc>
          <w:tcPr>
            <w:tcW w:w="306" w:type="pct"/>
            <w:tcBorders>
              <w:top w:val="single" w:sz="6" w:space="0" w:color="000000"/>
              <w:left w:val="single" w:sz="6" w:space="0" w:color="000000"/>
              <w:bottom w:val="single" w:sz="6" w:space="0" w:color="000000"/>
              <w:right w:val="single" w:sz="6" w:space="0" w:color="000000"/>
            </w:tcBorders>
            <w:hideMark/>
          </w:tcPr>
          <w:p w14:paraId="533755E1" w14:textId="77777777" w:rsidR="003418D6" w:rsidRPr="003418D6" w:rsidRDefault="003418D6" w:rsidP="003418D6">
            <w:pPr>
              <w:rPr>
                <w:rFonts w:ascii="Arial" w:hAnsi="Arial" w:cs="Arial"/>
                <w:sz w:val="16"/>
                <w:szCs w:val="16"/>
              </w:rPr>
            </w:pPr>
            <w:r w:rsidRPr="003418D6">
              <w:rPr>
                <w:rFonts w:ascii="Arial" w:hAnsi="Arial" w:cs="Arial"/>
                <w:b/>
                <w:bCs/>
                <w:sz w:val="16"/>
                <w:szCs w:val="16"/>
              </w:rPr>
              <w:t>OR 1.03</w:t>
            </w:r>
            <w:r w:rsidRPr="003418D6">
              <w:rPr>
                <w:rFonts w:ascii="Arial" w:hAnsi="Arial" w:cs="Arial"/>
                <w:sz w:val="16"/>
                <w:szCs w:val="16"/>
              </w:rPr>
              <w:br/>
              <w:t xml:space="preserve">(0.75 to 1.42) </w:t>
            </w:r>
          </w:p>
        </w:tc>
        <w:tc>
          <w:tcPr>
            <w:tcW w:w="331" w:type="pct"/>
            <w:tcBorders>
              <w:top w:val="single" w:sz="6" w:space="0" w:color="000000"/>
              <w:left w:val="single" w:sz="6" w:space="0" w:color="000000"/>
              <w:bottom w:val="single" w:sz="6" w:space="0" w:color="000000"/>
              <w:right w:val="single" w:sz="6" w:space="0" w:color="000000"/>
            </w:tcBorders>
            <w:hideMark/>
          </w:tcPr>
          <w:p w14:paraId="0CE68C5B" w14:textId="77777777" w:rsidR="003418D6" w:rsidRPr="003418D6" w:rsidRDefault="003418D6" w:rsidP="003418D6">
            <w:pPr>
              <w:rPr>
                <w:rFonts w:ascii="Arial" w:hAnsi="Arial" w:cs="Arial"/>
                <w:sz w:val="16"/>
                <w:szCs w:val="16"/>
                <w:lang w:val="en-GB"/>
              </w:rPr>
            </w:pPr>
            <w:r w:rsidRPr="003418D6">
              <w:rPr>
                <w:rFonts w:ascii="Arial" w:hAnsi="Arial" w:cs="Arial"/>
                <w:b/>
                <w:bCs/>
                <w:sz w:val="16"/>
                <w:szCs w:val="16"/>
                <w:lang w:val="en-GB"/>
              </w:rPr>
              <w:t>5 more per 1 000</w:t>
            </w:r>
            <w:r w:rsidRPr="003418D6">
              <w:rPr>
                <w:rFonts w:ascii="Arial" w:hAnsi="Arial" w:cs="Arial"/>
                <w:sz w:val="16"/>
                <w:szCs w:val="16"/>
                <w:lang w:val="en-GB"/>
              </w:rPr>
              <w:br/>
              <w:t xml:space="preserve">(from 55 fewer to 57 more) </w:t>
            </w:r>
          </w:p>
        </w:tc>
        <w:tc>
          <w:tcPr>
            <w:tcW w:w="335" w:type="pct"/>
            <w:tcBorders>
              <w:top w:val="single" w:sz="6" w:space="0" w:color="000000"/>
              <w:left w:val="single" w:sz="6" w:space="0" w:color="000000"/>
              <w:bottom w:val="single" w:sz="6" w:space="0" w:color="000000"/>
              <w:right w:val="single" w:sz="6" w:space="0" w:color="000000"/>
            </w:tcBorders>
            <w:hideMark/>
          </w:tcPr>
          <w:p w14:paraId="03A33CF4" w14:textId="77777777" w:rsidR="003418D6" w:rsidRPr="003418D6" w:rsidRDefault="003418D6" w:rsidP="003418D6">
            <w:pPr>
              <w:rPr>
                <w:rFonts w:ascii="Arial" w:hAnsi="Arial" w:cs="Arial"/>
                <w:sz w:val="16"/>
                <w:szCs w:val="16"/>
              </w:rPr>
            </w:pPr>
            <w:r w:rsidRPr="003418D6">
              <w:rPr>
                <w:rFonts w:ascii="Cambria Math" w:hAnsi="Cambria Math" w:cs="Cambria Math"/>
                <w:sz w:val="16"/>
                <w:szCs w:val="16"/>
              </w:rPr>
              <w:t>⨁◯◯◯</w:t>
            </w:r>
            <w:r w:rsidRPr="003418D6">
              <w:rPr>
                <w:rFonts w:ascii="Arial" w:hAnsi="Arial" w:cs="Arial"/>
                <w:sz w:val="16"/>
                <w:szCs w:val="16"/>
              </w:rPr>
              <w:br/>
              <w:t xml:space="preserve">VERY LOW </w:t>
            </w:r>
          </w:p>
        </w:tc>
        <w:tc>
          <w:tcPr>
            <w:tcW w:w="407" w:type="pct"/>
            <w:tcBorders>
              <w:top w:val="single" w:sz="6" w:space="0" w:color="000000"/>
              <w:left w:val="single" w:sz="6" w:space="0" w:color="000000"/>
              <w:bottom w:val="single" w:sz="6" w:space="0" w:color="000000"/>
              <w:right w:val="single" w:sz="6" w:space="0" w:color="000000"/>
            </w:tcBorders>
            <w:hideMark/>
          </w:tcPr>
          <w:p w14:paraId="28661178"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IMPORTANT </w:t>
            </w:r>
          </w:p>
        </w:tc>
      </w:tr>
      <w:tr w:rsidR="003418D6" w:rsidRPr="003418D6" w14:paraId="48DA9FE9" w14:textId="77777777" w:rsidTr="003418D6">
        <w:trPr>
          <w:cantSplit/>
        </w:trPr>
        <w:tc>
          <w:tcPr>
            <w:tcW w:w="5000" w:type="pct"/>
            <w:gridSpan w:val="13"/>
            <w:shd w:val="clear" w:color="auto" w:fill="FFFFFF"/>
            <w:tcMar>
              <w:top w:w="75" w:type="dxa"/>
              <w:left w:w="50" w:type="dxa"/>
              <w:bottom w:w="50" w:type="dxa"/>
              <w:right w:w="50" w:type="dxa"/>
            </w:tcMar>
            <w:vAlign w:val="center"/>
            <w:hideMark/>
          </w:tcPr>
          <w:p w14:paraId="4532CC76" w14:textId="77777777" w:rsidR="003418D6" w:rsidRPr="003418D6" w:rsidRDefault="003418D6" w:rsidP="003418D6">
            <w:pPr>
              <w:rPr>
                <w:rFonts w:ascii="Arial" w:hAnsi="Arial" w:cs="Arial"/>
                <w:b/>
                <w:bCs/>
                <w:sz w:val="16"/>
                <w:szCs w:val="16"/>
              </w:rPr>
            </w:pPr>
            <w:r w:rsidRPr="003418D6">
              <w:rPr>
                <w:rFonts w:ascii="Arial" w:hAnsi="Arial" w:cs="Arial"/>
                <w:b/>
                <w:bCs/>
                <w:sz w:val="16"/>
                <w:szCs w:val="16"/>
              </w:rPr>
              <w:t>Infection subanalysis</w:t>
            </w:r>
          </w:p>
        </w:tc>
      </w:tr>
      <w:tr w:rsidR="003418D6" w:rsidRPr="003418D6" w14:paraId="31290608" w14:textId="77777777" w:rsidTr="003418D6">
        <w:trPr>
          <w:cantSplit/>
        </w:trPr>
        <w:tc>
          <w:tcPr>
            <w:tcW w:w="286" w:type="pct"/>
            <w:tcBorders>
              <w:top w:val="single" w:sz="6" w:space="0" w:color="000000"/>
              <w:left w:val="single" w:sz="6" w:space="0" w:color="000000"/>
              <w:bottom w:val="single" w:sz="6" w:space="0" w:color="000000"/>
              <w:right w:val="single" w:sz="6" w:space="0" w:color="000000"/>
            </w:tcBorders>
            <w:hideMark/>
          </w:tcPr>
          <w:p w14:paraId="06358DB5"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2 </w:t>
            </w:r>
          </w:p>
        </w:tc>
        <w:tc>
          <w:tcPr>
            <w:tcW w:w="410" w:type="pct"/>
            <w:tcBorders>
              <w:top w:val="single" w:sz="6" w:space="0" w:color="000000"/>
              <w:left w:val="single" w:sz="6" w:space="0" w:color="000000"/>
              <w:bottom w:val="single" w:sz="6" w:space="0" w:color="000000"/>
              <w:right w:val="single" w:sz="6" w:space="0" w:color="000000"/>
            </w:tcBorders>
            <w:hideMark/>
          </w:tcPr>
          <w:p w14:paraId="4F8A06FC"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observational studies </w:t>
            </w:r>
          </w:p>
        </w:tc>
        <w:tc>
          <w:tcPr>
            <w:tcW w:w="252" w:type="pct"/>
            <w:tcBorders>
              <w:top w:val="single" w:sz="6" w:space="0" w:color="000000"/>
              <w:left w:val="single" w:sz="6" w:space="0" w:color="000000"/>
              <w:bottom w:val="single" w:sz="6" w:space="0" w:color="000000"/>
              <w:right w:val="single" w:sz="6" w:space="0" w:color="000000"/>
            </w:tcBorders>
            <w:hideMark/>
          </w:tcPr>
          <w:p w14:paraId="7D3ACE28"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71" w:type="pct"/>
            <w:tcBorders>
              <w:top w:val="single" w:sz="6" w:space="0" w:color="000000"/>
              <w:left w:val="single" w:sz="6" w:space="0" w:color="000000"/>
              <w:bottom w:val="single" w:sz="6" w:space="0" w:color="000000"/>
              <w:right w:val="single" w:sz="6" w:space="0" w:color="000000"/>
            </w:tcBorders>
            <w:hideMark/>
          </w:tcPr>
          <w:p w14:paraId="5403C1DA"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serious </w:t>
            </w:r>
            <w:r w:rsidRPr="003418D6">
              <w:rPr>
                <w:rFonts w:ascii="Arial" w:hAnsi="Arial" w:cs="Arial"/>
                <w:sz w:val="16"/>
                <w:szCs w:val="16"/>
                <w:vertAlign w:val="superscript"/>
              </w:rPr>
              <w:t>h</w:t>
            </w:r>
          </w:p>
        </w:tc>
        <w:tc>
          <w:tcPr>
            <w:tcW w:w="425" w:type="pct"/>
            <w:tcBorders>
              <w:top w:val="single" w:sz="6" w:space="0" w:color="000000"/>
              <w:left w:val="single" w:sz="6" w:space="0" w:color="000000"/>
              <w:bottom w:val="single" w:sz="6" w:space="0" w:color="000000"/>
              <w:right w:val="single" w:sz="6" w:space="0" w:color="000000"/>
            </w:tcBorders>
            <w:hideMark/>
          </w:tcPr>
          <w:p w14:paraId="2F30A2A3"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09" w:type="pct"/>
            <w:tcBorders>
              <w:top w:val="single" w:sz="6" w:space="0" w:color="000000"/>
              <w:left w:val="single" w:sz="6" w:space="0" w:color="000000"/>
              <w:bottom w:val="single" w:sz="6" w:space="0" w:color="000000"/>
              <w:right w:val="single" w:sz="6" w:space="0" w:color="000000"/>
            </w:tcBorders>
            <w:hideMark/>
          </w:tcPr>
          <w:p w14:paraId="77DC03E7"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not serious </w:t>
            </w:r>
          </w:p>
        </w:tc>
        <w:tc>
          <w:tcPr>
            <w:tcW w:w="496" w:type="pct"/>
            <w:tcBorders>
              <w:top w:val="single" w:sz="6" w:space="0" w:color="000000"/>
              <w:left w:val="single" w:sz="6" w:space="0" w:color="000000"/>
              <w:bottom w:val="single" w:sz="6" w:space="0" w:color="000000"/>
              <w:right w:val="single" w:sz="6" w:space="0" w:color="000000"/>
            </w:tcBorders>
            <w:hideMark/>
          </w:tcPr>
          <w:p w14:paraId="4E8EBA11"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none </w:t>
            </w:r>
          </w:p>
        </w:tc>
        <w:tc>
          <w:tcPr>
            <w:tcW w:w="436" w:type="pct"/>
            <w:tcBorders>
              <w:top w:val="single" w:sz="6" w:space="0" w:color="000000"/>
              <w:left w:val="single" w:sz="6" w:space="0" w:color="000000"/>
              <w:bottom w:val="single" w:sz="6" w:space="0" w:color="000000"/>
              <w:right w:val="single" w:sz="6" w:space="0" w:color="000000"/>
            </w:tcBorders>
            <w:hideMark/>
          </w:tcPr>
          <w:p w14:paraId="5484EF79"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1186/3158 (37.6%) </w:t>
            </w:r>
          </w:p>
        </w:tc>
        <w:tc>
          <w:tcPr>
            <w:tcW w:w="436" w:type="pct"/>
            <w:tcBorders>
              <w:top w:val="single" w:sz="6" w:space="0" w:color="000000"/>
              <w:left w:val="single" w:sz="6" w:space="0" w:color="000000"/>
              <w:bottom w:val="single" w:sz="6" w:space="0" w:color="000000"/>
              <w:right w:val="single" w:sz="6" w:space="0" w:color="000000"/>
            </w:tcBorders>
            <w:hideMark/>
          </w:tcPr>
          <w:p w14:paraId="0AE3D1DF"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1972/3158 (62.4%) </w:t>
            </w:r>
          </w:p>
        </w:tc>
        <w:tc>
          <w:tcPr>
            <w:tcW w:w="306" w:type="pct"/>
            <w:tcBorders>
              <w:top w:val="single" w:sz="6" w:space="0" w:color="000000"/>
              <w:left w:val="single" w:sz="6" w:space="0" w:color="000000"/>
              <w:bottom w:val="single" w:sz="6" w:space="0" w:color="000000"/>
              <w:right w:val="single" w:sz="6" w:space="0" w:color="000000"/>
            </w:tcBorders>
            <w:hideMark/>
          </w:tcPr>
          <w:p w14:paraId="60F7147A" w14:textId="77777777" w:rsidR="003418D6" w:rsidRPr="003418D6" w:rsidRDefault="003418D6" w:rsidP="003418D6">
            <w:pPr>
              <w:rPr>
                <w:rFonts w:ascii="Arial" w:hAnsi="Arial" w:cs="Arial"/>
                <w:sz w:val="16"/>
                <w:szCs w:val="16"/>
              </w:rPr>
            </w:pPr>
            <w:r w:rsidRPr="003418D6">
              <w:rPr>
                <w:rFonts w:ascii="Arial" w:hAnsi="Arial" w:cs="Arial"/>
                <w:b/>
                <w:bCs/>
                <w:sz w:val="16"/>
                <w:szCs w:val="16"/>
              </w:rPr>
              <w:t>OR 1.26</w:t>
            </w:r>
            <w:r w:rsidRPr="003418D6">
              <w:rPr>
                <w:rFonts w:ascii="Arial" w:hAnsi="Arial" w:cs="Arial"/>
                <w:sz w:val="16"/>
                <w:szCs w:val="16"/>
              </w:rPr>
              <w:br/>
              <w:t xml:space="preserve">(0.79 to 2.01) </w:t>
            </w:r>
          </w:p>
        </w:tc>
        <w:tc>
          <w:tcPr>
            <w:tcW w:w="331" w:type="pct"/>
            <w:tcBorders>
              <w:top w:val="single" w:sz="6" w:space="0" w:color="000000"/>
              <w:left w:val="single" w:sz="6" w:space="0" w:color="000000"/>
              <w:bottom w:val="single" w:sz="6" w:space="0" w:color="000000"/>
              <w:right w:val="single" w:sz="6" w:space="0" w:color="000000"/>
            </w:tcBorders>
            <w:hideMark/>
          </w:tcPr>
          <w:p w14:paraId="01D97C91" w14:textId="77777777" w:rsidR="003418D6" w:rsidRPr="003418D6" w:rsidRDefault="003418D6" w:rsidP="003418D6">
            <w:pPr>
              <w:rPr>
                <w:rFonts w:ascii="Arial" w:hAnsi="Arial" w:cs="Arial"/>
                <w:sz w:val="16"/>
                <w:szCs w:val="16"/>
                <w:lang w:val="en-GB"/>
              </w:rPr>
            </w:pPr>
            <w:r w:rsidRPr="003418D6">
              <w:rPr>
                <w:rFonts w:ascii="Arial" w:hAnsi="Arial" w:cs="Arial"/>
                <w:b/>
                <w:bCs/>
                <w:sz w:val="16"/>
                <w:szCs w:val="16"/>
                <w:lang w:val="en-GB"/>
              </w:rPr>
              <w:t>52 more per 1 000</w:t>
            </w:r>
            <w:r w:rsidRPr="003418D6">
              <w:rPr>
                <w:rFonts w:ascii="Arial" w:hAnsi="Arial" w:cs="Arial"/>
                <w:sz w:val="16"/>
                <w:szCs w:val="16"/>
                <w:lang w:val="en-GB"/>
              </w:rPr>
              <w:br/>
              <w:t xml:space="preserve">(from 57 fewer to 145 more) </w:t>
            </w:r>
          </w:p>
        </w:tc>
        <w:tc>
          <w:tcPr>
            <w:tcW w:w="335" w:type="pct"/>
            <w:tcBorders>
              <w:top w:val="single" w:sz="6" w:space="0" w:color="000000"/>
              <w:left w:val="single" w:sz="6" w:space="0" w:color="000000"/>
              <w:bottom w:val="single" w:sz="6" w:space="0" w:color="000000"/>
              <w:right w:val="single" w:sz="6" w:space="0" w:color="000000"/>
            </w:tcBorders>
            <w:hideMark/>
          </w:tcPr>
          <w:p w14:paraId="0F8C7DE7" w14:textId="77777777" w:rsidR="003418D6" w:rsidRPr="003418D6" w:rsidRDefault="003418D6" w:rsidP="003418D6">
            <w:pPr>
              <w:rPr>
                <w:rFonts w:ascii="Arial" w:hAnsi="Arial" w:cs="Arial"/>
                <w:sz w:val="16"/>
                <w:szCs w:val="16"/>
              </w:rPr>
            </w:pPr>
            <w:r w:rsidRPr="003418D6">
              <w:rPr>
                <w:rFonts w:ascii="Cambria Math" w:hAnsi="Cambria Math" w:cs="Cambria Math"/>
                <w:sz w:val="16"/>
                <w:szCs w:val="16"/>
              </w:rPr>
              <w:t>⨁◯◯◯</w:t>
            </w:r>
            <w:r w:rsidRPr="003418D6">
              <w:rPr>
                <w:rFonts w:ascii="Arial" w:hAnsi="Arial" w:cs="Arial"/>
                <w:sz w:val="16"/>
                <w:szCs w:val="16"/>
              </w:rPr>
              <w:br/>
              <w:t xml:space="preserve">VERY LOW </w:t>
            </w:r>
          </w:p>
        </w:tc>
        <w:tc>
          <w:tcPr>
            <w:tcW w:w="407" w:type="pct"/>
            <w:tcBorders>
              <w:top w:val="single" w:sz="6" w:space="0" w:color="000000"/>
              <w:left w:val="single" w:sz="6" w:space="0" w:color="000000"/>
              <w:bottom w:val="single" w:sz="6" w:space="0" w:color="000000"/>
              <w:right w:val="single" w:sz="6" w:space="0" w:color="000000"/>
            </w:tcBorders>
            <w:hideMark/>
          </w:tcPr>
          <w:p w14:paraId="1BC6B561" w14:textId="77777777" w:rsidR="003418D6" w:rsidRPr="003418D6" w:rsidRDefault="003418D6" w:rsidP="003418D6">
            <w:pPr>
              <w:rPr>
                <w:rFonts w:ascii="Arial" w:hAnsi="Arial" w:cs="Arial"/>
                <w:sz w:val="16"/>
                <w:szCs w:val="16"/>
              </w:rPr>
            </w:pPr>
            <w:r w:rsidRPr="003418D6">
              <w:rPr>
                <w:rFonts w:ascii="Arial" w:hAnsi="Arial" w:cs="Arial"/>
                <w:sz w:val="16"/>
                <w:szCs w:val="16"/>
              </w:rPr>
              <w:t xml:space="preserve">IMPORTANT </w:t>
            </w:r>
          </w:p>
        </w:tc>
      </w:tr>
    </w:tbl>
    <w:p w14:paraId="0DD938CD" w14:textId="77777777" w:rsidR="003418D6" w:rsidRPr="003418D6" w:rsidRDefault="003418D6" w:rsidP="003418D6">
      <w:pPr>
        <w:rPr>
          <w:rFonts w:ascii="Arial" w:hAnsi="Arial" w:cs="Arial"/>
          <w:sz w:val="16"/>
          <w:szCs w:val="16"/>
          <w:lang w:val="en"/>
        </w:rPr>
      </w:pPr>
      <w:r w:rsidRPr="003418D6">
        <w:rPr>
          <w:rFonts w:ascii="Arial" w:hAnsi="Arial" w:cs="Arial"/>
          <w:b/>
          <w:bCs/>
          <w:sz w:val="16"/>
          <w:szCs w:val="16"/>
          <w:lang w:val="en"/>
        </w:rPr>
        <w:t>CI:</w:t>
      </w:r>
      <w:r w:rsidRPr="003418D6">
        <w:rPr>
          <w:rFonts w:ascii="Arial" w:hAnsi="Arial" w:cs="Arial"/>
          <w:sz w:val="16"/>
          <w:szCs w:val="16"/>
          <w:lang w:val="en"/>
        </w:rPr>
        <w:t xml:space="preserve"> Confidence interval; </w:t>
      </w:r>
      <w:r w:rsidRPr="003418D6">
        <w:rPr>
          <w:rFonts w:ascii="Arial" w:hAnsi="Arial" w:cs="Arial"/>
          <w:b/>
          <w:bCs/>
          <w:sz w:val="16"/>
          <w:szCs w:val="16"/>
          <w:lang w:val="en"/>
        </w:rPr>
        <w:t>RR:</w:t>
      </w:r>
      <w:r w:rsidRPr="003418D6">
        <w:rPr>
          <w:rFonts w:ascii="Arial" w:hAnsi="Arial" w:cs="Arial"/>
          <w:sz w:val="16"/>
          <w:szCs w:val="16"/>
          <w:lang w:val="en"/>
        </w:rPr>
        <w:t xml:space="preserve"> Risk ratio; </w:t>
      </w:r>
      <w:r w:rsidRPr="003418D6">
        <w:rPr>
          <w:rFonts w:ascii="Arial" w:hAnsi="Arial" w:cs="Arial"/>
          <w:b/>
          <w:bCs/>
          <w:sz w:val="16"/>
          <w:szCs w:val="16"/>
          <w:lang w:val="en"/>
        </w:rPr>
        <w:t>OR:</w:t>
      </w:r>
      <w:r w:rsidRPr="003418D6">
        <w:rPr>
          <w:rFonts w:ascii="Arial" w:hAnsi="Arial" w:cs="Arial"/>
          <w:sz w:val="16"/>
          <w:szCs w:val="16"/>
          <w:lang w:val="en"/>
        </w:rPr>
        <w:t xml:space="preserve"> Odds ratio</w:t>
      </w:r>
    </w:p>
    <w:p w14:paraId="6164C66B" w14:textId="77777777" w:rsidR="003418D6" w:rsidRPr="003418D6" w:rsidRDefault="003418D6" w:rsidP="003418D6">
      <w:pPr>
        <w:rPr>
          <w:rFonts w:ascii="Arial" w:hAnsi="Arial" w:cs="Arial"/>
          <w:b/>
          <w:bCs/>
          <w:sz w:val="16"/>
          <w:szCs w:val="16"/>
          <w:lang w:val="en"/>
        </w:rPr>
      </w:pPr>
      <w:r w:rsidRPr="003418D6">
        <w:rPr>
          <w:rFonts w:ascii="Arial" w:hAnsi="Arial" w:cs="Arial"/>
          <w:b/>
          <w:bCs/>
          <w:sz w:val="16"/>
          <w:szCs w:val="16"/>
          <w:lang w:val="en"/>
        </w:rPr>
        <w:t>Explanations</w:t>
      </w:r>
    </w:p>
    <w:p w14:paraId="721CEEAE" w14:textId="77777777" w:rsidR="003418D6" w:rsidRPr="003418D6" w:rsidRDefault="003418D6" w:rsidP="003418D6">
      <w:pPr>
        <w:rPr>
          <w:rFonts w:ascii="Arial" w:hAnsi="Arial" w:cs="Arial"/>
          <w:sz w:val="16"/>
          <w:szCs w:val="16"/>
          <w:lang w:val="en"/>
        </w:rPr>
      </w:pPr>
      <w:r w:rsidRPr="003418D6">
        <w:rPr>
          <w:rFonts w:ascii="Arial" w:hAnsi="Arial" w:cs="Arial"/>
          <w:sz w:val="16"/>
          <w:szCs w:val="16"/>
          <w:lang w:val="en"/>
        </w:rPr>
        <w:t xml:space="preserve">a. 8 of the 18 assessed studies didn´t present adjusted data for age and stroke severity for our analysis, se Table S5 </w:t>
      </w:r>
    </w:p>
    <w:p w14:paraId="5AFD740F" w14:textId="77777777" w:rsidR="003418D6" w:rsidRPr="003418D6" w:rsidRDefault="003418D6" w:rsidP="003418D6">
      <w:pPr>
        <w:rPr>
          <w:rFonts w:ascii="Arial" w:hAnsi="Arial" w:cs="Arial"/>
          <w:sz w:val="16"/>
          <w:szCs w:val="16"/>
          <w:lang w:val="en"/>
        </w:rPr>
      </w:pPr>
      <w:r w:rsidRPr="003418D6">
        <w:rPr>
          <w:rFonts w:ascii="Arial" w:hAnsi="Arial" w:cs="Arial"/>
          <w:sz w:val="16"/>
          <w:szCs w:val="16"/>
          <w:lang w:val="en"/>
        </w:rPr>
        <w:t xml:space="preserve">b. The studies proved to be heterogeneous (I2 95.9% p = </w:t>
      </w:r>
      <w:proofErr w:type="gramStart"/>
      <w:r w:rsidRPr="003418D6">
        <w:rPr>
          <w:rFonts w:ascii="Arial" w:hAnsi="Arial" w:cs="Arial"/>
          <w:sz w:val="16"/>
          <w:szCs w:val="16"/>
          <w:lang w:val="en"/>
        </w:rPr>
        <w:t>0.000 )</w:t>
      </w:r>
      <w:proofErr w:type="gramEnd"/>
      <w:r w:rsidRPr="003418D6">
        <w:rPr>
          <w:rFonts w:ascii="Arial" w:hAnsi="Arial" w:cs="Arial"/>
          <w:sz w:val="16"/>
          <w:szCs w:val="16"/>
          <w:lang w:val="en"/>
        </w:rPr>
        <w:t xml:space="preserve"> </w:t>
      </w:r>
    </w:p>
    <w:p w14:paraId="485A3E30" w14:textId="77777777" w:rsidR="003418D6" w:rsidRPr="003418D6" w:rsidRDefault="003418D6" w:rsidP="003418D6">
      <w:pPr>
        <w:rPr>
          <w:rFonts w:ascii="Arial" w:hAnsi="Arial" w:cs="Arial"/>
          <w:sz w:val="16"/>
          <w:szCs w:val="16"/>
          <w:lang w:val="en"/>
        </w:rPr>
      </w:pPr>
      <w:r w:rsidRPr="003418D6">
        <w:rPr>
          <w:rFonts w:ascii="Arial" w:hAnsi="Arial" w:cs="Arial"/>
          <w:sz w:val="16"/>
          <w:szCs w:val="16"/>
          <w:lang w:val="en"/>
        </w:rPr>
        <w:t xml:space="preserve">c. Egger’s test showed significant (p = 0.014; funnel plot in Figure S8) risk for publication bias </w:t>
      </w:r>
    </w:p>
    <w:p w14:paraId="49109001" w14:textId="77777777" w:rsidR="003418D6" w:rsidRPr="003418D6" w:rsidRDefault="003418D6" w:rsidP="003418D6">
      <w:pPr>
        <w:rPr>
          <w:rFonts w:ascii="Arial" w:hAnsi="Arial" w:cs="Arial"/>
          <w:sz w:val="16"/>
          <w:szCs w:val="16"/>
          <w:lang w:val="en"/>
        </w:rPr>
      </w:pPr>
      <w:r w:rsidRPr="003418D6">
        <w:rPr>
          <w:rFonts w:ascii="Arial" w:hAnsi="Arial" w:cs="Arial"/>
          <w:sz w:val="16"/>
          <w:szCs w:val="16"/>
          <w:lang w:val="en"/>
        </w:rPr>
        <w:t xml:space="preserve">d. The studies proved to be heterogeneous (I2=89.1% ORs; p = 0.000) </w:t>
      </w:r>
    </w:p>
    <w:p w14:paraId="1B7144AA" w14:textId="77777777" w:rsidR="003418D6" w:rsidRPr="003418D6" w:rsidRDefault="003418D6" w:rsidP="003418D6">
      <w:pPr>
        <w:rPr>
          <w:rFonts w:ascii="Arial" w:hAnsi="Arial" w:cs="Arial"/>
          <w:sz w:val="16"/>
          <w:szCs w:val="16"/>
          <w:lang w:val="en"/>
        </w:rPr>
      </w:pPr>
      <w:r w:rsidRPr="003418D6">
        <w:rPr>
          <w:rFonts w:ascii="Arial" w:hAnsi="Arial" w:cs="Arial"/>
          <w:sz w:val="16"/>
          <w:szCs w:val="16"/>
          <w:lang w:val="en"/>
        </w:rPr>
        <w:t xml:space="preserve">e. 8 of the 11 assessed studies didn´t present adjusted data for age and stroke severity for our analysis, se Table S5 </w:t>
      </w:r>
    </w:p>
    <w:p w14:paraId="6364007A" w14:textId="77777777" w:rsidR="003418D6" w:rsidRPr="003418D6" w:rsidRDefault="003418D6" w:rsidP="003418D6">
      <w:pPr>
        <w:rPr>
          <w:rFonts w:ascii="Arial" w:hAnsi="Arial" w:cs="Arial"/>
          <w:sz w:val="16"/>
          <w:szCs w:val="16"/>
          <w:lang w:val="en"/>
        </w:rPr>
      </w:pPr>
      <w:r w:rsidRPr="003418D6">
        <w:rPr>
          <w:rFonts w:ascii="Arial" w:hAnsi="Arial" w:cs="Arial"/>
          <w:sz w:val="16"/>
          <w:szCs w:val="16"/>
          <w:lang w:val="en"/>
        </w:rPr>
        <w:t xml:space="preserve">f. 9 of the 11 assessed studies didn´t present adjusted data for age and stroke severity for our analysis, se Table S5 </w:t>
      </w:r>
    </w:p>
    <w:p w14:paraId="0E73368B" w14:textId="77777777" w:rsidR="003418D6" w:rsidRPr="003418D6" w:rsidRDefault="003418D6" w:rsidP="003418D6">
      <w:pPr>
        <w:rPr>
          <w:rFonts w:ascii="Arial" w:hAnsi="Arial" w:cs="Arial"/>
          <w:sz w:val="16"/>
          <w:szCs w:val="16"/>
          <w:lang w:val="en"/>
        </w:rPr>
      </w:pPr>
      <w:r w:rsidRPr="003418D6">
        <w:rPr>
          <w:rFonts w:ascii="Arial" w:hAnsi="Arial" w:cs="Arial"/>
          <w:sz w:val="16"/>
          <w:szCs w:val="16"/>
          <w:lang w:val="en"/>
        </w:rPr>
        <w:t xml:space="preserve">g. The studies were heterogeneous, </w:t>
      </w:r>
      <w:proofErr w:type="gramStart"/>
      <w:r w:rsidRPr="003418D6">
        <w:rPr>
          <w:rFonts w:ascii="Arial" w:hAnsi="Arial" w:cs="Arial"/>
          <w:sz w:val="16"/>
          <w:szCs w:val="16"/>
          <w:lang w:val="en"/>
        </w:rPr>
        <w:t>( I</w:t>
      </w:r>
      <w:proofErr w:type="gramEnd"/>
      <w:r w:rsidRPr="003418D6">
        <w:rPr>
          <w:rFonts w:ascii="Arial" w:hAnsi="Arial" w:cs="Arial"/>
          <w:sz w:val="16"/>
          <w:szCs w:val="16"/>
          <w:lang w:val="en"/>
        </w:rPr>
        <w:t xml:space="preserve">2 = 77.9%, p = 0.000 ) </w:t>
      </w:r>
    </w:p>
    <w:p w14:paraId="75002D63" w14:textId="77777777" w:rsidR="003418D6" w:rsidRPr="003418D6" w:rsidRDefault="003418D6" w:rsidP="003418D6">
      <w:pPr>
        <w:rPr>
          <w:rFonts w:ascii="Arial" w:hAnsi="Arial" w:cs="Arial"/>
          <w:sz w:val="16"/>
          <w:szCs w:val="16"/>
          <w:lang w:val="en"/>
        </w:rPr>
      </w:pPr>
      <w:r w:rsidRPr="003418D6">
        <w:rPr>
          <w:rFonts w:ascii="Arial" w:hAnsi="Arial" w:cs="Arial"/>
          <w:sz w:val="16"/>
          <w:szCs w:val="16"/>
          <w:lang w:val="en"/>
        </w:rPr>
        <w:t>h. The studies were heterogeneous, (I2=81.6%, p=0.</w:t>
      </w:r>
      <w:proofErr w:type="gramStart"/>
      <w:r w:rsidRPr="003418D6">
        <w:rPr>
          <w:rFonts w:ascii="Arial" w:hAnsi="Arial" w:cs="Arial"/>
          <w:sz w:val="16"/>
          <w:szCs w:val="16"/>
          <w:lang w:val="en"/>
        </w:rPr>
        <w:t>020 )</w:t>
      </w:r>
      <w:proofErr w:type="gramEnd"/>
      <w:r w:rsidRPr="003418D6">
        <w:rPr>
          <w:rFonts w:ascii="Arial" w:hAnsi="Arial" w:cs="Arial"/>
          <w:sz w:val="16"/>
          <w:szCs w:val="16"/>
          <w:lang w:val="en"/>
        </w:rPr>
        <w:t xml:space="preserve"> </w:t>
      </w:r>
    </w:p>
    <w:p w14:paraId="22DA2654" w14:textId="77777777" w:rsidR="0072087E" w:rsidRPr="003418D6" w:rsidRDefault="0072087E">
      <w:pPr>
        <w:rPr>
          <w:rFonts w:ascii="Arial" w:hAnsi="Arial" w:cs="Arial"/>
          <w:sz w:val="16"/>
          <w:szCs w:val="16"/>
          <w:lang w:val="en"/>
        </w:rPr>
      </w:pPr>
    </w:p>
    <w:sectPr w:rsidR="0072087E" w:rsidRPr="003418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3E7968"/>
    <w:multiLevelType w:val="hybridMultilevel"/>
    <w:tmpl w:val="C0A4F976"/>
    <w:lvl w:ilvl="0" w:tplc="2C483BF0">
      <w:numFmt w:val="bullet"/>
      <w:lvlText w:val=""/>
      <w:lvlJc w:val="left"/>
      <w:pPr>
        <w:ind w:left="720" w:hanging="360"/>
      </w:pPr>
      <w:rPr>
        <w:rFonts w:ascii="Symbol" w:eastAsiaTheme="minorHAnsi" w:hAnsi="Symbol" w:cstheme="majorHAns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84D1A9D"/>
    <w:multiLevelType w:val="hybridMultilevel"/>
    <w:tmpl w:val="43B4DCA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D6B00F5"/>
    <w:multiLevelType w:val="hybridMultilevel"/>
    <w:tmpl w:val="5A2E255E"/>
    <w:lvl w:ilvl="0" w:tplc="0C5447EA">
      <w:start w:val="1"/>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D8334F5"/>
    <w:multiLevelType w:val="hybridMultilevel"/>
    <w:tmpl w:val="3196C9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136163B"/>
    <w:multiLevelType w:val="hybridMultilevel"/>
    <w:tmpl w:val="9B186006"/>
    <w:lvl w:ilvl="0" w:tplc="2A22E6CA">
      <w:start w:val="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1C351C6"/>
    <w:multiLevelType w:val="hybridMultilevel"/>
    <w:tmpl w:val="C13CD3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443186F"/>
    <w:multiLevelType w:val="hybridMultilevel"/>
    <w:tmpl w:val="CF7E8DE2"/>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DA6549C"/>
    <w:multiLevelType w:val="hybridMultilevel"/>
    <w:tmpl w:val="C56EBD3C"/>
    <w:lvl w:ilvl="0" w:tplc="5870378A">
      <w:start w:val="1"/>
      <w:numFmt w:val="decimal"/>
      <w:lvlText w:val="%1."/>
      <w:lvlJc w:val="left"/>
      <w:pPr>
        <w:ind w:left="360" w:hanging="360"/>
      </w:pPr>
      <w:rPr>
        <w:rFonts w:ascii="Times New Roman" w:eastAsiaTheme="minorHAnsi" w:hAnsi="Times New Roman" w:cstheme="minorBidi"/>
        <w:lang w:val="sv-SE"/>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7"/>
    <w:lvlOverride w:ilvl="0">
      <w:startOverride w:val="1"/>
    </w:lvlOverride>
    <w:lvlOverride w:ilvl="1"/>
    <w:lvlOverride w:ilvl="2"/>
    <w:lvlOverride w:ilvl="3"/>
    <w:lvlOverride w:ilvl="4"/>
    <w:lvlOverride w:ilvl="5"/>
    <w:lvlOverride w:ilvl="6"/>
    <w:lvlOverride w:ilvl="7"/>
    <w:lvlOverride w:ilvl="8"/>
  </w:num>
  <w:num w:numId="6">
    <w:abstractNumId w:val="7"/>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082"/>
    <w:rsid w:val="00083601"/>
    <w:rsid w:val="000A4EA7"/>
    <w:rsid w:val="000E1D14"/>
    <w:rsid w:val="001C1082"/>
    <w:rsid w:val="00225FB0"/>
    <w:rsid w:val="002A69D6"/>
    <w:rsid w:val="003418D6"/>
    <w:rsid w:val="0042107A"/>
    <w:rsid w:val="00546BBE"/>
    <w:rsid w:val="00595667"/>
    <w:rsid w:val="0072087E"/>
    <w:rsid w:val="007473C4"/>
    <w:rsid w:val="007B6967"/>
    <w:rsid w:val="008442F9"/>
    <w:rsid w:val="009A5BD9"/>
    <w:rsid w:val="009C6946"/>
    <w:rsid w:val="00A405FA"/>
    <w:rsid w:val="00A71CCC"/>
    <w:rsid w:val="00A85EFA"/>
    <w:rsid w:val="00B97BC7"/>
    <w:rsid w:val="00C14EFA"/>
    <w:rsid w:val="00CA7C24"/>
    <w:rsid w:val="00E3202A"/>
    <w:rsid w:val="00E51EC5"/>
    <w:rsid w:val="00FF26E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79454"/>
  <w15:chartTrackingRefBased/>
  <w15:docId w15:val="{23B6F1F7-33DF-4B99-B02B-E5D2424B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10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C10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10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10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1C10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1082"/>
    <w:rPr>
      <w:rFonts w:asciiTheme="majorHAnsi" w:eastAsiaTheme="majorEastAsia" w:hAnsiTheme="majorHAnsi" w:cstheme="majorBidi"/>
      <w:color w:val="1F3763" w:themeColor="accent1" w:themeShade="7F"/>
      <w:sz w:val="24"/>
      <w:szCs w:val="24"/>
    </w:rPr>
  </w:style>
  <w:style w:type="numbering" w:customStyle="1" w:styleId="Ingenlista1">
    <w:name w:val="Ingen lista1"/>
    <w:next w:val="NoList"/>
    <w:uiPriority w:val="99"/>
    <w:semiHidden/>
    <w:unhideWhenUsed/>
    <w:rsid w:val="001C1082"/>
  </w:style>
  <w:style w:type="paragraph" w:styleId="Header">
    <w:name w:val="header"/>
    <w:basedOn w:val="Normal"/>
    <w:link w:val="HeaderChar"/>
    <w:uiPriority w:val="99"/>
    <w:unhideWhenUsed/>
    <w:rsid w:val="001C1082"/>
    <w:pPr>
      <w:tabs>
        <w:tab w:val="center" w:pos="4536"/>
        <w:tab w:val="right" w:pos="9072"/>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1C1082"/>
    <w:rPr>
      <w:rFonts w:ascii="Times New Roman" w:hAnsi="Times New Roman"/>
      <w:sz w:val="24"/>
    </w:rPr>
  </w:style>
  <w:style w:type="paragraph" w:styleId="Footer">
    <w:name w:val="footer"/>
    <w:basedOn w:val="Normal"/>
    <w:link w:val="FooterChar"/>
    <w:uiPriority w:val="99"/>
    <w:unhideWhenUsed/>
    <w:rsid w:val="001C1082"/>
    <w:pPr>
      <w:tabs>
        <w:tab w:val="center" w:pos="4536"/>
        <w:tab w:val="right" w:pos="9072"/>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1C1082"/>
    <w:rPr>
      <w:rFonts w:ascii="Times New Roman" w:hAnsi="Times New Roman"/>
      <w:sz w:val="24"/>
    </w:rPr>
  </w:style>
  <w:style w:type="paragraph" w:styleId="Bibliography">
    <w:name w:val="Bibliography"/>
    <w:basedOn w:val="Normal"/>
    <w:next w:val="Normal"/>
    <w:uiPriority w:val="37"/>
    <w:unhideWhenUsed/>
    <w:rsid w:val="001C1082"/>
    <w:pPr>
      <w:tabs>
        <w:tab w:val="left" w:pos="384"/>
      </w:tabs>
      <w:spacing w:after="240" w:line="240" w:lineRule="auto"/>
      <w:ind w:left="384" w:hanging="384"/>
    </w:pPr>
    <w:rPr>
      <w:rFonts w:ascii="Times New Roman" w:hAnsi="Times New Roman"/>
      <w:sz w:val="24"/>
    </w:rPr>
  </w:style>
  <w:style w:type="paragraph" w:styleId="ListParagraph">
    <w:name w:val="List Paragraph"/>
    <w:basedOn w:val="Normal"/>
    <w:uiPriority w:val="34"/>
    <w:qFormat/>
    <w:rsid w:val="001C1082"/>
    <w:pPr>
      <w:ind w:left="720"/>
      <w:contextualSpacing/>
    </w:pPr>
    <w:rPr>
      <w:rFonts w:ascii="Times New Roman" w:hAnsi="Times New Roman"/>
      <w:sz w:val="24"/>
    </w:rPr>
  </w:style>
  <w:style w:type="table" w:styleId="TableGrid">
    <w:name w:val="Table Grid"/>
    <w:basedOn w:val="TableNormal"/>
    <w:uiPriority w:val="39"/>
    <w:rsid w:val="001C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082"/>
    <w:rPr>
      <w:color w:val="0563C1" w:themeColor="hyperlink"/>
      <w:u w:val="single"/>
    </w:rPr>
  </w:style>
  <w:style w:type="character" w:customStyle="1" w:styleId="Olstomnmnande1">
    <w:name w:val="Olöst omnämnande1"/>
    <w:basedOn w:val="DefaultParagraphFont"/>
    <w:uiPriority w:val="99"/>
    <w:semiHidden/>
    <w:unhideWhenUsed/>
    <w:rsid w:val="001C1082"/>
    <w:rPr>
      <w:color w:val="605E5C"/>
      <w:shd w:val="clear" w:color="auto" w:fill="E1DFDD"/>
    </w:rPr>
  </w:style>
  <w:style w:type="character" w:styleId="FollowedHyperlink">
    <w:name w:val="FollowedHyperlink"/>
    <w:basedOn w:val="DefaultParagraphFont"/>
    <w:uiPriority w:val="99"/>
    <w:semiHidden/>
    <w:unhideWhenUsed/>
    <w:rsid w:val="001C1082"/>
    <w:rPr>
      <w:color w:val="954F72" w:themeColor="followedHyperlink"/>
      <w:u w:val="single"/>
    </w:rPr>
  </w:style>
  <w:style w:type="paragraph" w:styleId="NoSpacing">
    <w:name w:val="No Spacing"/>
    <w:uiPriority w:val="1"/>
    <w:qFormat/>
    <w:rsid w:val="001C1082"/>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1C1082"/>
    <w:rPr>
      <w:sz w:val="16"/>
      <w:szCs w:val="16"/>
    </w:rPr>
  </w:style>
  <w:style w:type="paragraph" w:styleId="CommentText">
    <w:name w:val="annotation text"/>
    <w:basedOn w:val="Normal"/>
    <w:link w:val="CommentTextChar"/>
    <w:uiPriority w:val="99"/>
    <w:semiHidden/>
    <w:unhideWhenUsed/>
    <w:rsid w:val="001C1082"/>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1C108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C1082"/>
    <w:rPr>
      <w:b/>
      <w:bCs/>
    </w:rPr>
  </w:style>
  <w:style w:type="character" w:customStyle="1" w:styleId="CommentSubjectChar">
    <w:name w:val="Comment Subject Char"/>
    <w:basedOn w:val="CommentTextChar"/>
    <w:link w:val="CommentSubject"/>
    <w:uiPriority w:val="99"/>
    <w:semiHidden/>
    <w:rsid w:val="001C1082"/>
    <w:rPr>
      <w:rFonts w:ascii="Times New Roman" w:hAnsi="Times New Roman"/>
      <w:b/>
      <w:bCs/>
      <w:sz w:val="20"/>
      <w:szCs w:val="20"/>
    </w:rPr>
  </w:style>
  <w:style w:type="paragraph" w:styleId="BalloonText">
    <w:name w:val="Balloon Text"/>
    <w:basedOn w:val="Normal"/>
    <w:link w:val="BalloonTextChar"/>
    <w:uiPriority w:val="99"/>
    <w:semiHidden/>
    <w:unhideWhenUsed/>
    <w:rsid w:val="001C1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082"/>
    <w:rPr>
      <w:rFonts w:ascii="Segoe UI" w:hAnsi="Segoe UI" w:cs="Segoe UI"/>
      <w:sz w:val="18"/>
      <w:szCs w:val="18"/>
    </w:rPr>
  </w:style>
  <w:style w:type="paragraph" w:styleId="NormalWeb">
    <w:name w:val="Normal (Web)"/>
    <w:basedOn w:val="Normal"/>
    <w:uiPriority w:val="99"/>
    <w:semiHidden/>
    <w:unhideWhenUsed/>
    <w:rsid w:val="001C1082"/>
    <w:pPr>
      <w:spacing w:before="100" w:beforeAutospacing="1" w:after="100" w:afterAutospacing="1" w:line="240" w:lineRule="auto"/>
    </w:pPr>
    <w:rPr>
      <w:rFonts w:ascii="Times New Roman" w:eastAsiaTheme="minorEastAsia" w:hAnsi="Times New Roman" w:cs="Times New Roman"/>
      <w:sz w:val="24"/>
      <w:szCs w:val="24"/>
      <w:lang w:eastAsia="sv-SE"/>
    </w:rPr>
  </w:style>
  <w:style w:type="paragraph" w:styleId="Title">
    <w:name w:val="Title"/>
    <w:basedOn w:val="Normal"/>
    <w:next w:val="Normal"/>
    <w:link w:val="TitleChar"/>
    <w:uiPriority w:val="10"/>
    <w:qFormat/>
    <w:rsid w:val="001C10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1082"/>
    <w:rPr>
      <w:rFonts w:asciiTheme="majorHAnsi" w:eastAsiaTheme="majorEastAsia" w:hAnsiTheme="majorHAnsi" w:cstheme="majorBidi"/>
      <w:spacing w:val="-10"/>
      <w:kern w:val="28"/>
      <w:sz w:val="56"/>
      <w:szCs w:val="56"/>
    </w:rPr>
  </w:style>
  <w:style w:type="character" w:customStyle="1" w:styleId="xbe">
    <w:name w:val="_xbe"/>
    <w:basedOn w:val="DefaultParagraphFont"/>
    <w:rsid w:val="001C1082"/>
  </w:style>
  <w:style w:type="paragraph" w:styleId="Revision">
    <w:name w:val="Revision"/>
    <w:hidden/>
    <w:uiPriority w:val="99"/>
    <w:semiHidden/>
    <w:rsid w:val="001C1082"/>
    <w:pPr>
      <w:spacing w:after="0" w:line="240" w:lineRule="auto"/>
    </w:pPr>
    <w:rPr>
      <w:rFonts w:ascii="Times New Roman" w:hAnsi="Times New Roman"/>
      <w:sz w:val="24"/>
    </w:rPr>
  </w:style>
  <w:style w:type="table" w:styleId="PlainTable5">
    <w:name w:val="Plain Table 5"/>
    <w:basedOn w:val="TableNormal"/>
    <w:uiPriority w:val="45"/>
    <w:rsid w:val="00FF26E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20666</Words>
  <Characters>117800</Characters>
  <Application>Microsoft Office Word</Application>
  <DocSecurity>0</DocSecurity>
  <Lines>981</Lines>
  <Paragraphs>276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Dali</dc:creator>
  <cp:keywords/>
  <dc:description/>
  <cp:lastModifiedBy>Mel Phimester</cp:lastModifiedBy>
  <cp:revision>2</cp:revision>
  <dcterms:created xsi:type="dcterms:W3CDTF">2021-02-25T04:04:00Z</dcterms:created>
  <dcterms:modified xsi:type="dcterms:W3CDTF">2021-02-25T04:04:00Z</dcterms:modified>
</cp:coreProperties>
</file>