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A37" w:rsidRPr="00A135BF" w:rsidRDefault="00D84A37" w:rsidP="00D84A3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5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Supplementary Figure 1. The linear association of </w:t>
      </w:r>
      <w:bookmarkStart w:id="0" w:name="_Hlk50047904"/>
      <w:r w:rsidRPr="00A135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miR-599 and circ_0006916 or SRSF2 </w:t>
      </w:r>
      <w:bookmarkEnd w:id="0"/>
      <w:r w:rsidRPr="00A135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abundance in HCC patients. </w:t>
      </w:r>
      <w:r w:rsidRPr="00A135BF">
        <w:rPr>
          <w:rFonts w:ascii="Times New Roman" w:hAnsi="Times New Roman" w:cs="Times New Roman"/>
          <w:color w:val="000000"/>
          <w:sz w:val="24"/>
          <w:szCs w:val="24"/>
        </w:rPr>
        <w:t>(A and B) The linear correl</w:t>
      </w:r>
      <w:bookmarkStart w:id="1" w:name="_GoBack"/>
      <w:bookmarkEnd w:id="1"/>
      <w:r w:rsidRPr="00A135BF">
        <w:rPr>
          <w:rFonts w:ascii="Times New Roman" w:hAnsi="Times New Roman" w:cs="Times New Roman"/>
          <w:color w:val="000000"/>
          <w:sz w:val="24"/>
          <w:szCs w:val="24"/>
        </w:rPr>
        <w:t>ation of miR-599 and circ_0006916 or SRSF2 level in HCC tissues was analyzed.</w:t>
      </w:r>
    </w:p>
    <w:p w:rsidR="005654DC" w:rsidRDefault="005654DC"/>
    <w:p w:rsidR="00D84A37" w:rsidRDefault="00D84A37"/>
    <w:p w:rsidR="00D84A37" w:rsidRDefault="00D84A37">
      <w:r w:rsidRPr="00D84A37">
        <w:rPr>
          <w:noProof/>
        </w:rPr>
        <w:drawing>
          <wp:inline distT="0" distB="0" distL="0" distR="0">
            <wp:extent cx="5731510" cy="23717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A37" w:rsidSect="00AB6F3E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37"/>
    <w:rsid w:val="005654DC"/>
    <w:rsid w:val="00880EBA"/>
    <w:rsid w:val="00D8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E6D43"/>
  <w15:chartTrackingRefBased/>
  <w15:docId w15:val="{1CD0CAE8-4C67-4528-8F5A-07C76F15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A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A37"/>
    <w:rPr>
      <w:rFonts w:ascii="Microsoft YaHei UI" w:eastAsia="Microsoft YaHei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84A37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2020-09-07T06:44:00Z</dcterms:created>
  <dcterms:modified xsi:type="dcterms:W3CDTF">2020-09-07T06:46:00Z</dcterms:modified>
</cp:coreProperties>
</file>