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202" w:rsidRPr="00E81B0E" w:rsidRDefault="00C06202" w:rsidP="00C06202">
      <w:pPr>
        <w:pStyle w:val="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 w:hint="eastAsia"/>
          <w:color w:val="auto"/>
        </w:rPr>
        <w:t>Supporting information</w:t>
      </w:r>
      <w:r w:rsidR="00A61D21">
        <w:rPr>
          <w:rFonts w:ascii="Times New Roman" w:hAnsi="Times New Roman" w:cs="Times New Roman" w:hint="eastAsia"/>
          <w:color w:val="auto"/>
        </w:rPr>
        <w:t xml:space="preserve"> for</w:t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E81B0E">
        <w:rPr>
          <w:rFonts w:ascii="Times New Roman" w:hAnsi="Times New Roman" w:cs="Times New Roman"/>
          <w:b/>
          <w:sz w:val="22"/>
        </w:rPr>
        <w:t xml:space="preserve">Structure </w:t>
      </w:r>
      <w:r>
        <w:rPr>
          <w:rFonts w:ascii="Times New Roman" w:hAnsi="Times New Roman" w:cs="Times New Roman" w:hint="eastAsia"/>
          <w:b/>
          <w:sz w:val="22"/>
        </w:rPr>
        <w:t>g</w:t>
      </w:r>
      <w:r w:rsidRPr="00E81B0E">
        <w:rPr>
          <w:rFonts w:ascii="Times New Roman" w:hAnsi="Times New Roman" w:cs="Times New Roman"/>
          <w:b/>
          <w:sz w:val="22"/>
        </w:rPr>
        <w:t xml:space="preserve">uided </w:t>
      </w:r>
      <w:r>
        <w:rPr>
          <w:rFonts w:ascii="Times New Roman" w:hAnsi="Times New Roman" w:cs="Times New Roman" w:hint="eastAsia"/>
          <w:b/>
          <w:sz w:val="22"/>
        </w:rPr>
        <w:t>d</w:t>
      </w:r>
      <w:r w:rsidRPr="00E81B0E">
        <w:rPr>
          <w:rFonts w:ascii="Times New Roman" w:hAnsi="Times New Roman" w:cs="Times New Roman"/>
          <w:b/>
          <w:sz w:val="22"/>
        </w:rPr>
        <w:t xml:space="preserve">esign of CRM1 </w:t>
      </w:r>
      <w:r>
        <w:rPr>
          <w:rFonts w:ascii="Times New Roman" w:hAnsi="Times New Roman" w:cs="Times New Roman" w:hint="eastAsia"/>
          <w:b/>
          <w:sz w:val="22"/>
        </w:rPr>
        <w:t>p</w:t>
      </w:r>
      <w:r w:rsidRPr="00E81B0E">
        <w:rPr>
          <w:rFonts w:ascii="Times New Roman" w:hAnsi="Times New Roman" w:cs="Times New Roman"/>
          <w:b/>
          <w:sz w:val="22"/>
        </w:rPr>
        <w:t xml:space="preserve">eptide </w:t>
      </w:r>
      <w:r>
        <w:rPr>
          <w:rFonts w:ascii="Times New Roman" w:hAnsi="Times New Roman" w:cs="Times New Roman" w:hint="eastAsia"/>
          <w:b/>
          <w:sz w:val="22"/>
        </w:rPr>
        <w:t>i</w:t>
      </w:r>
      <w:r w:rsidRPr="00E81B0E">
        <w:rPr>
          <w:rFonts w:ascii="Times New Roman" w:hAnsi="Times New Roman" w:cs="Times New Roman"/>
          <w:b/>
          <w:sz w:val="22"/>
        </w:rPr>
        <w:t xml:space="preserve">nhibitors for </w:t>
      </w:r>
      <w:r>
        <w:rPr>
          <w:rFonts w:ascii="Times New Roman" w:hAnsi="Times New Roman" w:cs="Times New Roman" w:hint="eastAsia"/>
          <w:b/>
          <w:sz w:val="22"/>
        </w:rPr>
        <w:t>t</w:t>
      </w:r>
      <w:r w:rsidRPr="00E81B0E">
        <w:rPr>
          <w:rFonts w:ascii="Times New Roman" w:hAnsi="Times New Roman" w:cs="Times New Roman"/>
          <w:b/>
          <w:sz w:val="22"/>
        </w:rPr>
        <w:t xml:space="preserve">argeted </w:t>
      </w:r>
      <w:r>
        <w:rPr>
          <w:rFonts w:ascii="Times New Roman" w:hAnsi="Times New Roman" w:cs="Times New Roman" w:hint="eastAsia"/>
          <w:b/>
          <w:sz w:val="22"/>
        </w:rPr>
        <w:t>c</w:t>
      </w:r>
      <w:r w:rsidRPr="00E81B0E">
        <w:rPr>
          <w:rFonts w:ascii="Times New Roman" w:hAnsi="Times New Roman" w:cs="Times New Roman"/>
          <w:b/>
          <w:sz w:val="22"/>
        </w:rPr>
        <w:t xml:space="preserve">ancer </w:t>
      </w:r>
      <w:r>
        <w:rPr>
          <w:rFonts w:ascii="Times New Roman" w:hAnsi="Times New Roman" w:cs="Times New Roman" w:hint="eastAsia"/>
          <w:b/>
          <w:sz w:val="22"/>
        </w:rPr>
        <w:t>t</w:t>
      </w:r>
      <w:r w:rsidRPr="00E81B0E">
        <w:rPr>
          <w:rFonts w:ascii="Times New Roman" w:hAnsi="Times New Roman" w:cs="Times New Roman"/>
          <w:b/>
          <w:sz w:val="22"/>
        </w:rPr>
        <w:t>herapy</w:t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  <w:sz w:val="22"/>
        </w:rPr>
      </w:pPr>
      <w:r w:rsidRPr="00E81B0E">
        <w:rPr>
          <w:rFonts w:ascii="Times New Roman" w:hAnsi="Times New Roman" w:cs="Times New Roman"/>
          <w:sz w:val="22"/>
        </w:rPr>
        <w:t>Min Sui1#, Meimei Xiong2#, Yuling Li1#, Qiao Zhou1, Xiaofei Shen3, Da Jia3, Maling Gou2*, Qingxiang Sun1*</w:t>
      </w:r>
    </w:p>
    <w:p w:rsidR="00C06202" w:rsidRPr="00E81B0E" w:rsidRDefault="00C06202" w:rsidP="00C06202">
      <w:pPr>
        <w:rPr>
          <w:rFonts w:ascii="Times New Roman" w:hAnsi="Times New Roman" w:cs="Times New Roman"/>
        </w:rPr>
      </w:pPr>
    </w:p>
    <w:p w:rsidR="00C06202" w:rsidRPr="00E81B0E" w:rsidRDefault="00C06202" w:rsidP="00C06202">
      <w:pPr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61099919" wp14:editId="48434F6A">
            <wp:extent cx="1821485" cy="1371550"/>
            <wp:effectExtent l="0" t="0" r="0" b="0"/>
            <wp:docPr id="19" name="图片 19" descr="G:\manuscripts\peptide\Sx-other tested mutations\other mutation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manuscripts\peptide\Sx-other tested mutations\other mutations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66" cy="137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  <w:szCs w:val="21"/>
        </w:rPr>
      </w:pPr>
      <w:r w:rsidRPr="00E81B0E">
        <w:rPr>
          <w:rFonts w:ascii="Times New Roman" w:hAnsi="Times New Roman" w:cs="Times New Roman"/>
          <w:szCs w:val="21"/>
        </w:rPr>
        <w:t>Figure S1. Some of the designed mutations that did not significantly improve binding to CRM1 and thus were not discussed in the text.</w:t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594A6E99" wp14:editId="1781BC4D">
            <wp:extent cx="6094376" cy="6245525"/>
            <wp:effectExtent l="0" t="0" r="1905" b="3175"/>
            <wp:docPr id="15" name="图片 15" descr="G:\manuscripts\peptide\Sx-ITC\IT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manuscripts\peptide\Sx-ITC\ITC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04" cy="62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</w:rPr>
        <w:t>Figure S2. ITC isotherms and fitting for Nm2, Nm3, Nm12, Nm13, Nm16. Error bars represent the 95% confidence interval of heat measurement integration. K</w:t>
      </w:r>
      <w:r w:rsidRPr="00E81B0E">
        <w:rPr>
          <w:rFonts w:ascii="Times New Roman" w:hAnsi="Times New Roman" w:cs="Times New Roman"/>
          <w:vertAlign w:val="subscript"/>
        </w:rPr>
        <w:t>d</w:t>
      </w:r>
      <w:r w:rsidRPr="00E81B0E">
        <w:rPr>
          <w:rFonts w:ascii="Times New Roman" w:hAnsi="Times New Roman" w:cs="Times New Roman"/>
        </w:rPr>
        <w:t xml:space="preserve"> and ΔH are displayed in Figure 2D. </w:t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67218BD8" wp14:editId="0CFECE50">
            <wp:extent cx="3109094" cy="6956755"/>
            <wp:effectExtent l="0" t="0" r="0" b="0"/>
            <wp:docPr id="20" name="图片 20" descr="G:\manuscripts\peptide\Sx-omit\omi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manuscripts\peptide\Sx-omit\omit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009" cy="695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</w:rPr>
        <w:t xml:space="preserve">Figure S3. Fo-Fc simulated annealing omit maps of MVM WT and mutant peptides contoured at 3 σ level. Green: positive density; Red: negative density. </w:t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 w:rsidRPr="00E81B0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06202" w:rsidRPr="00E81B0E" w:rsidRDefault="00B40273" w:rsidP="00C0620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>
            <wp:extent cx="3679825" cy="2633345"/>
            <wp:effectExtent l="0" t="0" r="0" b="0"/>
            <wp:docPr id="5" name="图片 5" descr="G:\manuscripts\peptide\s4-M82L\M82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manuscripts\peptide\s4-M82L\M82L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82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</w:rPr>
        <w:t>Figure S4. Zoom-in view of Nm15 crystal structure (cyan) on the M82L mutation region. MVM WT</w:t>
      </w:r>
      <w:r w:rsidR="00B40273">
        <w:rPr>
          <w:rFonts w:ascii="Times New Roman" w:hAnsi="Times New Roman" w:cs="Times New Roman" w:hint="eastAsia"/>
        </w:rPr>
        <w:t xml:space="preserve"> (green)</w:t>
      </w:r>
      <w:r w:rsidRPr="00E81B0E">
        <w:rPr>
          <w:rFonts w:ascii="Times New Roman" w:hAnsi="Times New Roman" w:cs="Times New Roman"/>
        </w:rPr>
        <w:t xml:space="preserve"> is overlaid for comparison. </w:t>
      </w:r>
      <w:r w:rsidR="00B40273">
        <w:rPr>
          <w:rFonts w:ascii="Times New Roman" w:hAnsi="Times New Roman" w:cs="Times New Roman" w:hint="eastAsia"/>
        </w:rPr>
        <w:t xml:space="preserve">Residues within 4 </w:t>
      </w:r>
      <w:r w:rsidR="00B40273">
        <w:rPr>
          <w:rFonts w:ascii="Times New Roman" w:hAnsi="Times New Roman" w:cs="Times New Roman"/>
        </w:rPr>
        <w:t>Å</w:t>
      </w:r>
      <w:r w:rsidR="00B40273">
        <w:rPr>
          <w:rFonts w:ascii="Times New Roman" w:hAnsi="Times New Roman" w:cs="Times New Roman" w:hint="eastAsia"/>
        </w:rPr>
        <w:t xml:space="preserve"> of L82 or M82 are shown as sticks. L82 contacts two more residues on CRM1 than M82. </w:t>
      </w:r>
      <w:r w:rsidRPr="00E81B0E">
        <w:rPr>
          <w:rFonts w:ascii="Times New Roman" w:hAnsi="Times New Roman" w:cs="Times New Roman"/>
        </w:rPr>
        <w:t xml:space="preserve"> </w:t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4FDB664" wp14:editId="244B057A">
            <wp:extent cx="5274310" cy="3753868"/>
            <wp:effectExtent l="0" t="0" r="2540" b="0"/>
            <wp:docPr id="17" name="图片 17" descr="G:\manuscripts\peptide\s5-293t nuclear  export inhibition\sx-293t\293t-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manuscripts\peptide\s5-293t nuclear  export inhibition\sx-293t\293t-09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5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</w:rPr>
        <w:t xml:space="preserve">Figure S5. Inhibition of nuclear export by Nm15 in 293T cells. A) Confocal images on nuclear export cargo (mCherry-NES-MBP-NLS) transfected 293T cells treated by KPT-330 or listed transfections. B) Quantification and statistical analysis of nuclear cargo percentages on images collected in panel A. Error bars represent the </w:t>
      </w:r>
      <w:r w:rsidRPr="00E81B0E">
        <w:rPr>
          <w:rFonts w:ascii="Times New Roman" w:hAnsi="Times New Roman" w:cs="Times New Roman"/>
        </w:rPr>
        <w:lastRenderedPageBreak/>
        <w:t>standard error of measurements.</w:t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6D1DE96B" wp14:editId="2F908E61">
            <wp:extent cx="5274310" cy="4067215"/>
            <wp:effectExtent l="0" t="0" r="2540" b="9525"/>
            <wp:docPr id="26" name="图片 26" descr="G:\manuscripts\peptide\S6-spki-ns2\pkin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manuscripts\peptide\S6-spki-ns2\pkins2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6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</w:rPr>
        <w:t xml:space="preserve">Figure S6. Nm15 is superior to the previously reported high-affinity NESs by pull-down (A), nuclear export inhibition (B,C) and cell survival (D,E,F). SPN: super PKI-NS2; CN: Cdc7-NS2. Error bars in D/E/F represent the standard deviation. For nuclear export inhibition by GFP-Nm15 in A549 cells, please refer to figure 5B. </w:t>
      </w:r>
    </w:p>
    <w:p w:rsidR="00C06202" w:rsidRPr="00E81B0E" w:rsidRDefault="00C06202" w:rsidP="00C06202">
      <w:pPr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57B2F747" wp14:editId="07C5490C">
            <wp:extent cx="4387850" cy="4245610"/>
            <wp:effectExtent l="0" t="0" r="0" b="2540"/>
            <wp:docPr id="6" name="图片 6" descr="G:\manuscripts\peptide\Fig6\s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anuscripts\peptide\Fig6\s10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02" w:rsidRPr="00E81B0E" w:rsidRDefault="00C06202" w:rsidP="00C06202">
      <w:pPr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</w:rPr>
        <w:t xml:space="preserve">Figure S7. Anti-cancer activity of several designed peptides. A) List of new mutation designed based on Nm15. The NES minimum sequences are boxed. Lower case letters represent D amino acids. </w:t>
      </w:r>
      <w:r w:rsidRPr="00E81B0E">
        <w:rPr>
          <w:rFonts w:ascii="Times New Roman" w:hAnsi="Times New Roman" w:cs="Times New Roman"/>
          <w:sz w:val="22"/>
        </w:rPr>
        <w:t xml:space="preserve">The designed peptides (Nm21-25) carry charges ranging from -3 to +5. In addition, the peptides were capped with an N-terminal Valine to prolong cellular half-life, and D amino acids were used for the second position to limit digestion. </w:t>
      </w:r>
      <w:r w:rsidRPr="00E81B0E">
        <w:rPr>
          <w:rFonts w:ascii="Times New Roman" w:hAnsi="Times New Roman" w:cs="Times New Roman"/>
        </w:rPr>
        <w:t xml:space="preserve">B) Cell penetration of FITC-labeled Nm15 and Nm23 at different time. Increasing net positive charge does enhance cellular uptake. C) Cell viability of different peptides at 100 µM. KPT-330 (20µM) is used as a positive control. Error bars represent standard deviation of each sample (10 replicates). </w:t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368FF434" wp14:editId="4B983420">
            <wp:extent cx="2918765" cy="1365436"/>
            <wp:effectExtent l="0" t="0" r="0" b="0"/>
            <wp:docPr id="1" name="图片 1" descr="G:\manuscripts\peptide\Fig6\omit42\omit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anuscripts\peptide\Fig6\omit42\omit42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725" cy="136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</w:rPr>
        <w:t xml:space="preserve">Figure S8. Fo-Fc simulated annealing omit maps of Nm42 contoured at 3 σ level. Green: positive density; Red: negative density. </w:t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2914832C" wp14:editId="12F8F6C5">
            <wp:extent cx="5274310" cy="1350459"/>
            <wp:effectExtent l="0" t="0" r="2540" b="2540"/>
            <wp:docPr id="10" name="图片 10" descr="G:\manuscripts\peptide\s8-srb\s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manuscripts\peptide\s8-srb\s8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5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</w:rPr>
        <w:t>Figure S9. Particle size (A) and zeta potential (B) of iDPP/Nm42 nanocomplex.</w:t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41F977D" wp14:editId="7B0391E4">
            <wp:extent cx="5215890" cy="2070100"/>
            <wp:effectExtent l="0" t="0" r="0" b="0"/>
            <wp:docPr id="2" name="图片 2" descr="G:\manuscripts\peptide\S9\Fig S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manuscripts\peptide\S9\Fig S9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  <w:bCs/>
        </w:rPr>
      </w:pPr>
      <w:r w:rsidRPr="00E81B0E">
        <w:rPr>
          <w:rFonts w:ascii="Times New Roman" w:hAnsi="Times New Roman" w:cs="Times New Roman"/>
          <w:bCs/>
        </w:rPr>
        <w:t>Figure S10. The fluorescent (left) and bright-field (right) image of B16-F10 cells after transfected by iDPP/</w:t>
      </w:r>
      <w:r w:rsidRPr="00E81B0E">
        <w:rPr>
          <w:rFonts w:ascii="Times New Roman" w:hAnsi="Times New Roman" w:cs="Times New Roman"/>
          <w:bCs/>
          <w:i/>
          <w:iCs/>
        </w:rPr>
        <w:t>GFP-N1</w:t>
      </w:r>
      <w:r w:rsidRPr="00E81B0E">
        <w:rPr>
          <w:rFonts w:ascii="Times New Roman" w:hAnsi="Times New Roman" w:cs="Times New Roman"/>
          <w:bCs/>
        </w:rPr>
        <w:t xml:space="preserve"> nanocomplex. Scale bar,100 μm. </w:t>
      </w:r>
    </w:p>
    <w:p w:rsidR="00C06202" w:rsidRDefault="006D7928" w:rsidP="00C06202">
      <w:pPr>
        <w:spacing w:line="360" w:lineRule="auto"/>
        <w:rPr>
          <w:rFonts w:ascii="Times New Roman" w:hAnsi="Times New Roman" w:cs="Times New Roman" w:hint="eastAsia"/>
          <w:bCs/>
        </w:rPr>
      </w:pPr>
      <w:r>
        <w:rPr>
          <w:noProof/>
          <w:lang w:val="en-GB"/>
        </w:rPr>
        <w:drawing>
          <wp:inline distT="0" distB="0" distL="0" distR="0" wp14:anchorId="6A618807" wp14:editId="3AAC5820">
            <wp:extent cx="2918764" cy="1849753"/>
            <wp:effectExtent l="0" t="0" r="0" b="0"/>
            <wp:docPr id="22" name="图片 22" descr="G:\manuscripts\peptide\fig8\Fig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manuscripts\peptide\fig8\Fig8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22" t="4189" r="30374" b="55480"/>
                    <a:stretch/>
                  </pic:blipFill>
                  <pic:spPr bwMode="auto">
                    <a:xfrm>
                      <a:off x="0" y="0"/>
                      <a:ext cx="2918795" cy="184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7928" w:rsidRPr="006D7928" w:rsidRDefault="006D7928" w:rsidP="00C06202">
      <w:pPr>
        <w:spacing w:line="360" w:lineRule="auto"/>
        <w:rPr>
          <w:rFonts w:ascii="Times New Roman" w:hAnsi="Times New Roman" w:cs="Times New Roman"/>
          <w:bCs/>
        </w:rPr>
      </w:pPr>
      <w:r w:rsidRPr="006D7928">
        <w:rPr>
          <w:rFonts w:ascii="Times New Roman" w:hAnsi="Times New Roman" w:cs="Times New Roman"/>
          <w:bCs/>
        </w:rPr>
        <w:t>Figure S11. I</w:t>
      </w:r>
      <w:r w:rsidRPr="006D7928">
        <w:rPr>
          <w:rFonts w:ascii="Times New Roman" w:hAnsi="Times New Roman" w:cs="Times New Roman"/>
          <w:bCs/>
        </w:rPr>
        <w:t>mages of xenograft tumors in each treatment groups.</w:t>
      </w:r>
    </w:p>
    <w:p w:rsidR="00C06202" w:rsidRPr="00E81B0E" w:rsidRDefault="00355A2E" w:rsidP="00C06202">
      <w:pPr>
        <w:spacing w:line="360" w:lineRule="auto"/>
        <w:rPr>
          <w:rFonts w:ascii="Times New Roman" w:hAnsi="Times New Roman" w:cs="Times New Roman"/>
          <w:bCs/>
        </w:rPr>
      </w:pPr>
      <w:r>
        <w:rPr>
          <w:bCs/>
          <w:noProof/>
          <w:lang w:val="en-GB"/>
        </w:rPr>
        <w:lastRenderedPageBreak/>
        <w:drawing>
          <wp:inline distT="0" distB="0" distL="0" distR="0" wp14:anchorId="1BE30F55" wp14:editId="70CFE021">
            <wp:extent cx="5998464" cy="1704677"/>
            <wp:effectExtent l="0" t="0" r="2540" b="0"/>
            <wp:docPr id="16" name="图片 16" descr="G:\manuscripts\peptide\S10\Fig S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manuscripts\peptide\S10\Fig S10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519" cy="170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202" w:rsidRPr="00E81B0E" w:rsidRDefault="00C06202" w:rsidP="00C0620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  <w:bCs/>
          <w:szCs w:val="21"/>
        </w:rPr>
        <w:t>Figure S1</w:t>
      </w:r>
      <w:r w:rsidR="006D7928">
        <w:rPr>
          <w:rFonts w:ascii="Times New Roman" w:hAnsi="Times New Roman" w:cs="Times New Roman" w:hint="eastAsia"/>
          <w:bCs/>
          <w:szCs w:val="21"/>
        </w:rPr>
        <w:t>2</w:t>
      </w:r>
      <w:r w:rsidRPr="00E81B0E"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r w:rsidRPr="00E81B0E">
        <w:rPr>
          <w:rFonts w:ascii="Times New Roman" w:hAnsi="Times New Roman" w:cs="Times New Roman"/>
          <w:bCs/>
        </w:rPr>
        <w:t>Serologic and biochemic</w:t>
      </w:r>
      <w:bookmarkStart w:id="0" w:name="_GoBack"/>
      <w:bookmarkEnd w:id="0"/>
      <w:r w:rsidRPr="00E81B0E">
        <w:rPr>
          <w:rFonts w:ascii="Times New Roman" w:hAnsi="Times New Roman" w:cs="Times New Roman"/>
          <w:bCs/>
        </w:rPr>
        <w:t>al analysis after intravenous injection of iDPP/DNA nanocomplex at the end of treatment. No significant blood biochemical changes are detected in iDPP/</w:t>
      </w:r>
      <w:r w:rsidRPr="00E81B0E">
        <w:rPr>
          <w:rFonts w:ascii="Times New Roman" w:hAnsi="Times New Roman" w:cs="Times New Roman"/>
          <w:bCs/>
          <w:i/>
          <w:iCs/>
        </w:rPr>
        <w:t>Nm42</w:t>
      </w:r>
      <w:r w:rsidRPr="00E81B0E">
        <w:rPr>
          <w:rFonts w:ascii="Times New Roman" w:hAnsi="Times New Roman" w:cs="Times New Roman"/>
          <w:bCs/>
        </w:rPr>
        <w:t xml:space="preserve"> treated mice.</w:t>
      </w:r>
    </w:p>
    <w:p w:rsidR="00C06202" w:rsidRPr="00E81B0E" w:rsidRDefault="00C06202" w:rsidP="00C06202">
      <w:pPr>
        <w:spacing w:line="360" w:lineRule="auto"/>
        <w:rPr>
          <w:rFonts w:ascii="Times New Roman" w:hAnsi="Times New Roman" w:cs="Times New Roman"/>
        </w:rPr>
      </w:pPr>
    </w:p>
    <w:p w:rsidR="00C06202" w:rsidRPr="00E81B0E" w:rsidRDefault="00C06202" w:rsidP="00C06202">
      <w:pPr>
        <w:widowControl/>
        <w:jc w:val="left"/>
        <w:rPr>
          <w:rFonts w:ascii="Times New Roman" w:hAnsi="Times New Roman" w:cs="Times New Roman"/>
          <w:b/>
          <w:kern w:val="0"/>
          <w:sz w:val="20"/>
          <w:szCs w:val="20"/>
        </w:rPr>
        <w:sectPr w:rsidR="00C06202" w:rsidRPr="00E81B0E" w:rsidSect="005D7BF8">
          <w:footerReference w:type="default" r:id="rId19"/>
          <w:pgSz w:w="11906" w:h="16838"/>
          <w:pgMar w:top="1134" w:right="1134" w:bottom="1134" w:left="1134" w:header="851" w:footer="992" w:gutter="0"/>
          <w:cols w:space="425"/>
          <w:docGrid w:type="linesAndChars" w:linePitch="312"/>
        </w:sectPr>
      </w:pPr>
    </w:p>
    <w:p w:rsidR="00C06202" w:rsidRPr="00E81B0E" w:rsidRDefault="00C06202" w:rsidP="00C06202">
      <w:pPr>
        <w:widowControl/>
        <w:spacing w:after="0"/>
        <w:jc w:val="left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E81B0E">
        <w:rPr>
          <w:rFonts w:ascii="Times New Roman" w:hAnsi="Times New Roman" w:cs="Times New Roman"/>
          <w:b/>
          <w:kern w:val="0"/>
          <w:sz w:val="20"/>
          <w:szCs w:val="20"/>
        </w:rPr>
        <w:lastRenderedPageBreak/>
        <w:t>Table S1. Crystal data collection and refinement statistics.</w:t>
      </w:r>
    </w:p>
    <w:tbl>
      <w:tblPr>
        <w:tblStyle w:val="a4"/>
        <w:tblW w:w="15614" w:type="dxa"/>
        <w:tblLayout w:type="fixed"/>
        <w:tblLook w:val="04A0" w:firstRow="1" w:lastRow="0" w:firstColumn="1" w:lastColumn="0" w:noHBand="0" w:noVBand="1"/>
      </w:tblPr>
      <w:tblGrid>
        <w:gridCol w:w="3048"/>
        <w:gridCol w:w="2094"/>
        <w:gridCol w:w="2094"/>
        <w:gridCol w:w="2094"/>
        <w:gridCol w:w="2094"/>
        <w:gridCol w:w="2095"/>
        <w:gridCol w:w="2095"/>
      </w:tblGrid>
      <w:tr w:rsidR="00C06202" w:rsidRPr="00E81B0E" w:rsidTr="00161D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  <w:tcBorders>
              <w:top w:val="single" w:sz="12" w:space="0" w:color="auto"/>
              <w:bottom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</w:p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2094" w:type="dxa"/>
            <w:tcBorders>
              <w:top w:val="single" w:sz="12" w:space="0" w:color="auto"/>
              <w:bottom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kern w:val="0"/>
                <w:sz w:val="20"/>
              </w:rPr>
            </w:pPr>
            <w:r w:rsidRPr="00E81B0E">
              <w:rPr>
                <w:i/>
                <w:kern w:val="0"/>
                <w:sz w:val="20"/>
              </w:rPr>
              <w:t>WT:</w:t>
            </w:r>
          </w:p>
          <w:p w:rsidR="00C06202" w:rsidRPr="00E81B0E" w:rsidRDefault="00C06202" w:rsidP="00161D0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kern w:val="0"/>
                <w:sz w:val="20"/>
              </w:rPr>
            </w:pPr>
            <w:r w:rsidRPr="00E81B0E">
              <w:rPr>
                <w:i/>
                <w:kern w:val="0"/>
                <w:sz w:val="20"/>
              </w:rPr>
              <w:t>CRM1:Ran:RanBP1</w:t>
            </w:r>
          </w:p>
        </w:tc>
        <w:tc>
          <w:tcPr>
            <w:tcW w:w="2094" w:type="dxa"/>
            <w:tcBorders>
              <w:top w:val="single" w:sz="12" w:space="0" w:color="auto"/>
              <w:bottom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kern w:val="0"/>
                <w:sz w:val="20"/>
              </w:rPr>
            </w:pPr>
            <w:r w:rsidRPr="00E81B0E">
              <w:rPr>
                <w:i/>
                <w:kern w:val="0"/>
                <w:sz w:val="20"/>
              </w:rPr>
              <w:t>Nm2:</w:t>
            </w:r>
          </w:p>
          <w:p w:rsidR="00C06202" w:rsidRPr="00E81B0E" w:rsidRDefault="00C06202" w:rsidP="00161D0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i/>
                <w:kern w:val="0"/>
                <w:sz w:val="20"/>
              </w:rPr>
              <w:t>CRM1:Ran:RanBP1</w:t>
            </w:r>
          </w:p>
        </w:tc>
        <w:tc>
          <w:tcPr>
            <w:tcW w:w="2094" w:type="dxa"/>
            <w:tcBorders>
              <w:top w:val="single" w:sz="12" w:space="0" w:color="auto"/>
              <w:bottom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kern w:val="0"/>
                <w:sz w:val="20"/>
              </w:rPr>
            </w:pPr>
            <w:r w:rsidRPr="00E81B0E">
              <w:rPr>
                <w:i/>
                <w:kern w:val="0"/>
                <w:sz w:val="20"/>
              </w:rPr>
              <w:t>Nm12:</w:t>
            </w:r>
          </w:p>
          <w:p w:rsidR="00C06202" w:rsidRPr="00E81B0E" w:rsidRDefault="00C06202" w:rsidP="00161D0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kern w:val="0"/>
                <w:sz w:val="20"/>
              </w:rPr>
            </w:pPr>
            <w:r w:rsidRPr="00E81B0E">
              <w:rPr>
                <w:i/>
                <w:kern w:val="0"/>
                <w:sz w:val="20"/>
              </w:rPr>
              <w:t>CRM1:Ran:RanBP1</w:t>
            </w:r>
          </w:p>
        </w:tc>
        <w:tc>
          <w:tcPr>
            <w:tcW w:w="2094" w:type="dxa"/>
            <w:tcBorders>
              <w:top w:val="single" w:sz="12" w:space="0" w:color="auto"/>
              <w:bottom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kern w:val="0"/>
                <w:sz w:val="20"/>
              </w:rPr>
            </w:pPr>
            <w:r w:rsidRPr="00E81B0E">
              <w:rPr>
                <w:i/>
                <w:kern w:val="0"/>
                <w:sz w:val="20"/>
              </w:rPr>
              <w:t>Nm13:</w:t>
            </w:r>
          </w:p>
          <w:p w:rsidR="00C06202" w:rsidRPr="00E81B0E" w:rsidRDefault="00C06202" w:rsidP="00161D0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kern w:val="0"/>
                <w:sz w:val="20"/>
              </w:rPr>
            </w:pPr>
            <w:r w:rsidRPr="00E81B0E">
              <w:rPr>
                <w:i/>
                <w:kern w:val="0"/>
                <w:sz w:val="20"/>
              </w:rPr>
              <w:t>CRM1:Ran:RanBP1</w:t>
            </w:r>
          </w:p>
        </w:tc>
        <w:tc>
          <w:tcPr>
            <w:tcW w:w="2095" w:type="dxa"/>
            <w:tcBorders>
              <w:top w:val="single" w:sz="12" w:space="0" w:color="auto"/>
              <w:bottom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kern w:val="0"/>
                <w:sz w:val="20"/>
              </w:rPr>
            </w:pPr>
            <w:r w:rsidRPr="00E81B0E">
              <w:rPr>
                <w:i/>
                <w:kern w:val="0"/>
                <w:sz w:val="20"/>
              </w:rPr>
              <w:t>Nm15:</w:t>
            </w:r>
          </w:p>
          <w:p w:rsidR="00C06202" w:rsidRPr="00E81B0E" w:rsidRDefault="00C06202" w:rsidP="00161D0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kern w:val="0"/>
                <w:sz w:val="20"/>
              </w:rPr>
            </w:pPr>
            <w:r w:rsidRPr="00E81B0E">
              <w:rPr>
                <w:i/>
                <w:kern w:val="0"/>
                <w:sz w:val="20"/>
              </w:rPr>
              <w:t>CRM1:Ran:RanBP1</w:t>
            </w:r>
          </w:p>
        </w:tc>
        <w:tc>
          <w:tcPr>
            <w:tcW w:w="2095" w:type="dxa"/>
            <w:tcBorders>
              <w:top w:val="single" w:sz="12" w:space="0" w:color="auto"/>
              <w:bottom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kern w:val="0"/>
                <w:sz w:val="20"/>
              </w:rPr>
            </w:pPr>
            <w:r w:rsidRPr="00E81B0E">
              <w:rPr>
                <w:i/>
                <w:kern w:val="0"/>
                <w:sz w:val="20"/>
              </w:rPr>
              <w:t>Nm42:</w:t>
            </w:r>
          </w:p>
          <w:p w:rsidR="00C06202" w:rsidRPr="00E81B0E" w:rsidRDefault="00C06202" w:rsidP="00161D0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kern w:val="0"/>
                <w:sz w:val="20"/>
              </w:rPr>
            </w:pPr>
            <w:r w:rsidRPr="00E81B0E">
              <w:rPr>
                <w:i/>
                <w:kern w:val="0"/>
                <w:sz w:val="20"/>
              </w:rPr>
              <w:t>CRM1:Ran:RanBP1</w:t>
            </w:r>
          </w:p>
        </w:tc>
      </w:tr>
      <w:tr w:rsidR="00C06202" w:rsidRPr="00E81B0E" w:rsidTr="00161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  <w:tcBorders>
              <w:top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rPr>
                <w:i/>
                <w:kern w:val="0"/>
                <w:sz w:val="20"/>
              </w:rPr>
            </w:pPr>
          </w:p>
        </w:tc>
        <w:tc>
          <w:tcPr>
            <w:tcW w:w="2094" w:type="dxa"/>
            <w:tcBorders>
              <w:top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  <w:tcBorders>
              <w:top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  <w:tcBorders>
              <w:top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  <w:tcBorders>
              <w:top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5" w:type="dxa"/>
            <w:tcBorders>
              <w:top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5" w:type="dxa"/>
            <w:tcBorders>
              <w:top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</w:tr>
      <w:tr w:rsidR="00C06202" w:rsidRPr="00E81B0E" w:rsidTr="00161D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Cell axial lengths (Å)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kern w:val="0"/>
                <w:sz w:val="20"/>
              </w:rPr>
            </w:pPr>
            <w:r w:rsidRPr="00E81B0E">
              <w:rPr>
                <w:i/>
                <w:kern w:val="0"/>
                <w:sz w:val="20"/>
              </w:rPr>
              <w:t>a=b=105.44, c=303.07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a=b=106.65, c=304.31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a=b=106.10, c=303.83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a=b=106.36, c=303.86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a=b=105.65, c=303.00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a=b=105.92, c=303.45</w:t>
            </w:r>
          </w:p>
        </w:tc>
      </w:tr>
      <w:tr w:rsidR="00C06202" w:rsidRPr="00E81B0E" w:rsidTr="00161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Spacegroup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P4</w:t>
            </w:r>
            <w:r w:rsidRPr="00E81B0E">
              <w:rPr>
                <w:kern w:val="0"/>
                <w:sz w:val="20"/>
                <w:vertAlign w:val="subscript"/>
              </w:rPr>
              <w:t>3</w:t>
            </w:r>
            <w:r w:rsidRPr="00E81B0E">
              <w:rPr>
                <w:kern w:val="0"/>
                <w:sz w:val="20"/>
              </w:rPr>
              <w:t>2</w:t>
            </w:r>
            <w:r w:rsidRPr="00E81B0E">
              <w:rPr>
                <w:kern w:val="0"/>
                <w:sz w:val="20"/>
                <w:vertAlign w:val="subscript"/>
              </w:rPr>
              <w:t>1</w:t>
            </w:r>
            <w:r w:rsidRPr="00E81B0E">
              <w:rPr>
                <w:kern w:val="0"/>
                <w:sz w:val="20"/>
              </w:rPr>
              <w:t>2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P4</w:t>
            </w:r>
            <w:r w:rsidRPr="00E81B0E">
              <w:rPr>
                <w:kern w:val="0"/>
                <w:sz w:val="20"/>
                <w:vertAlign w:val="subscript"/>
              </w:rPr>
              <w:t>3</w:t>
            </w:r>
            <w:r w:rsidRPr="00E81B0E">
              <w:rPr>
                <w:kern w:val="0"/>
                <w:sz w:val="20"/>
              </w:rPr>
              <w:t>2</w:t>
            </w:r>
            <w:r w:rsidRPr="00E81B0E">
              <w:rPr>
                <w:kern w:val="0"/>
                <w:sz w:val="20"/>
                <w:vertAlign w:val="subscript"/>
              </w:rPr>
              <w:t>1</w:t>
            </w:r>
            <w:r w:rsidRPr="00E81B0E">
              <w:rPr>
                <w:kern w:val="0"/>
                <w:sz w:val="20"/>
              </w:rPr>
              <w:t>2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P4</w:t>
            </w:r>
            <w:r w:rsidRPr="00E81B0E">
              <w:rPr>
                <w:kern w:val="0"/>
                <w:sz w:val="20"/>
                <w:vertAlign w:val="subscript"/>
              </w:rPr>
              <w:t>3</w:t>
            </w:r>
            <w:r w:rsidRPr="00E81B0E">
              <w:rPr>
                <w:kern w:val="0"/>
                <w:sz w:val="20"/>
              </w:rPr>
              <w:t>2</w:t>
            </w:r>
            <w:r w:rsidRPr="00E81B0E">
              <w:rPr>
                <w:kern w:val="0"/>
                <w:sz w:val="20"/>
                <w:vertAlign w:val="subscript"/>
              </w:rPr>
              <w:t>1</w:t>
            </w:r>
            <w:r w:rsidRPr="00E81B0E">
              <w:rPr>
                <w:kern w:val="0"/>
                <w:sz w:val="20"/>
              </w:rPr>
              <w:t>2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P4</w:t>
            </w:r>
            <w:r w:rsidRPr="00E81B0E">
              <w:rPr>
                <w:kern w:val="0"/>
                <w:sz w:val="20"/>
                <w:vertAlign w:val="subscript"/>
              </w:rPr>
              <w:t>3</w:t>
            </w:r>
            <w:r w:rsidRPr="00E81B0E">
              <w:rPr>
                <w:kern w:val="0"/>
                <w:sz w:val="20"/>
              </w:rPr>
              <w:t>2</w:t>
            </w:r>
            <w:r w:rsidRPr="00E81B0E">
              <w:rPr>
                <w:kern w:val="0"/>
                <w:sz w:val="20"/>
                <w:vertAlign w:val="subscript"/>
              </w:rPr>
              <w:t>1</w:t>
            </w:r>
            <w:r w:rsidRPr="00E81B0E">
              <w:rPr>
                <w:kern w:val="0"/>
                <w:sz w:val="20"/>
              </w:rPr>
              <w:t>2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P4</w:t>
            </w:r>
            <w:r w:rsidRPr="00E81B0E">
              <w:rPr>
                <w:kern w:val="0"/>
                <w:sz w:val="20"/>
                <w:vertAlign w:val="subscript"/>
              </w:rPr>
              <w:t>3</w:t>
            </w:r>
            <w:r w:rsidRPr="00E81B0E">
              <w:rPr>
                <w:kern w:val="0"/>
                <w:sz w:val="20"/>
              </w:rPr>
              <w:t>2</w:t>
            </w:r>
            <w:r w:rsidRPr="00E81B0E">
              <w:rPr>
                <w:kern w:val="0"/>
                <w:sz w:val="20"/>
                <w:vertAlign w:val="subscript"/>
              </w:rPr>
              <w:t>1</w:t>
            </w:r>
            <w:r w:rsidRPr="00E81B0E">
              <w:rPr>
                <w:kern w:val="0"/>
                <w:sz w:val="20"/>
              </w:rPr>
              <w:t>2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P4</w:t>
            </w:r>
            <w:r w:rsidRPr="00E81B0E">
              <w:rPr>
                <w:kern w:val="0"/>
                <w:sz w:val="20"/>
                <w:vertAlign w:val="subscript"/>
              </w:rPr>
              <w:t>3</w:t>
            </w:r>
            <w:r w:rsidRPr="00E81B0E">
              <w:rPr>
                <w:kern w:val="0"/>
                <w:sz w:val="20"/>
              </w:rPr>
              <w:t>2</w:t>
            </w:r>
            <w:r w:rsidRPr="00E81B0E">
              <w:rPr>
                <w:kern w:val="0"/>
                <w:sz w:val="20"/>
                <w:vertAlign w:val="subscript"/>
              </w:rPr>
              <w:t>1</w:t>
            </w:r>
            <w:r w:rsidRPr="00E81B0E">
              <w:rPr>
                <w:kern w:val="0"/>
                <w:sz w:val="20"/>
              </w:rPr>
              <w:t>2</w:t>
            </w:r>
          </w:p>
        </w:tc>
      </w:tr>
      <w:tr w:rsidR="00C06202" w:rsidRPr="00E81B0E" w:rsidTr="00161D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</w:tr>
      <w:tr w:rsidR="00C06202" w:rsidRPr="00E81B0E" w:rsidTr="00161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2"/>
              </w:rPr>
              <w:t>Data collection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</w:tr>
      <w:tr w:rsidR="00C06202" w:rsidRPr="00E81B0E" w:rsidTr="00161D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Resolution range (Å)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50.00-2.70 (2.75-2.70)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50.00-2.30 (2.34-2.30)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50.00-2.35 (2.39-2.35)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50.00-2.50 (2.54-2.50)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50.00-2.70 (2.75-2.70)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tabs>
                <w:tab w:val="left" w:pos="11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50.00-2.45 (2.45-2.51)</w:t>
            </w:r>
          </w:p>
        </w:tc>
      </w:tr>
      <w:tr w:rsidR="00C06202" w:rsidRPr="00E81B0E" w:rsidTr="00161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Number of observed reflections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693490 (34470)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971908 (40735)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992557 (47401)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857793 (28123)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593179 (26617)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1665071 (125988)</w:t>
            </w:r>
          </w:p>
        </w:tc>
      </w:tr>
      <w:tr w:rsidR="00C06202" w:rsidRPr="00E81B0E" w:rsidTr="00161D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Number of unique reflections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48581 (2361)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78675 (3843)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73152 (3564)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61540 (3024)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49549 (2442)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64599 (4681)</w:t>
            </w:r>
          </w:p>
        </w:tc>
      </w:tr>
      <w:tr w:rsidR="00C06202" w:rsidRPr="00E81B0E" w:rsidTr="00161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Completeness (%)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100.0 (100.0)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99.6 (99.0)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100.0 (100.0)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100.0 (99.6)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100.0 (100.0)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100.0 (99.9)</w:t>
            </w:r>
          </w:p>
        </w:tc>
      </w:tr>
      <w:tr w:rsidR="00C06202" w:rsidRPr="00E81B0E" w:rsidTr="00161D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Redundancy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14.3 (14.6)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12.4 (12.7)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13.6 (13.3)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13.9 (9.3)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12.0 (10.9)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25.8 (26.9)</w:t>
            </w:r>
          </w:p>
        </w:tc>
      </w:tr>
      <w:tr w:rsidR="00C06202" w:rsidRPr="00E81B0E" w:rsidTr="00161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R</w:t>
            </w:r>
            <w:r w:rsidRPr="00E81B0E">
              <w:rPr>
                <w:kern w:val="0"/>
                <w:sz w:val="20"/>
                <w:vertAlign w:val="subscript"/>
              </w:rPr>
              <w:t>pim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0.063 (0.897)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0.045 (0.867)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0.045 (0.871)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0.061 (0.975)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0.077 (0.694)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0.043 (0.977)</w:t>
            </w:r>
          </w:p>
        </w:tc>
      </w:tr>
      <w:tr w:rsidR="00C06202" w:rsidRPr="00E81B0E" w:rsidTr="00161D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Highest shell CC1/2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0.319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0.330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0.391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0.413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0.377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0.634</w:t>
            </w:r>
          </w:p>
        </w:tc>
      </w:tr>
      <w:tr w:rsidR="00C06202" w:rsidRPr="00E81B0E" w:rsidTr="00161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Mean I/I</w:t>
            </w:r>
            <w:r w:rsidRPr="00E81B0E">
              <w:rPr>
                <w:kern w:val="0"/>
                <w:sz w:val="20"/>
                <w:vertAlign w:val="subscript"/>
              </w:rPr>
              <w:t>sigma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13.0 (0.8)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16.3 (0.6)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17.8 (0.8)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16.0 (0.9)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9.9 (1.0)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15.4 (1.4)</w:t>
            </w:r>
          </w:p>
        </w:tc>
      </w:tr>
      <w:tr w:rsidR="00C06202" w:rsidRPr="00E81B0E" w:rsidTr="00161D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</w:tr>
      <w:tr w:rsidR="00C06202" w:rsidRPr="00E81B0E" w:rsidTr="00161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2"/>
              </w:rPr>
              <w:t>Refinement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</w:tr>
      <w:tr w:rsidR="00C06202" w:rsidRPr="00E81B0E" w:rsidTr="00161D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Resolution range (Å)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50.01-2.69 (2.76-2.69)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50.01-2.30 (2.36-2.30)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50.00-2.35 (2.41-2.35)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50.01-2.51 (2.58-2.51)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47.31-2.70 (2.77-2.70)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50.00-2.45 (2.51-2.45)</w:t>
            </w:r>
          </w:p>
        </w:tc>
      </w:tr>
      <w:tr w:rsidR="00C06202" w:rsidRPr="00E81B0E" w:rsidTr="00161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R</w:t>
            </w:r>
            <w:r w:rsidRPr="00E81B0E">
              <w:rPr>
                <w:kern w:val="0"/>
                <w:sz w:val="20"/>
                <w:vertAlign w:val="subscript"/>
              </w:rPr>
              <w:t>work</w:t>
            </w:r>
            <w:r w:rsidRPr="00E81B0E">
              <w:rPr>
                <w:kern w:val="0"/>
                <w:sz w:val="20"/>
                <w:vertAlign w:val="superscript"/>
              </w:rPr>
              <w:t>a</w:t>
            </w:r>
            <w:r w:rsidRPr="00E81B0E">
              <w:rPr>
                <w:kern w:val="0"/>
                <w:sz w:val="20"/>
                <w:vertAlign w:val="subscript"/>
              </w:rPr>
              <w:t xml:space="preserve"> </w:t>
            </w:r>
            <w:r w:rsidRPr="00E81B0E">
              <w:rPr>
                <w:kern w:val="0"/>
                <w:sz w:val="20"/>
              </w:rPr>
              <w:t>(no. of reflections)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0.218 (0.353)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0.218 (0.368)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0.220 (0.392)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0.213 (0.347)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0.203 (0.342)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0.197 (0.371)</w:t>
            </w:r>
          </w:p>
        </w:tc>
      </w:tr>
      <w:tr w:rsidR="00C06202" w:rsidRPr="00E81B0E" w:rsidTr="00161D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R</w:t>
            </w:r>
            <w:r w:rsidRPr="00E81B0E">
              <w:rPr>
                <w:kern w:val="0"/>
                <w:sz w:val="20"/>
                <w:vertAlign w:val="subscript"/>
              </w:rPr>
              <w:t>free</w:t>
            </w:r>
            <w:r w:rsidRPr="00E81B0E">
              <w:rPr>
                <w:kern w:val="0"/>
                <w:sz w:val="20"/>
                <w:vertAlign w:val="superscript"/>
              </w:rPr>
              <w:t>b</w:t>
            </w:r>
            <w:r w:rsidRPr="00E81B0E">
              <w:rPr>
                <w:kern w:val="0"/>
                <w:sz w:val="20"/>
              </w:rPr>
              <w:t xml:space="preserve"> (no. of reflections)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0.256 (0.392)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0.248 (0.345)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0.266 (0.358)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0.254 (0.361)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0.241 (0.378)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0.235 (0.401)</w:t>
            </w:r>
          </w:p>
        </w:tc>
      </w:tr>
      <w:tr w:rsidR="00C06202" w:rsidRPr="00E81B0E" w:rsidTr="00161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R.m.s. deviation bond lengths (Å)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0.007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0.007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0.008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0.008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0.006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0.004</w:t>
            </w:r>
          </w:p>
        </w:tc>
      </w:tr>
      <w:tr w:rsidR="00C06202" w:rsidRPr="00E81B0E" w:rsidTr="00161D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R.m.s. deviation bond angles (°)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1.131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1.085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1.183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1.183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1.025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1.236</w:t>
            </w:r>
          </w:p>
        </w:tc>
      </w:tr>
      <w:tr w:rsidR="00C06202" w:rsidRPr="00E81B0E" w:rsidTr="00161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Avg B-factors (Å2) (# of atoms)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81.7 (11078)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72.3 (11227)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74.2 (11273)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72.0 (11088)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72.9 (11251)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69.0 (11194)</w:t>
            </w:r>
          </w:p>
        </w:tc>
      </w:tr>
      <w:tr w:rsidR="00C06202" w:rsidRPr="00E81B0E" w:rsidTr="00161D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</w:tr>
      <w:tr w:rsidR="00C06202" w:rsidRPr="00E81B0E" w:rsidTr="00161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2"/>
              </w:rPr>
              <w:t>Ramachandran plot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</w:tr>
      <w:tr w:rsidR="00C06202" w:rsidRPr="00E81B0E" w:rsidTr="00161D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Most favored regions (%)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93.8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93.8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94.3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93.5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93.1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94.2</w:t>
            </w:r>
          </w:p>
        </w:tc>
      </w:tr>
      <w:tr w:rsidR="00C06202" w:rsidRPr="00E81B0E" w:rsidTr="00161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Allowed regions (%)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6.1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6.1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5.4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6.3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6.7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5.6</w:t>
            </w:r>
          </w:p>
        </w:tc>
      </w:tr>
      <w:tr w:rsidR="00C06202" w:rsidRPr="00E81B0E" w:rsidTr="00161D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General allowed regions (%)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0.0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0.1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0.1</w:t>
            </w:r>
          </w:p>
        </w:tc>
        <w:tc>
          <w:tcPr>
            <w:tcW w:w="2094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0.0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0.0</w:t>
            </w:r>
          </w:p>
        </w:tc>
        <w:tc>
          <w:tcPr>
            <w:tcW w:w="2095" w:type="dxa"/>
          </w:tcPr>
          <w:p w:rsidR="00C06202" w:rsidRPr="00E81B0E" w:rsidRDefault="00C06202" w:rsidP="00161D0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0.1</w:t>
            </w:r>
          </w:p>
        </w:tc>
      </w:tr>
      <w:tr w:rsidR="00C06202" w:rsidRPr="00E81B0E" w:rsidTr="00161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dxa"/>
            <w:tcBorders>
              <w:bottom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Disallowed regions (%)</w:t>
            </w:r>
          </w:p>
        </w:tc>
        <w:tc>
          <w:tcPr>
            <w:tcW w:w="2094" w:type="dxa"/>
            <w:tcBorders>
              <w:bottom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0.2</w:t>
            </w:r>
          </w:p>
        </w:tc>
        <w:tc>
          <w:tcPr>
            <w:tcW w:w="2094" w:type="dxa"/>
            <w:tcBorders>
              <w:bottom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0.1</w:t>
            </w:r>
          </w:p>
        </w:tc>
        <w:tc>
          <w:tcPr>
            <w:tcW w:w="2094" w:type="dxa"/>
            <w:tcBorders>
              <w:bottom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0.2</w:t>
            </w:r>
          </w:p>
        </w:tc>
        <w:tc>
          <w:tcPr>
            <w:tcW w:w="2094" w:type="dxa"/>
            <w:tcBorders>
              <w:bottom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0.2</w:t>
            </w:r>
          </w:p>
        </w:tc>
        <w:tc>
          <w:tcPr>
            <w:tcW w:w="2095" w:type="dxa"/>
            <w:tcBorders>
              <w:bottom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0.2</w:t>
            </w:r>
          </w:p>
        </w:tc>
        <w:tc>
          <w:tcPr>
            <w:tcW w:w="2095" w:type="dxa"/>
            <w:tcBorders>
              <w:bottom w:val="single" w:sz="12" w:space="0" w:color="auto"/>
            </w:tcBorders>
          </w:tcPr>
          <w:p w:rsidR="00C06202" w:rsidRPr="00E81B0E" w:rsidRDefault="00C06202" w:rsidP="00161D04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E81B0E">
              <w:rPr>
                <w:kern w:val="0"/>
                <w:sz w:val="20"/>
              </w:rPr>
              <w:t>0.2</w:t>
            </w:r>
          </w:p>
        </w:tc>
      </w:tr>
    </w:tbl>
    <w:p w:rsidR="00C06202" w:rsidRPr="00E81B0E" w:rsidRDefault="00C06202" w:rsidP="00C06202">
      <w:pPr>
        <w:widowControl/>
        <w:jc w:val="left"/>
        <w:rPr>
          <w:rFonts w:ascii="Times New Roman" w:hAnsi="Times New Roman" w:cs="Times New Roman"/>
        </w:rPr>
      </w:pPr>
      <w:r w:rsidRPr="00E81B0E">
        <w:rPr>
          <w:rFonts w:ascii="Times New Roman" w:hAnsi="Times New Roman" w:cs="Times New Roman"/>
          <w:kern w:val="0"/>
          <w:sz w:val="20"/>
          <w:szCs w:val="16"/>
        </w:rPr>
        <w:t>R</w:t>
      </w:r>
      <w:r w:rsidRPr="00E81B0E">
        <w:rPr>
          <w:rFonts w:ascii="Times New Roman" w:hAnsi="Times New Roman" w:cs="Times New Roman"/>
          <w:kern w:val="0"/>
          <w:sz w:val="20"/>
          <w:szCs w:val="16"/>
          <w:vertAlign w:val="subscript"/>
        </w:rPr>
        <w:t>work</w:t>
      </w:r>
      <w:r w:rsidRPr="00E81B0E">
        <w:rPr>
          <w:rFonts w:ascii="Times New Roman" w:hAnsi="Times New Roman" w:cs="Times New Roman"/>
          <w:kern w:val="0"/>
          <w:sz w:val="20"/>
          <w:szCs w:val="16"/>
          <w:vertAlign w:val="superscript"/>
        </w:rPr>
        <w:t>b</w:t>
      </w:r>
      <w:r w:rsidRPr="00E81B0E">
        <w:rPr>
          <w:rFonts w:ascii="Times New Roman" w:hAnsi="Times New Roman" w:cs="Times New Roman"/>
          <w:kern w:val="0"/>
          <w:sz w:val="20"/>
          <w:szCs w:val="16"/>
        </w:rPr>
        <w:t xml:space="preserve"> = Σ|Fo – Fc|/|Fo|, where Fc and Fo are the calculated and observed structure factor amplitudes, respectively </w:t>
      </w:r>
      <w:r w:rsidRPr="00E81B0E">
        <w:rPr>
          <w:rFonts w:ascii="Times New Roman" w:hAnsi="Times New Roman" w:cs="Times New Roman"/>
          <w:kern w:val="0"/>
          <w:sz w:val="20"/>
          <w:szCs w:val="16"/>
        </w:rPr>
        <w:br/>
        <w:t>R</w:t>
      </w:r>
      <w:r w:rsidRPr="00E81B0E">
        <w:rPr>
          <w:rFonts w:ascii="Times New Roman" w:hAnsi="Times New Roman" w:cs="Times New Roman"/>
          <w:kern w:val="0"/>
          <w:sz w:val="20"/>
          <w:szCs w:val="16"/>
          <w:vertAlign w:val="subscript"/>
        </w:rPr>
        <w:t>free</w:t>
      </w:r>
      <w:r w:rsidRPr="00E81B0E">
        <w:rPr>
          <w:rFonts w:ascii="Times New Roman" w:hAnsi="Times New Roman" w:cs="Times New Roman"/>
          <w:kern w:val="0"/>
          <w:sz w:val="20"/>
          <w:szCs w:val="16"/>
          <w:vertAlign w:val="superscript"/>
        </w:rPr>
        <w:t>c</w:t>
      </w:r>
      <w:r w:rsidRPr="00E81B0E">
        <w:rPr>
          <w:rFonts w:ascii="Times New Roman" w:hAnsi="Times New Roman" w:cs="Times New Roman"/>
          <w:kern w:val="0"/>
          <w:sz w:val="20"/>
          <w:szCs w:val="16"/>
        </w:rPr>
        <w:t xml:space="preserve"> calculated as for R</w:t>
      </w:r>
      <w:r w:rsidRPr="00E81B0E">
        <w:rPr>
          <w:rFonts w:ascii="Times New Roman" w:hAnsi="Times New Roman" w:cs="Times New Roman"/>
          <w:kern w:val="0"/>
          <w:sz w:val="20"/>
          <w:szCs w:val="16"/>
          <w:vertAlign w:val="subscript"/>
        </w:rPr>
        <w:t>work</w:t>
      </w:r>
      <w:r w:rsidRPr="00E81B0E">
        <w:rPr>
          <w:rFonts w:ascii="Times New Roman" w:hAnsi="Times New Roman" w:cs="Times New Roman"/>
          <w:kern w:val="0"/>
          <w:sz w:val="20"/>
          <w:szCs w:val="16"/>
        </w:rPr>
        <w:t xml:space="preserve"> but for 5.0% of the total reflections chosen at random and omitted from refinement for all data sets </w:t>
      </w:r>
    </w:p>
    <w:p w:rsidR="00DF062C" w:rsidRDefault="009321C5"/>
    <w:sectPr w:rsidR="00DF062C" w:rsidSect="005D7BF8">
      <w:footerReference w:type="default" r:id="rId20"/>
      <w:pgSz w:w="16838" w:h="11906" w:orient="landscape" w:code="9"/>
      <w:pgMar w:top="567" w:right="680" w:bottom="567" w:left="680" w:header="851" w:footer="0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1C5" w:rsidRDefault="009321C5">
      <w:pPr>
        <w:spacing w:after="0" w:line="240" w:lineRule="auto"/>
      </w:pPr>
      <w:r>
        <w:separator/>
      </w:r>
    </w:p>
  </w:endnote>
  <w:endnote w:type="continuationSeparator" w:id="0">
    <w:p w:rsidR="009321C5" w:rsidRDefault="00932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009606"/>
      <w:docPartObj>
        <w:docPartGallery w:val="Page Numbers (Bottom of Page)"/>
        <w:docPartUnique/>
      </w:docPartObj>
    </w:sdtPr>
    <w:sdtEndPr/>
    <w:sdtContent>
      <w:p w:rsidR="00226B01" w:rsidRDefault="00C06202">
        <w:pPr>
          <w:pStyle w:val="a3"/>
        </w:pPr>
        <w:r>
          <w:rPr>
            <w:noProof/>
            <w:lang w:val="en-GB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3926B16A" wp14:editId="1C70F6F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4" name="矩形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400755105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85506030"/>
                                  </w:sdtPr>
                                  <w:sdtEndPr/>
                                  <w:sdtContent>
                                    <w:p w:rsidR="00226B01" w:rsidRDefault="00C06202" w:rsidP="00822254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 w:rsidRPr="00822254">
                                        <w:rPr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822254">
                                        <w:rPr>
                                          <w:sz w:val="24"/>
                                          <w:szCs w:val="24"/>
                                        </w:rPr>
                                        <w:instrText>PAGE   \* MERGEFORMAT</w:instrText>
                                      </w:r>
                                      <w:r w:rsidRPr="00822254">
                                        <w:rPr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 w:rsidR="006D7928" w:rsidRPr="006D7928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24"/>
                                          <w:szCs w:val="24"/>
                                          <w:lang w:val="zh-CN"/>
                                        </w:rPr>
                                        <w:t>8</w:t>
                                      </w:r>
                                      <w:r w:rsidRPr="00822254">
                                        <w:rPr>
                                          <w:rFonts w:asciiTheme="majorHAnsi" w:eastAsiaTheme="majorEastAsia" w:hAnsiTheme="majorHAnsi" w:cstheme="majorBidi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矩形 11" o:spid="_x0000_s1026" style="position:absolute;margin-left:0;margin-top:0;width:60pt;height:70.5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Llz9sCDAgAA&#10;6wQAAA4AAAAAAAAAAAAAAAAALgIAAGRycy9lMm9Eb2MueG1sUEsBAi0AFAAGAAgAAAAhAGzVH9PZ&#10;AAAABQEAAA8AAAAAAAAAAAAAAAAA3QQAAGRycy9kb3ducmV2LnhtbFBLBQYAAAAABAAEAPMAAADj&#10;BQAAAAA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400755105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85506030"/>
                            </w:sdtPr>
                            <w:sdtEndPr/>
                            <w:sdtContent>
                              <w:p w:rsidR="00226B01" w:rsidRDefault="00C06202" w:rsidP="00822254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 w:rsidRPr="00822254">
                                  <w:rPr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822254">
                                  <w:rPr>
                                    <w:sz w:val="24"/>
                                    <w:szCs w:val="24"/>
                                  </w:rPr>
                                  <w:instrText>PAGE   \* MERGEFORMAT</w:instrText>
                                </w:r>
                                <w:r w:rsidRPr="00822254">
                                  <w:rPr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6D7928" w:rsidRPr="006D7928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24"/>
                                    <w:szCs w:val="24"/>
                                    <w:lang w:val="zh-CN"/>
                                  </w:rPr>
                                  <w:t>8</w:t>
                                </w:r>
                                <w:r w:rsidRPr="00822254">
                                  <w:rPr>
                                    <w:rFonts w:asciiTheme="majorHAnsi" w:eastAsiaTheme="majorEastAsia" w:hAnsiTheme="majorHAnsi" w:cstheme="majorBidi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6398584"/>
      <w:docPartObj>
        <w:docPartGallery w:val="Page Numbers (Bottom of Page)"/>
        <w:docPartUnique/>
      </w:docPartObj>
    </w:sdtPr>
    <w:sdtEndPr/>
    <w:sdtContent>
      <w:p w:rsidR="00226B01" w:rsidRDefault="00C06202">
        <w:r>
          <w:rPr>
            <w:noProof/>
            <w:lang w:val="en-GB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04C3257D" wp14:editId="4D81D47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581" name="矩形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392084774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102874984"/>
                                  </w:sdtPr>
                                  <w:sdtEndPr/>
                                  <w:sdtContent>
                                    <w:p w:rsidR="00226B01" w:rsidRDefault="00C06202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 w:rsidRPr="00822254">
                                        <w:rPr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822254">
                                        <w:rPr>
                                          <w:sz w:val="24"/>
                                          <w:szCs w:val="24"/>
                                        </w:rPr>
                                        <w:instrText>PAGE   \* MERGEFORMAT</w:instrText>
                                      </w:r>
                                      <w:r w:rsidRPr="00822254">
                                        <w:rPr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 w:rsidR="006D7928" w:rsidRPr="006D7928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24"/>
                                          <w:szCs w:val="24"/>
                                          <w:lang w:val="zh-CN"/>
                                        </w:rPr>
                                        <w:t>9</w:t>
                                      </w:r>
                                      <w:r w:rsidRPr="00822254">
                                        <w:rPr>
                                          <w:rFonts w:asciiTheme="majorHAnsi" w:eastAsiaTheme="majorEastAsia" w:hAnsiTheme="majorHAnsi" w:cstheme="majorBidi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_x0000_s1027" style="position:absolute;left:0;text-align:left;margin-left:0;margin-top:0;width:60pt;height:70.5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392084774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102874984"/>
                            </w:sdtPr>
                            <w:sdtEndPr/>
                            <w:sdtContent>
                              <w:p w:rsidR="00226B01" w:rsidRDefault="00C06202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 w:rsidRPr="00822254">
                                  <w:rPr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822254">
                                  <w:rPr>
                                    <w:sz w:val="24"/>
                                    <w:szCs w:val="24"/>
                                  </w:rPr>
                                  <w:instrText>PAGE   \* MERGEFORMAT</w:instrText>
                                </w:r>
                                <w:r w:rsidRPr="00822254">
                                  <w:rPr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6D7928" w:rsidRPr="006D7928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24"/>
                                    <w:szCs w:val="24"/>
                                    <w:lang w:val="zh-CN"/>
                                  </w:rPr>
                                  <w:t>9</w:t>
                                </w:r>
                                <w:r w:rsidRPr="00822254">
                                  <w:rPr>
                                    <w:rFonts w:asciiTheme="majorHAnsi" w:eastAsiaTheme="majorEastAsia" w:hAnsiTheme="majorHAnsi" w:cstheme="majorBidi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1C5" w:rsidRDefault="009321C5">
      <w:pPr>
        <w:spacing w:after="0" w:line="240" w:lineRule="auto"/>
      </w:pPr>
      <w:r>
        <w:separator/>
      </w:r>
    </w:p>
  </w:footnote>
  <w:footnote w:type="continuationSeparator" w:id="0">
    <w:p w:rsidR="009321C5" w:rsidRDefault="00932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202"/>
    <w:rsid w:val="00355A2E"/>
    <w:rsid w:val="005135E2"/>
    <w:rsid w:val="006D7928"/>
    <w:rsid w:val="007C0FC9"/>
    <w:rsid w:val="009321C5"/>
    <w:rsid w:val="00A61D21"/>
    <w:rsid w:val="00B40273"/>
    <w:rsid w:val="00C06202"/>
    <w:rsid w:val="00D71935"/>
    <w:rsid w:val="00FF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202"/>
    <w:pPr>
      <w:widowControl w:val="0"/>
      <w:jc w:val="both"/>
    </w:pPr>
    <w:rPr>
      <w:kern w:val="2"/>
      <w:sz w:val="21"/>
      <w:lang w:val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C06202"/>
    <w:pPr>
      <w:keepNext/>
      <w:keepLines/>
      <w:widowControl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C062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footer"/>
    <w:basedOn w:val="a"/>
    <w:link w:val="Char"/>
    <w:uiPriority w:val="99"/>
    <w:unhideWhenUsed/>
    <w:rsid w:val="00C06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06202"/>
    <w:rPr>
      <w:kern w:val="2"/>
      <w:sz w:val="18"/>
      <w:szCs w:val="18"/>
      <w:lang w:val="en-US"/>
    </w:rPr>
  </w:style>
  <w:style w:type="table" w:styleId="a4">
    <w:name w:val="Light Shading"/>
    <w:basedOn w:val="a1"/>
    <w:uiPriority w:val="60"/>
    <w:rsid w:val="00C06202"/>
    <w:pPr>
      <w:spacing w:after="0" w:line="240" w:lineRule="auto"/>
    </w:pPr>
    <w:rPr>
      <w:rFonts w:ascii="Times New Roman" w:eastAsia="宋体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Balloon Text"/>
    <w:basedOn w:val="a"/>
    <w:link w:val="Char0"/>
    <w:uiPriority w:val="99"/>
    <w:semiHidden/>
    <w:unhideWhenUsed/>
    <w:rsid w:val="00C06202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C06202"/>
    <w:rPr>
      <w:rFonts w:ascii="宋体" w:eastAsia="宋体"/>
      <w:kern w:val="2"/>
      <w:sz w:val="18"/>
      <w:szCs w:val="18"/>
      <w:lang w:val="en-US"/>
    </w:rPr>
  </w:style>
  <w:style w:type="paragraph" w:styleId="a6">
    <w:name w:val="header"/>
    <w:basedOn w:val="a"/>
    <w:link w:val="Char1"/>
    <w:uiPriority w:val="99"/>
    <w:unhideWhenUsed/>
    <w:rsid w:val="00B402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页眉 Char"/>
    <w:basedOn w:val="a0"/>
    <w:link w:val="a6"/>
    <w:uiPriority w:val="99"/>
    <w:rsid w:val="00B40273"/>
    <w:rPr>
      <w:kern w:val="2"/>
      <w:sz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202"/>
    <w:pPr>
      <w:widowControl w:val="0"/>
      <w:jc w:val="both"/>
    </w:pPr>
    <w:rPr>
      <w:kern w:val="2"/>
      <w:sz w:val="21"/>
      <w:lang w:val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C06202"/>
    <w:pPr>
      <w:keepNext/>
      <w:keepLines/>
      <w:widowControl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C062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footer"/>
    <w:basedOn w:val="a"/>
    <w:link w:val="Char"/>
    <w:uiPriority w:val="99"/>
    <w:unhideWhenUsed/>
    <w:rsid w:val="00C06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06202"/>
    <w:rPr>
      <w:kern w:val="2"/>
      <w:sz w:val="18"/>
      <w:szCs w:val="18"/>
      <w:lang w:val="en-US"/>
    </w:rPr>
  </w:style>
  <w:style w:type="table" w:styleId="a4">
    <w:name w:val="Light Shading"/>
    <w:basedOn w:val="a1"/>
    <w:uiPriority w:val="60"/>
    <w:rsid w:val="00C06202"/>
    <w:pPr>
      <w:spacing w:after="0" w:line="240" w:lineRule="auto"/>
    </w:pPr>
    <w:rPr>
      <w:rFonts w:ascii="Times New Roman" w:eastAsia="宋体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Balloon Text"/>
    <w:basedOn w:val="a"/>
    <w:link w:val="Char0"/>
    <w:uiPriority w:val="99"/>
    <w:semiHidden/>
    <w:unhideWhenUsed/>
    <w:rsid w:val="00C06202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C06202"/>
    <w:rPr>
      <w:rFonts w:ascii="宋体" w:eastAsia="宋体"/>
      <w:kern w:val="2"/>
      <w:sz w:val="18"/>
      <w:szCs w:val="18"/>
      <w:lang w:val="en-US"/>
    </w:rPr>
  </w:style>
  <w:style w:type="paragraph" w:styleId="a6">
    <w:name w:val="header"/>
    <w:basedOn w:val="a"/>
    <w:link w:val="Char1"/>
    <w:uiPriority w:val="99"/>
    <w:unhideWhenUsed/>
    <w:rsid w:val="00B402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页眉 Char"/>
    <w:basedOn w:val="a0"/>
    <w:link w:val="a6"/>
    <w:uiPriority w:val="99"/>
    <w:rsid w:val="00B40273"/>
    <w:rPr>
      <w:kern w:val="2"/>
      <w:sz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microsoft.com/office/2007/relationships/stylesWithEffects" Target="stylesWithEffects.xml"/><Relationship Id="rId16" Type="http://schemas.openxmlformats.org/officeDocument/2006/relationships/image" Target="media/image10.tiff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802</Words>
  <Characters>4572</Characters>
  <Application>Microsoft Office Word</Application>
  <DocSecurity>0</DocSecurity>
  <Lines>38</Lines>
  <Paragraphs>10</Paragraphs>
  <ScaleCrop>false</ScaleCrop>
  <Company>SCU</Company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2020-08-07T02:02:00Z</dcterms:created>
  <dcterms:modified xsi:type="dcterms:W3CDTF">2020-08-31T02:49:00Z</dcterms:modified>
</cp:coreProperties>
</file>