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D8C99" w14:textId="2CAB4E0B" w:rsidR="00915005" w:rsidRDefault="003465E4" w:rsidP="008606B5">
      <w:pPr>
        <w:spacing w:before="240" w:line="480" w:lineRule="auto"/>
        <w:jc w:val="center"/>
        <w:rPr>
          <w:b/>
        </w:rPr>
      </w:pPr>
      <w:r w:rsidRPr="00733E4B">
        <w:rPr>
          <w:b/>
        </w:rPr>
        <w:t xml:space="preserve">High prevalence of abnormal </w:t>
      </w:r>
      <w:r w:rsidRPr="00E32EAE">
        <w:rPr>
          <w:b/>
          <w:color w:val="000000" w:themeColor="text1"/>
        </w:rPr>
        <w:t xml:space="preserve">ocular surface tests </w:t>
      </w:r>
      <w:r w:rsidRPr="00733E4B">
        <w:rPr>
          <w:b/>
        </w:rPr>
        <w:t xml:space="preserve">in </w:t>
      </w:r>
      <w:r w:rsidR="00E32EAE">
        <w:rPr>
          <w:b/>
        </w:rPr>
        <w:t xml:space="preserve">a </w:t>
      </w:r>
      <w:r w:rsidRPr="00733E4B">
        <w:rPr>
          <w:b/>
        </w:rPr>
        <w:t xml:space="preserve">healthy </w:t>
      </w:r>
      <w:r>
        <w:rPr>
          <w:b/>
        </w:rPr>
        <w:t>p</w:t>
      </w:r>
      <w:r w:rsidRPr="00733E4B">
        <w:rPr>
          <w:b/>
        </w:rPr>
        <w:t>ediatri</w:t>
      </w:r>
      <w:r>
        <w:rPr>
          <w:b/>
        </w:rPr>
        <w:t>c</w:t>
      </w:r>
      <w:r w:rsidRPr="00733E4B">
        <w:rPr>
          <w:b/>
        </w:rPr>
        <w:t xml:space="preserve"> population</w:t>
      </w:r>
      <w:r>
        <w:rPr>
          <w:b/>
        </w:rPr>
        <w:t xml:space="preserve"> </w:t>
      </w:r>
    </w:p>
    <w:p w14:paraId="5C29C008" w14:textId="6310E517" w:rsidR="003465E4" w:rsidRPr="00436563" w:rsidRDefault="003465E4" w:rsidP="003465E4">
      <w:pPr>
        <w:spacing w:before="240" w:line="480" w:lineRule="auto"/>
        <w:jc w:val="center"/>
        <w:rPr>
          <w:b/>
          <w:lang w:val="es-CO"/>
        </w:rPr>
      </w:pPr>
      <w:r w:rsidRPr="00436563">
        <w:rPr>
          <w:b/>
          <w:lang w:val="es-CO"/>
        </w:rPr>
        <w:t>A</w:t>
      </w:r>
      <w:r w:rsidR="008606B5">
        <w:rPr>
          <w:b/>
          <w:lang w:val="es-CO"/>
        </w:rPr>
        <w:t>nnexes</w:t>
      </w:r>
    </w:p>
    <w:p w14:paraId="7CAC36DE" w14:textId="77777777" w:rsidR="00915005" w:rsidRDefault="00915005" w:rsidP="00915005">
      <w:pPr>
        <w:spacing w:before="240" w:line="480" w:lineRule="auto"/>
        <w:jc w:val="both"/>
        <w:rPr>
          <w:lang w:val="es-CO"/>
        </w:rPr>
      </w:pPr>
    </w:p>
    <w:p w14:paraId="7739EE89" w14:textId="6687A405" w:rsidR="003465E4" w:rsidRPr="00915005" w:rsidRDefault="003465E4" w:rsidP="00915005">
      <w:pPr>
        <w:spacing w:before="240" w:line="480" w:lineRule="auto"/>
        <w:jc w:val="both"/>
        <w:rPr>
          <w:lang w:val="es-CO"/>
        </w:rPr>
      </w:pPr>
      <w:r w:rsidRPr="00B618DB">
        <w:rPr>
          <w:lang w:val="es-CO"/>
        </w:rPr>
        <w:t>William Rojas-Carabali</w:t>
      </w:r>
      <w:r w:rsidRPr="00B618DB">
        <w:rPr>
          <w:vertAlign w:val="superscript"/>
          <w:lang w:val="es-CO"/>
        </w:rPr>
        <w:t>1</w:t>
      </w:r>
      <w:r w:rsidRPr="00B618DB">
        <w:rPr>
          <w:lang w:val="es-CO"/>
        </w:rPr>
        <w:t>, Pilar Uribe-Reina</w:t>
      </w:r>
      <w:r w:rsidRPr="00B618DB">
        <w:rPr>
          <w:vertAlign w:val="superscript"/>
          <w:lang w:val="es-CO"/>
        </w:rPr>
        <w:t>1,2</w:t>
      </w:r>
      <w:r>
        <w:rPr>
          <w:lang w:val="es-CO"/>
        </w:rPr>
        <w:t xml:space="preserve"> MD</w:t>
      </w:r>
      <w:r w:rsidRPr="00B618DB">
        <w:rPr>
          <w:lang w:val="es-CO"/>
        </w:rPr>
        <w:t>, Juliana Muñoz-Ortiz</w:t>
      </w:r>
      <w:r w:rsidRPr="00B618DB">
        <w:rPr>
          <w:vertAlign w:val="superscript"/>
          <w:lang w:val="es-CO"/>
        </w:rPr>
        <w:t>2</w:t>
      </w:r>
      <w:r>
        <w:rPr>
          <w:lang w:val="es-CO"/>
        </w:rPr>
        <w:t xml:space="preserve"> MD</w:t>
      </w:r>
      <w:r w:rsidRPr="00B618DB">
        <w:rPr>
          <w:lang w:val="es-CO"/>
        </w:rPr>
        <w:t>, Juan Pablo Terreros-Dorado</w:t>
      </w:r>
      <w:r w:rsidRPr="00B618DB">
        <w:rPr>
          <w:vertAlign w:val="superscript"/>
          <w:lang w:val="es-CO"/>
        </w:rPr>
        <w:t>2</w:t>
      </w:r>
      <w:r>
        <w:rPr>
          <w:vertAlign w:val="superscript"/>
          <w:lang w:val="es-CO"/>
        </w:rPr>
        <w:t xml:space="preserve"> </w:t>
      </w:r>
      <w:r>
        <w:rPr>
          <w:lang w:val="es-CO"/>
        </w:rPr>
        <w:t>MD</w:t>
      </w:r>
      <w:r w:rsidRPr="00B618DB">
        <w:rPr>
          <w:lang w:val="es-CO"/>
        </w:rPr>
        <w:t>, María Eugenia Ruiz-Botero</w:t>
      </w:r>
      <w:r w:rsidRPr="00B618DB">
        <w:rPr>
          <w:vertAlign w:val="superscript"/>
          <w:lang w:val="es-CO"/>
        </w:rPr>
        <w:t>1</w:t>
      </w:r>
      <w:r w:rsidRPr="00B618DB">
        <w:rPr>
          <w:lang w:val="es-CO"/>
        </w:rPr>
        <w:t>, Nicolás Torres-Arias</w:t>
      </w:r>
      <w:r w:rsidRPr="00B618DB">
        <w:rPr>
          <w:vertAlign w:val="superscript"/>
          <w:lang w:val="es-CO"/>
        </w:rPr>
        <w:t>1</w:t>
      </w:r>
      <w:r w:rsidRPr="00B618DB">
        <w:rPr>
          <w:lang w:val="es-CO"/>
        </w:rPr>
        <w:t>, Juliana Reyes-Guanes</w:t>
      </w:r>
      <w:r w:rsidRPr="00B618DB">
        <w:rPr>
          <w:vertAlign w:val="superscript"/>
          <w:lang w:val="es-CO"/>
        </w:rPr>
        <w:t>1,2</w:t>
      </w:r>
      <w:r>
        <w:rPr>
          <w:lang w:val="es-CO"/>
        </w:rPr>
        <w:t xml:space="preserve"> MD</w:t>
      </w:r>
      <w:r w:rsidRPr="00B618DB">
        <w:rPr>
          <w:lang w:val="es-CO"/>
        </w:rPr>
        <w:t>, Alejandra Rodr</w:t>
      </w:r>
      <w:r>
        <w:rPr>
          <w:lang w:val="es-CO"/>
        </w:rPr>
        <w:t>í</w:t>
      </w:r>
      <w:r w:rsidRPr="00B618DB">
        <w:rPr>
          <w:lang w:val="es-CO"/>
        </w:rPr>
        <w:t>guez</w:t>
      </w:r>
      <w:r w:rsidRPr="00B618DB">
        <w:rPr>
          <w:vertAlign w:val="superscript"/>
          <w:lang w:val="es-CO"/>
        </w:rPr>
        <w:t>1</w:t>
      </w:r>
      <w:r w:rsidRPr="00B618DB">
        <w:rPr>
          <w:lang w:val="es-CO"/>
        </w:rPr>
        <w:t>, José Arteaga-Rivera</w:t>
      </w:r>
      <w:r w:rsidRPr="00B618DB">
        <w:rPr>
          <w:vertAlign w:val="superscript"/>
          <w:lang w:val="es-CO"/>
        </w:rPr>
        <w:t>2</w:t>
      </w:r>
      <w:r>
        <w:rPr>
          <w:vertAlign w:val="superscript"/>
          <w:lang w:val="es-CO"/>
        </w:rPr>
        <w:t xml:space="preserve"> </w:t>
      </w:r>
      <w:r>
        <w:rPr>
          <w:lang w:val="es-CO"/>
        </w:rPr>
        <w:t>MD</w:t>
      </w:r>
      <w:r w:rsidRPr="00B618DB">
        <w:rPr>
          <w:lang w:val="es-CO"/>
        </w:rPr>
        <w:t>, Camilo Mosos</w:t>
      </w:r>
      <w:r w:rsidRPr="00B618DB">
        <w:rPr>
          <w:vertAlign w:val="superscript"/>
          <w:lang w:val="es-CO"/>
        </w:rPr>
        <w:t>2</w:t>
      </w:r>
      <w:r>
        <w:rPr>
          <w:vertAlign w:val="superscript"/>
          <w:lang w:val="es-CO"/>
        </w:rPr>
        <w:t xml:space="preserve"> </w:t>
      </w:r>
      <w:r>
        <w:rPr>
          <w:lang w:val="es-CO"/>
        </w:rPr>
        <w:t>MD</w:t>
      </w:r>
      <w:r w:rsidRPr="00B618DB">
        <w:rPr>
          <w:lang w:val="es-CO"/>
        </w:rPr>
        <w:t>, Ángela María Guti</w:t>
      </w:r>
      <w:r>
        <w:rPr>
          <w:lang w:val="es-CO"/>
        </w:rPr>
        <w:t>é</w:t>
      </w:r>
      <w:r w:rsidRPr="00B618DB">
        <w:rPr>
          <w:lang w:val="es-CO"/>
        </w:rPr>
        <w:t>rrez</w:t>
      </w:r>
      <w:r w:rsidRPr="00B618DB">
        <w:rPr>
          <w:vertAlign w:val="superscript"/>
          <w:lang w:val="es-CO"/>
        </w:rPr>
        <w:t>2</w:t>
      </w:r>
      <w:r>
        <w:rPr>
          <w:vertAlign w:val="superscript"/>
          <w:lang w:val="es-CO"/>
        </w:rPr>
        <w:t xml:space="preserve"> </w:t>
      </w:r>
      <w:r>
        <w:rPr>
          <w:lang w:val="es-CO"/>
        </w:rPr>
        <w:t>MD</w:t>
      </w:r>
      <w:r w:rsidRPr="00B618DB">
        <w:rPr>
          <w:lang w:val="es-CO"/>
        </w:rPr>
        <w:t>, Nicolás Molano-Gonz</w:t>
      </w:r>
      <w:r>
        <w:rPr>
          <w:lang w:val="es-CO"/>
        </w:rPr>
        <w:t>á</w:t>
      </w:r>
      <w:r w:rsidRPr="00B618DB">
        <w:rPr>
          <w:lang w:val="es-CO"/>
        </w:rPr>
        <w:t>lez</w:t>
      </w:r>
      <w:r w:rsidRPr="00B618DB">
        <w:rPr>
          <w:vertAlign w:val="superscript"/>
          <w:lang w:val="es-CO"/>
        </w:rPr>
        <w:t>3</w:t>
      </w:r>
      <w:r>
        <w:rPr>
          <w:lang w:val="es-CO"/>
        </w:rPr>
        <w:t xml:space="preserve"> MS</w:t>
      </w:r>
      <w:r w:rsidRPr="00B618DB">
        <w:rPr>
          <w:lang w:val="es-CO"/>
        </w:rPr>
        <w:t>, Guillermo Marroquín</w:t>
      </w:r>
      <w:r w:rsidRPr="00B618DB">
        <w:rPr>
          <w:vertAlign w:val="superscript"/>
          <w:lang w:val="es-CO"/>
        </w:rPr>
        <w:t>4</w:t>
      </w:r>
      <w:r>
        <w:rPr>
          <w:lang w:val="es-CO"/>
        </w:rPr>
        <w:t xml:space="preserve"> MD</w:t>
      </w:r>
      <w:r w:rsidRPr="00B618DB">
        <w:rPr>
          <w:lang w:val="es-CO"/>
        </w:rPr>
        <w:t>, Alejandra de-la-Torre</w:t>
      </w:r>
      <w:r w:rsidRPr="00B618DB">
        <w:rPr>
          <w:vertAlign w:val="superscript"/>
          <w:lang w:val="es-CO"/>
        </w:rPr>
        <w:t>1</w:t>
      </w:r>
      <w:r>
        <w:rPr>
          <w:lang w:val="es-CO"/>
        </w:rPr>
        <w:t xml:space="preserve"> MD, PhD</w:t>
      </w:r>
      <w:r w:rsidRPr="00B618DB">
        <w:rPr>
          <w:lang w:val="es-CO"/>
        </w:rPr>
        <w:t xml:space="preserve"> </w:t>
      </w:r>
    </w:p>
    <w:p w14:paraId="2B163FAD" w14:textId="77777777" w:rsidR="008606B5" w:rsidRPr="00F82A55" w:rsidRDefault="008606B5" w:rsidP="003465E4">
      <w:pPr>
        <w:spacing w:before="240" w:line="480" w:lineRule="auto"/>
        <w:rPr>
          <w:b/>
          <w:lang w:val="es-CO"/>
        </w:rPr>
      </w:pPr>
    </w:p>
    <w:p w14:paraId="0480F00A" w14:textId="7AE4802D" w:rsidR="003465E4" w:rsidRDefault="003465E4" w:rsidP="003465E4">
      <w:pPr>
        <w:spacing w:before="240" w:line="480" w:lineRule="auto"/>
        <w:rPr>
          <w:b/>
        </w:rPr>
      </w:pPr>
      <w:r>
        <w:rPr>
          <w:b/>
        </w:rPr>
        <w:t>Institutions:</w:t>
      </w:r>
    </w:p>
    <w:p w14:paraId="61856342" w14:textId="77777777" w:rsidR="003465E4" w:rsidRPr="00B618DB" w:rsidRDefault="003465E4" w:rsidP="003465E4">
      <w:pPr>
        <w:numPr>
          <w:ilvl w:val="0"/>
          <w:numId w:val="1"/>
        </w:numPr>
        <w:spacing w:line="480" w:lineRule="auto"/>
        <w:rPr>
          <w:lang w:val="es-CO"/>
        </w:rPr>
      </w:pPr>
      <w:r>
        <w:t xml:space="preserve">Research group in Neurosciences NeURos. </w:t>
      </w:r>
      <w:r w:rsidRPr="00B618DB">
        <w:rPr>
          <w:lang w:val="es-CO"/>
        </w:rPr>
        <w:t>Escuela de Medicina y Ciencias de la Salud, Universidad del Rosario, Carrera 24 # 63C – 69, Bogotá, Colombia</w:t>
      </w:r>
    </w:p>
    <w:p w14:paraId="553DBA96" w14:textId="77777777" w:rsidR="003465E4" w:rsidRPr="00B618DB" w:rsidRDefault="003465E4" w:rsidP="003465E4">
      <w:pPr>
        <w:numPr>
          <w:ilvl w:val="0"/>
          <w:numId w:val="1"/>
        </w:numPr>
        <w:spacing w:line="480" w:lineRule="auto"/>
        <w:rPr>
          <w:lang w:val="es-CO"/>
        </w:rPr>
      </w:pPr>
      <w:r w:rsidRPr="00B618DB">
        <w:rPr>
          <w:lang w:val="es-CO"/>
        </w:rPr>
        <w:t>Escuela Superior de Oftalmología del Instituto Barraquer de América, Avenida Calle 100 No. 18A – 51, Bogotá, Colombia</w:t>
      </w:r>
    </w:p>
    <w:p w14:paraId="3C2BDDA4" w14:textId="77777777" w:rsidR="003465E4" w:rsidRPr="00B618DB" w:rsidRDefault="003465E4" w:rsidP="003465E4">
      <w:pPr>
        <w:numPr>
          <w:ilvl w:val="0"/>
          <w:numId w:val="1"/>
        </w:numPr>
        <w:spacing w:line="480" w:lineRule="auto"/>
        <w:rPr>
          <w:lang w:val="es-CO"/>
        </w:rPr>
      </w:pPr>
      <w:r w:rsidRPr="00B618DB">
        <w:rPr>
          <w:lang w:val="es-CO"/>
        </w:rPr>
        <w:t>Clinical Research Group. Escuela de Medicina y Ciencias de la Salud, Universidad del Rosario, Carrera 24 # 63C – 69, Bogotá, Colombia</w:t>
      </w:r>
    </w:p>
    <w:p w14:paraId="07DC2B4D" w14:textId="0A64458A" w:rsidR="003465E4" w:rsidRPr="00915005" w:rsidRDefault="003465E4" w:rsidP="00915005">
      <w:pPr>
        <w:numPr>
          <w:ilvl w:val="0"/>
          <w:numId w:val="1"/>
        </w:numPr>
        <w:spacing w:after="240" w:line="480" w:lineRule="auto"/>
        <w:rPr>
          <w:lang w:val="es-CO"/>
        </w:rPr>
      </w:pPr>
      <w:r w:rsidRPr="00B618DB">
        <w:rPr>
          <w:lang w:val="es-CO"/>
        </w:rPr>
        <w:t>Horus Grupo Oftalmológico, Carrera 19b #84 – 65, Bogotá, Colombia</w:t>
      </w:r>
    </w:p>
    <w:p w14:paraId="53C30004" w14:textId="77777777" w:rsidR="008606B5" w:rsidRDefault="008606B5" w:rsidP="003465E4">
      <w:pPr>
        <w:spacing w:line="480" w:lineRule="auto"/>
        <w:jc w:val="both"/>
        <w:rPr>
          <w:b/>
          <w:lang w:val="es-CO"/>
        </w:rPr>
      </w:pPr>
    </w:p>
    <w:p w14:paraId="2475CBD1" w14:textId="42DDD862" w:rsidR="003465E4" w:rsidRPr="00B618DB" w:rsidRDefault="003465E4" w:rsidP="003465E4">
      <w:pPr>
        <w:spacing w:line="480" w:lineRule="auto"/>
        <w:jc w:val="both"/>
        <w:rPr>
          <w:b/>
          <w:lang w:val="es-CO"/>
        </w:rPr>
      </w:pPr>
      <w:r w:rsidRPr="00B618DB">
        <w:rPr>
          <w:b/>
          <w:lang w:val="es-CO"/>
        </w:rPr>
        <w:t>Corresponding author</w:t>
      </w:r>
    </w:p>
    <w:p w14:paraId="5618D629" w14:textId="77777777" w:rsidR="003465E4" w:rsidRDefault="003465E4" w:rsidP="003465E4">
      <w:pPr>
        <w:spacing w:line="480" w:lineRule="auto"/>
        <w:jc w:val="both"/>
        <w:rPr>
          <w:lang w:val="es-CO"/>
        </w:rPr>
      </w:pPr>
      <w:r w:rsidRPr="00B618DB">
        <w:rPr>
          <w:lang w:val="es-CO"/>
        </w:rPr>
        <w:t>de-la-Torre Alejandra M.D, PhD</w:t>
      </w:r>
    </w:p>
    <w:p w14:paraId="5B4FD4D5" w14:textId="77777777" w:rsidR="003465E4" w:rsidRDefault="003465E4" w:rsidP="003465E4">
      <w:pPr>
        <w:spacing w:line="480" w:lineRule="auto"/>
        <w:jc w:val="both"/>
        <w:rPr>
          <w:color w:val="954F72"/>
        </w:rPr>
      </w:pPr>
      <w:r>
        <w:t xml:space="preserve">E-mail: </w:t>
      </w:r>
      <w:hyperlink r:id="rId5">
        <w:r>
          <w:rPr>
            <w:color w:val="0000FF"/>
            <w:u w:val="single"/>
          </w:rPr>
          <w:t>alejadelatorre@yahoo.com</w:t>
        </w:r>
      </w:hyperlink>
    </w:p>
    <w:p w14:paraId="3E9A0994" w14:textId="77777777" w:rsidR="003465E4" w:rsidRDefault="003465E4" w:rsidP="003465E4">
      <w:pPr>
        <w:spacing w:line="480" w:lineRule="auto"/>
        <w:jc w:val="both"/>
        <w:rPr>
          <w:b/>
        </w:rPr>
      </w:pPr>
      <w:r>
        <w:t xml:space="preserve">Phone number: </w:t>
      </w:r>
      <w:r>
        <w:rPr>
          <w:highlight w:val="white"/>
        </w:rPr>
        <w:t>2970200 ext. 3320</w:t>
      </w:r>
    </w:p>
    <w:p w14:paraId="66442243" w14:textId="77777777" w:rsidR="00E951B5" w:rsidRDefault="00E951B5">
      <w:pPr>
        <w:spacing w:line="240" w:lineRule="auto"/>
        <w:rPr>
          <w:b/>
          <w:color w:val="000000" w:themeColor="text1"/>
        </w:rPr>
      </w:pPr>
      <w:r>
        <w:rPr>
          <w:b/>
          <w:color w:val="000000" w:themeColor="text1"/>
        </w:rPr>
        <w:br w:type="page"/>
      </w:r>
    </w:p>
    <w:p w14:paraId="75FEE3B0" w14:textId="7385C744" w:rsidR="00A87FEE" w:rsidRPr="00C939C4" w:rsidRDefault="008606B5" w:rsidP="008606B5">
      <w:pPr>
        <w:spacing w:after="100" w:afterAutospacing="1" w:line="480" w:lineRule="auto"/>
        <w:jc w:val="center"/>
        <w:rPr>
          <w:b/>
          <w:color w:val="000000" w:themeColor="text1"/>
        </w:rPr>
      </w:pPr>
      <w:r>
        <w:rPr>
          <w:b/>
          <w:color w:val="000000" w:themeColor="text1"/>
        </w:rPr>
        <w:lastRenderedPageBreak/>
        <w:t xml:space="preserve">Annex 1: </w:t>
      </w:r>
      <w:r w:rsidR="00A87FEE" w:rsidRPr="00C939C4">
        <w:rPr>
          <w:b/>
          <w:color w:val="000000" w:themeColor="text1"/>
        </w:rPr>
        <w:t>Ocular surface tests technique</w:t>
      </w:r>
      <w:r w:rsidR="0023237C" w:rsidRPr="00C939C4">
        <w:rPr>
          <w:b/>
          <w:color w:val="000000" w:themeColor="text1"/>
        </w:rPr>
        <w:t>s</w:t>
      </w:r>
    </w:p>
    <w:p w14:paraId="4E71C741" w14:textId="61F30779"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NITBUT:</w:t>
      </w:r>
      <w:r w:rsidRPr="00C939C4">
        <w:rPr>
          <w:color w:val="000000" w:themeColor="text1"/>
        </w:rPr>
        <w:t xml:space="preserve"> Non-invasive TBUT was measured through Oculus Keratograph 5M. In this technique, a Placido ring was projected on ocular surface and focused clearly. Subject was asked after one complete blink to stop blinking. Examiner observed the Placido ring’s lines and counted the time until these become distorted or diffused. Procedure was repeated three times and the average of three readings was recorded as non-invasive tear breakup time (NITBUT) by video keratograph.</w:t>
      </w:r>
      <w:r w:rsidR="008C1595" w:rsidRPr="00C939C4">
        <w:rPr>
          <w:color w:val="000000" w:themeColor="text1"/>
        </w:rPr>
        <w:fldChar w:fldCharType="begin"/>
      </w:r>
      <w:r w:rsidR="001A3436" w:rsidRPr="00C939C4">
        <w:rPr>
          <w:color w:val="000000" w:themeColor="text1"/>
        </w:rPr>
        <w:instrText xml:space="preserve"> ADDIN ZOTERO_ITEM CSL_CITATION {"citationID":"4wSC9g3N","properties":{"formattedCitation":"\\super 1\\uc0\\u8211{}3\\nosupersub{}","plainCitation":"1–3","noteIndex":0},"citationItems":[{"id":2755,"uris":["http://zotero.org/groups/2503172/items/FMGN2K23"],"uri":["http://zotero.org/groups/2503172/items/FMGN2K23"],"itemData":{"id":2755,"type":"article-journal","abstract":"OBJECTIVES: To assess the tear meniscus height (TMH), noninvasive tear breakup time (NITBUT), and bulbar redness in pediatric patients after orthokeratology (OK).\nMETHODS: Pediatric patients who underwent overnight OK between December 2014 and November 2017 were retrospectively investigated. According to the time of wearing, subjects were divided into three groups: 1-week, 1-month, and over 1-year. Age-matched subjects were recruited as a control group. Keratograph 5M was used to assess TMH, NITBUT-first, NITBUT-average, and bulbar redness score.\nRESULTS: A total of 106 subjects aged from 7 to 15 years were included. Compared with control group, NITBUT-first was significantly lower in 1-week group (P=0.036) and NITBUT-average was significantly lower in 1-month group (P=0.019). Compared with over 1-year group, NITBUT-first was significantly lower in 1-week and 1-month groups (P=0.014, P=0.035, respectively), and NITBUT-average was significantly lower in 1-month group (P=0.022). Bulbar redness score was significantly lower in 1-month group than 1-week group (P=0.004). No significant difference in TMH was found between all groups. Significant correlation was found between NITBUT-first and NITBUT-average in all subjects (R=0.812, P&lt;0.001). No other significant correlations were found between variables included TMH, NITBUT, bulbar redness score, or target correction.\nCONCLUSIONS: As a noninvasive method, Keratograph 5M was easily to be applied on pediatric patients. The OK lens did not induce significant tear deficiency or bulbar redness, but might affect tear film stability in a short term after wearing.","container-title":"Eye &amp; Contact Lens","DOI":"10.1097/ICL.0000000000000501","ISSN":"1542-233X","journalAbbreviation":"Eye Contact Lens","language":"eng","note":"PMID: 29554029","page":"S382-S386","source":"PubMed","title":"Assessment of Tear Film and Bulbar Redness by Keratograph 5M in Pediatric Patients After Orthokeratology","volume":"44 Suppl 2","author":[{"family":"Xie","given":"Wenjia"},{"family":"Zhang","given":"Xia"},{"family":"Xu","given":"Yesheng"},{"family":"Yao","given":"Yu-Feng"}],"issued":{"date-parts":[["2018",11]]}}},{"id":1432,"uris":["http://zotero.org/groups/2503172/items/FPFF8LDR"],"uri":["http://zotero.org/groups/2503172/items/FPFF8LDR"],"itemData":{"id":1432,"type":"speech","event":"WAEPS 2016 Workshop","event-place":"United States","genre":"Oral presentation","language":"English","publisher-place":"United States","title":"OCULUS Keratograph® Workshop WAEPS 2016","title-short":"OCULUS Keratograph®","URL":"https://pdfs.semanticscholar.org/db89/03cc34d8ffc62a70d65cb46cf60513bf71e3.pdf","author":[{"family":"O‘Flaherty","given":"Chris"}],"accessed":{"date-parts":[["2020",1,21]]},"issued":{"date-parts":[["2016",3,16]]}}},{"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P."}],"issued":{"date-parts":[["2017"]]}}}],"schema":"https://github.com/citation-style-language/schema/raw/master/csl-citation.json"} </w:instrText>
      </w:r>
      <w:r w:rsidR="008C1595" w:rsidRPr="00C939C4">
        <w:rPr>
          <w:color w:val="000000" w:themeColor="text1"/>
        </w:rPr>
        <w:fldChar w:fldCharType="separate"/>
      </w:r>
      <w:r w:rsidR="001A3436" w:rsidRPr="00C939C4">
        <w:rPr>
          <w:color w:val="000000" w:themeColor="text1"/>
          <w:vertAlign w:val="superscript"/>
        </w:rPr>
        <w:t>1–3</w:t>
      </w:r>
      <w:r w:rsidR="008C1595" w:rsidRPr="00C939C4">
        <w:rPr>
          <w:color w:val="000000" w:themeColor="text1"/>
        </w:rPr>
        <w:fldChar w:fldCharType="end"/>
      </w:r>
    </w:p>
    <w:p w14:paraId="7DF5ED3D" w14:textId="21214A05"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Meibography:</w:t>
      </w:r>
      <w:r w:rsidRPr="00C939C4">
        <w:rPr>
          <w:color w:val="000000" w:themeColor="text1"/>
        </w:rPr>
        <w:t xml:space="preserve"> Meibography was performed using the Oculus Keratograph 5M. The evaluation was based on the criteria proposed by </w:t>
      </w:r>
      <w:proofErr w:type="spellStart"/>
      <w:r w:rsidRPr="00C939C4">
        <w:rPr>
          <w:color w:val="000000" w:themeColor="text1"/>
        </w:rPr>
        <w:t>Pult</w:t>
      </w:r>
      <w:proofErr w:type="spellEnd"/>
      <w:r w:rsidRPr="00C939C4">
        <w:rPr>
          <w:color w:val="000000" w:themeColor="text1"/>
        </w:rPr>
        <w:t xml:space="preserve"> and Riede-Pult.</w:t>
      </w:r>
      <w:r w:rsidR="00CC2FE8" w:rsidRPr="00C939C4">
        <w:rPr>
          <w:color w:val="000000" w:themeColor="text1"/>
        </w:rPr>
        <w:fldChar w:fldCharType="begin"/>
      </w:r>
      <w:r w:rsidR="001A3436" w:rsidRPr="00C939C4">
        <w:rPr>
          <w:color w:val="000000" w:themeColor="text1"/>
        </w:rPr>
        <w:instrText xml:space="preserve"> ADDIN ZOTERO_ITEM CSL_CITATION {"citationID":"RhrUnCG6","properties":{"formattedCitation":"\\super 4\\nosupersub{}","plainCitation":"4","noteIndex":0},"citationItems":[{"id":1398,"uris":["http://zotero.org/groups/2503172/items/TI5RPRK3"],"uri":["http://zotero.org/groups/2503172/items/TI5RPRK3"],"itemData":{"id":1398,"type":"article-journal","abstract":"AIM: To analyse repeatability of subjective grading and objective assessment in non-contact infra-red meibography.\nMETHODS: Meibography photographs of 24 subjects (female 14; mean age=46; range=19-69 years, upper-lid images=12, lower-lid images=12) were classified in two sessions by three experienced observers (OI, OII, OIII). Relative area or portion affected by meibomian glands (MG) loss was classified applying three different grading scales in randomized order: a four-grade scale (4S) (degree 0=no partial glands; 1=&lt;25% partial glands; 3=25-75% partial glands; 3=&gt;75% partial glands), a pictorial five-grade scale (5S) (degree 0=no meibomian gland loss (MGL); 1=&lt;25% MGL; 3=26-50% MGL; 3=51-75%; 4=&gt;75% MGL) and objectively by a 100-grade scale (DA) applying ImageJ software.\nRESULTS: Observed MG loss ranged from 0% to 69%. Intra-observer agreement of the 5S (OI: κ=0.80, p&lt;0.001; OII: κ=0.40, p=0.009; OIII κ=0.81, p&lt;0.001) was better than of the 4S (OI: κ=0.79, p&lt;0.001; OII: κ=0.15, p=0.342; OIII κ=0.50, p=0.0071). Intra-observer agreement of OI and OIII (±0.88 (95% confidence interval), ±1.305) was better than of OII (±2.21) in 4S and 5S (±0.99, ±2.00 and ±0.91; OI, OII and OIII, respectively) while it was relatively similar in DA (±18, ±17 and ±17). Inter-observer agreement was better in DA (OI-OII: ±13, OI-OII: ±19, OII-OIII: ±26) than in 4S (OI-OII: ±1.76; OI-OIII: ±1.29 and OII-OIII: ±1.31) or 5S (OI-OII: ±1.49; OI-OIII: ±0.91 and OII-OIII: ±1.20).\nCONCLUSION: Intra-observer and inter-observer agreement was better in computerized grading followed by the subjective five-grade scale and four-grade scale.","container-title":"Contact Lens &amp; Anterior Eye: The Journal of the British Contact Lens Association","DOI":"10.1016/j.clae.2012.10.074","ISSN":"1476-5411","issue":"1","journalAbbreviation":"Cont Lens Anterior Eye","language":"eng","note":"PMID: 23108007","page":"22-27","source":"PubMed","title":"Comparison of subjective grading and objective assessment in meibography","volume":"36","author":[{"family":"Pult","given":"Heiko"},{"family":"Riede-Pult","given":"Britta"}],"issued":{"date-parts":[["2013",2]]}}}],"schema":"https://github.com/citation-style-language/schema/raw/master/csl-citation.json"} </w:instrText>
      </w:r>
      <w:r w:rsidR="00CC2FE8" w:rsidRPr="00C939C4">
        <w:rPr>
          <w:color w:val="000000" w:themeColor="text1"/>
        </w:rPr>
        <w:fldChar w:fldCharType="separate"/>
      </w:r>
      <w:r w:rsidR="001A3436" w:rsidRPr="00C939C4">
        <w:rPr>
          <w:color w:val="000000" w:themeColor="text1"/>
          <w:vertAlign w:val="superscript"/>
        </w:rPr>
        <w:t>4</w:t>
      </w:r>
      <w:r w:rsidR="00CC2FE8" w:rsidRPr="00C939C4">
        <w:rPr>
          <w:color w:val="000000" w:themeColor="text1"/>
        </w:rPr>
        <w:fldChar w:fldCharType="end"/>
      </w:r>
      <w:r w:rsidRPr="00C939C4">
        <w:rPr>
          <w:color w:val="000000" w:themeColor="text1"/>
        </w:rPr>
        <w:t xml:space="preserve"> The area of Meibomian glands loss was defined as the percentage of area without visible glands in relation to the total visible tarsal area and given a score from 0 to 4. Meibomian glands of upper and lower eyelid were visualized and graded.  A score of 0 represented no atrophy; a score of 1, 0% to 25% MG loss; a score of 2, 25% to 50%; a score of 3, 50% to 75%; and a score of 4, </w:t>
      </w:r>
      <w:r w:rsidR="00CC2FE8" w:rsidRPr="00C939C4">
        <w:rPr>
          <w:color w:val="000000" w:themeColor="text1"/>
        </w:rPr>
        <w:t>&gt;</w:t>
      </w:r>
      <w:r w:rsidRPr="00C939C4">
        <w:rPr>
          <w:color w:val="000000" w:themeColor="text1"/>
        </w:rPr>
        <w:t>75%.</w:t>
      </w:r>
      <w:r w:rsidR="00CC2FE8" w:rsidRPr="00C939C4">
        <w:rPr>
          <w:color w:val="000000" w:themeColor="text1"/>
        </w:rPr>
        <w:fldChar w:fldCharType="begin"/>
      </w:r>
      <w:r w:rsidR="0076796B" w:rsidRPr="00C939C4">
        <w:rPr>
          <w:color w:val="000000" w:themeColor="text1"/>
        </w:rPr>
        <w:instrText xml:space="preserve"> ADDIN ZOTERO_ITEM CSL_CITATION {"citationID":"kjjCnhz8","properties":{"formattedCitation":"\\super 2,3,5\\nosupersub{}","plainCitation":"2,3,5","noteIndex":0},"citationItems":[{"id":1432,"uris":["http://zotero.org/groups/2503172/items/FPFF8LDR"],"uri":["http://zotero.org/groups/2503172/items/FPFF8LDR"],"itemData":{"id":1432,"type":"speech","event":"WAEPS 2016 Workshop","event-place":"United States","genre":"Oral presentation","language":"English","publisher-place":"United States","title":"OCULUS Keratograph® Workshop WAEPS 2016","title-short":"OCULUS Keratograph®","URL":"https://pdfs.semanticscholar.org/db89/03cc34d8ffc62a70d65cb46cf60513bf71e3.pdf","author":[{"family":"O‘Flaherty","given":"Chris"}],"accessed":{"date-parts":[["2020",1,21]]},"issued":{"date-parts":[["2016",3,16]]}}},{"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P."}],"issued":{"date-parts":[["2017"]]}}},{"id":2759,"uris":["http://zotero.org/groups/2503172/items/V3WIFUYE"],"uri":["http://zotero.org/groups/2503172/items/V3WIFUYE"],"itemData":{"id":2759,"type":"article-journal","container-title":"Translational Vision Science &amp; Technology","DOI":"10.1167/tvst.8.6.6","ISSN":"2164-2591","issue":"6","journalAbbreviation":"Trans. Vis. Sci. Tech.","language":"en","note":"publisher: The Association for Research in Vision and Ophthalmology","page":"6-6","source":"tvst.arvojournals.org","title":"The Role of Meibography in the Diagnosis of Meibomian Gland Dysfunction in Ocular Surface Diseases","volume":"8","author":[{"family":"Robin","given":"Mathieu"},{"family":"Liang","given":"Hong"},{"family":"Rabut","given":"Ghislaine"},{"family":"Augstburger","given":"Edouard"},{"family":"Baudouin","given":"Christophe"},{"family":"Labbé","given":"Antoine"}],"issued":{"date-parts":[["2019",11,1]]}}}],"schema":"https://github.com/citation-style-language/schema/raw/master/csl-citation.json"} </w:instrText>
      </w:r>
      <w:r w:rsidR="00CC2FE8" w:rsidRPr="00C939C4">
        <w:rPr>
          <w:color w:val="000000" w:themeColor="text1"/>
        </w:rPr>
        <w:fldChar w:fldCharType="separate"/>
      </w:r>
      <w:r w:rsidR="0076796B" w:rsidRPr="00C939C4">
        <w:rPr>
          <w:color w:val="000000" w:themeColor="text1"/>
          <w:vertAlign w:val="superscript"/>
        </w:rPr>
        <w:t>2,3,5</w:t>
      </w:r>
      <w:r w:rsidR="00CC2FE8" w:rsidRPr="00C939C4">
        <w:rPr>
          <w:color w:val="000000" w:themeColor="text1"/>
        </w:rPr>
        <w:fldChar w:fldCharType="end"/>
      </w:r>
    </w:p>
    <w:p w14:paraId="5E9B3B30" w14:textId="3AEAC4EE"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 xml:space="preserve">Tear osmolarity: </w:t>
      </w:r>
      <w:r w:rsidRPr="00C939C4">
        <w:rPr>
          <w:color w:val="000000" w:themeColor="text1"/>
        </w:rPr>
        <w:t xml:space="preserve">The tear osmolarity was measured using the </w:t>
      </w:r>
      <w:proofErr w:type="spellStart"/>
      <w:r w:rsidRPr="00C939C4">
        <w:rPr>
          <w:color w:val="000000" w:themeColor="text1"/>
        </w:rPr>
        <w:t>TearLab</w:t>
      </w:r>
      <w:proofErr w:type="spellEnd"/>
      <w:r w:rsidRPr="00C939C4">
        <w:rPr>
          <w:color w:val="000000" w:themeColor="text1"/>
        </w:rPr>
        <w:t xml:space="preserve"> Osmolarity System. Tear collection procedure was performed according to the user manual. The patient was seated with the head tilted upwards and eyes looking up. The tip of the osmometer was positioned just above the lower lid in the lateral canthal area, until the tip touched the thin line of the tear film. Successful tear collection was confirmed by a beeping sound and disappearance of the green light. The osmometer was placed into the reader immediately (5–10 seconds), the test card code was selected, the OK button was pressed, and the test result was obtained</w:t>
      </w:r>
      <w:r w:rsidR="00CC2FE8" w:rsidRPr="00C939C4">
        <w:rPr>
          <w:color w:val="000000" w:themeColor="text1"/>
        </w:rPr>
        <w:t>.</w:t>
      </w:r>
      <w:r w:rsidR="00CC2FE8" w:rsidRPr="00C939C4">
        <w:rPr>
          <w:color w:val="000000" w:themeColor="text1"/>
        </w:rPr>
        <w:fldChar w:fldCharType="begin"/>
      </w:r>
      <w:r w:rsidR="001A3436" w:rsidRPr="00C939C4">
        <w:rPr>
          <w:color w:val="000000" w:themeColor="text1"/>
        </w:rPr>
        <w:instrText xml:space="preserve"> ADDIN ZOTERO_ITEM CSL_CITATION {"citationID":"Pw1OyA1h","properties":{"formattedCitation":"\\super 3,6\\nosupersub{}","plainCitation":"3,6","noteIndex":0},"citationItems":[{"id":1386,"uris":["http://zotero.org/groups/2503172/items/XI64A7KD"],"uri":["http://zotero.org/groups/2503172/items/XI64A7KD"],"itemData":{"id":1386,"type":"article-journal","abstract":"The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P."}],"issued":{"date-parts":[["2017"]]}}},{"id":2764,"uris":["http://zotero.org/groups/2503172/items/2G9E5HH5"],"uri":["http://zotero.org/groups/2503172/items/2G9E5HH5"],"itemData":{"id":2764,"type":"article-journal","abstract":"The prevalence of dry eye disease is high worldwide and poses a great burden on patients’ daily lives. Accurate diagnosis of the disease is important, and it requires application of various methods. Hyperosmolarity is believed to be the disease marker and thus measuring it provides useful information. In this study we investigated utility of tear osmolarity measured with TearLab osmometer, along with other diagnostic tests (Ocular Surface Disease Index questionnaire, Tear film break-up time, Ocular Protection Index, Ocular Surface Staining, Schirmer I test, Meibomian gland functionality in 757 patients (1514 eyes) with dry eye disease and 29 healthy controls (58 eyes). Statistical differences between the patient group and the control group were observed for all the tests apart from tear osmolarity, regardless of cut-off value (&gt;308 mOsm/L, &gt;316 mOsm/L, and inter-eye difference &gt;8 mOsm/L). Moreover, in the receiver operating characteristics curve analyses tear osmolarity measurement could not discriminate dry eye disease pathological scores. Therefore, our study suggests that tear osmolarity measured with TearLab osmometer cannot be used as a key indicator of DED.","container-title":"Scientific Reports","DOI":"10.1038/s41598-020-62583-x","ISSN":"2045-2322","issue":"1","language":"en","note":"number: 1\npublisher: Nature Publishing Group","page":"5542","source":"www.nature.com","title":"Utility of Tear Osmolarity Measurement in Diagnosis of Dry Eye Disease","volume":"10","author":[{"family":"Tashbayev","given":"Bezhod"},{"family":"Utheim","given":"Tor Paaske"},{"family":"Utheim","given":"Øygunn Aass"},{"family":"Ræder","given":"Sten"},{"family":"Jensen","given":"Janicke Liaaen"},{"family":"Yazdani","given":"Mazyar"},{"family":"Lagali","given":"Neil"},{"family":"Vitelli","given":"Valeria"},{"family":"Dartt","given":"Darlene A."},{"family":"Chen","given":"Xiangjun"}],"issued":{"date-parts":[["2020",3,26]]}}}],"schema":"https://github.com/citation-style-language/schema/raw/master/csl-citation.json"} </w:instrText>
      </w:r>
      <w:r w:rsidR="00CC2FE8" w:rsidRPr="00C939C4">
        <w:rPr>
          <w:color w:val="000000" w:themeColor="text1"/>
        </w:rPr>
        <w:fldChar w:fldCharType="separate"/>
      </w:r>
      <w:r w:rsidR="001A3436" w:rsidRPr="00C939C4">
        <w:rPr>
          <w:color w:val="000000" w:themeColor="text1"/>
          <w:vertAlign w:val="superscript"/>
        </w:rPr>
        <w:t>3,6</w:t>
      </w:r>
      <w:r w:rsidR="00CC2FE8" w:rsidRPr="00C939C4">
        <w:rPr>
          <w:color w:val="000000" w:themeColor="text1"/>
        </w:rPr>
        <w:fldChar w:fldCharType="end"/>
      </w:r>
    </w:p>
    <w:p w14:paraId="043A8E5C" w14:textId="236A40A7"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 xml:space="preserve">Schirmer test: </w:t>
      </w:r>
      <w:r w:rsidRPr="00C939C4">
        <w:rPr>
          <w:color w:val="000000" w:themeColor="text1"/>
        </w:rPr>
        <w:t>The Schirmer I test with anesthesia was performed applying a drop of proparacaine hydrochloride 0,5% in each aye, and then placing a Schirmer strips in the inferior conjunctival fornix. The measured length of wetting after a 5-minute period was recorded.</w:t>
      </w:r>
      <w:r w:rsidR="00903190" w:rsidRPr="00C939C4">
        <w:rPr>
          <w:color w:val="000000" w:themeColor="text1"/>
        </w:rPr>
        <w:fldChar w:fldCharType="begin"/>
      </w:r>
      <w:r w:rsidR="001A3436" w:rsidRPr="00C939C4">
        <w:rPr>
          <w:color w:val="000000" w:themeColor="text1"/>
        </w:rPr>
        <w:instrText xml:space="preserve"> ADDIN ZOTERO_ITEM CSL_CITATION {"citationID":"Wxk55oHp","properties":{"formattedCitation":"\\super 3,5,7\\nosupersub{}","plainCitation":"3,5,7","noteIndex":0},"citationItems":[{"id":1386,"uris":["http://zotero.org/groups/2503172/items/XI64A7KD"],"uri":["http://zotero.org/groups/2503172/items/XI64A7KD"],"itemData":{"id":1386,"type":"article-journal","abstract":"The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P."}],"issued":{"date-parts":[["2017"]]}}},{"id":2759,"uris":["http://zotero.org/groups/2503172/items/V3WIFUYE"],"uri":["http://zotero.org/groups/2503172/items/V3WIFUYE"],"itemData":{"id":2759,"type":"article-journal","container-title":"Translational Vision Science &amp; Technology","DOI":"10.1167/tvst.8.6.6","ISSN":"2164-2591","issue":"6","journalAbbreviation":"Trans. Vis. Sci. Tech.","language":"en","note":"publisher: The Association for Research in Vision and Ophthalmology","page":"6-6","source":"tvst.arvojournals.org","title":"The Role of Meibography in the Diagnosis of Meibomian Gland Dysfunction in Ocular Surface Diseases","volume":"8","author":[{"family":"Robin","given":"Mathieu"},{"family":"Liang","given":"Hong"},{"family":"Rabut","given":"Ghislaine"},{"family":"Augstburger","given":"Edouard"},{"family":"Baudouin","given":"Christophe"},{"family":"Labbé","given":"Antoine"}],"issued":{"date-parts":[["2019",11,1]]}}},{"id":2770,"uris":["http://zotero.org/groups/2503172/items/ZM84G4H5"],"uri":["http://zotero.org/groups/2503172/items/ZM84G4H5"],"itemData":{"id":2770,"type":"article-journal","abstract":"The successful development of a therapeutic agent targeting treatment of dry eye syndrome necessitates the demonstration of drug efficacy for both sign and symptom endpoints. As numerous therapeutic strategies incorporate a secretagogue function into their overall mechanism of action, the quantitative assessment of tear production serves as a logical endpoint to anchor “sign” efficacy. Although several methods including the Schirmer, the phenol red thread and tear clearance tests exist, their utility in clinical evaluations of novel therapeutics is unclear. The purpose of this review is to summarize findings and conclusions describing the performance of each of these tests so as to gain insight into which, if any, is most applicable for use in discovering new dry eye therapeutics.","container-title":"Journal of Ocular Biology, Diseases, and Informatics","DOI":"10.1007/s12177-008-9006-2","ISSN":"1936-8445","issue":"1","journalAbbreviation":"j ocul biol dis inform","language":"en","page":"1-6","source":"Springer Link","title":"Quantitative assessment of tear production: A review of methods and utility in dry eye drug discovery","title-short":"Quantitative assessment of tear production","volume":"1","author":[{"family":"Senchyna","given":"Michelle"},{"family":"Wax","given":"Martin B."}],"issued":{"date-parts":[["2008",3,1]]}}}],"schema":"https://github.com/citation-style-language/schema/raw/master/csl-citation.json"} </w:instrText>
      </w:r>
      <w:r w:rsidR="00903190" w:rsidRPr="00C939C4">
        <w:rPr>
          <w:color w:val="000000" w:themeColor="text1"/>
        </w:rPr>
        <w:fldChar w:fldCharType="separate"/>
      </w:r>
      <w:r w:rsidR="001A3436" w:rsidRPr="00C939C4">
        <w:rPr>
          <w:color w:val="000000" w:themeColor="text1"/>
          <w:vertAlign w:val="superscript"/>
        </w:rPr>
        <w:t>3,5,7</w:t>
      </w:r>
      <w:r w:rsidR="00903190" w:rsidRPr="00C939C4">
        <w:rPr>
          <w:color w:val="000000" w:themeColor="text1"/>
        </w:rPr>
        <w:fldChar w:fldCharType="end"/>
      </w:r>
      <w:r w:rsidR="00903190" w:rsidRPr="00C939C4">
        <w:rPr>
          <w:color w:val="000000" w:themeColor="text1"/>
        </w:rPr>
        <w:t xml:space="preserve"> </w:t>
      </w:r>
    </w:p>
    <w:p w14:paraId="557424CE" w14:textId="3F3FDDAD" w:rsidR="00A87FEE" w:rsidRPr="00C939C4" w:rsidRDefault="00A87FEE" w:rsidP="00A87FEE">
      <w:pPr>
        <w:spacing w:after="100" w:afterAutospacing="1" w:line="480" w:lineRule="auto"/>
        <w:jc w:val="both"/>
        <w:rPr>
          <w:color w:val="000000" w:themeColor="text1"/>
        </w:rPr>
      </w:pPr>
      <w:r w:rsidRPr="00C939C4">
        <w:rPr>
          <w:color w:val="000000" w:themeColor="text1"/>
          <w:u w:val="single"/>
        </w:rPr>
        <w:lastRenderedPageBreak/>
        <w:t>Tear meniscus height:</w:t>
      </w:r>
      <w:r w:rsidRPr="00C939C4">
        <w:rPr>
          <w:color w:val="000000" w:themeColor="text1"/>
        </w:rPr>
        <w:t xml:space="preserve"> The tear meniscus height was measured through Oculus Keratograph 5M. The subjects were instructed to look at a central target in the system and blink normally. The image of lower tear meniscus was captured immediately after a full blink. Tear meniscus height was measured manually using cursors provided by the system.</w:t>
      </w:r>
      <w:r w:rsidR="00903190" w:rsidRPr="00C939C4">
        <w:rPr>
          <w:color w:val="000000" w:themeColor="text1"/>
        </w:rPr>
        <w:fldChar w:fldCharType="begin"/>
      </w:r>
      <w:r w:rsidR="001A3436" w:rsidRPr="00C939C4">
        <w:rPr>
          <w:color w:val="000000" w:themeColor="text1"/>
        </w:rPr>
        <w:instrText xml:space="preserve"> ADDIN ZOTERO_ITEM CSL_CITATION {"citationID":"SMq8VU0h","properties":{"formattedCitation":"\\super 1\\uc0\\u8211{}3\\nosupersub{}","plainCitation":"1–3","noteIndex":0},"citationItems":[{"id":2755,"uris":["http://zotero.org/groups/2503172/items/FMGN2K23"],"uri":["http://zotero.org/groups/2503172/items/FMGN2K23"],"itemData":{"id":2755,"type":"article-journal","abstract":"OBJECTIVES: To assess the tear meniscus height (TMH), noninvasive tear breakup time (NITBUT), and bulbar redness in pediatric patients after orthokeratology (OK).\nMETHODS: Pediatric patients who underwent overnight OK between December 2014 and November 2017 were retrospectively investigated. According to the time of wearing, subjects were divided into three groups: 1-week, 1-month, and over 1-year. Age-matched subjects were recruited as a control group. Keratograph 5M was used to assess TMH, NITBUT-first, NITBUT-average, and bulbar redness score.\nRESULTS: A total of 106 subjects aged from 7 to 15 years were included. Compared with control group, NITBUT-first was significantly lower in 1-week group (P=0.036) and NITBUT-average was significantly lower in 1-month group (P=0.019). Compared with over 1-year group, NITBUT-first was significantly lower in 1-week and 1-month groups (P=0.014, P=0.035, respectively), and NITBUT-average was significantly lower in 1-month group (P=0.022). Bulbar redness score was significantly lower in 1-month group than 1-week group (P=0.004). No significant difference in TMH was found between all groups. Significant correlation was found between NITBUT-first and NITBUT-average in all subjects (R=0.812, P&lt;0.001). No other significant correlations were found between variables included TMH, NITBUT, bulbar redness score, or target correction.\nCONCLUSIONS: As a noninvasive method, Keratograph 5M was easily to be applied on pediatric patients. The OK lens did not induce significant tear deficiency or bulbar redness, but might affect tear film stability in a short term after wearing.","container-title":"Eye &amp; Contact Lens","DOI":"10.1097/ICL.0000000000000501","ISSN":"1542-233X","journalAbbreviation":"Eye Contact Lens","language":"eng","note":"PMID: 29554029","page":"S382-S386","source":"PubMed","title":"Assessment of Tear Film and Bulbar Redness by Keratograph 5M in Pediatric Patients After Orthokeratology","volume":"44 Suppl 2","author":[{"family":"Xie","given":"Wenjia"},{"family":"Zhang","given":"Xia"},{"family":"Xu","given":"Yesheng"},{"family":"Yao","given":"Yu-Feng"}],"issued":{"date-parts":[["2018",11]]}}},{"id":1432,"uris":["http://zotero.org/groups/2503172/items/FPFF8LDR"],"uri":["http://zotero.org/groups/2503172/items/FPFF8LDR"],"itemData":{"id":1432,"type":"speech","event":"WAEPS 2016 Workshop","event-place":"United States","genre":"Oral presentation","language":"English","publisher-place":"United States","title":"OCULUS Keratograph® Workshop WAEPS 2016","title-short":"OCULUS Keratograph®","URL":"https://pdfs.semanticscholar.org/db89/03cc34d8ffc62a70d65cb46cf60513bf71e3.pdf","author":[{"family":"O‘Flaherty","given":"Chris"}],"accessed":{"date-parts":[["2020",1,21]]},"issued":{"date-parts":[["2016",3,16]]}}},{"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P."}],"issued":{"date-parts":[["2017"]]}}}],"schema":"https://github.com/citation-style-language/schema/raw/master/csl-citation.json"} </w:instrText>
      </w:r>
      <w:r w:rsidR="00903190" w:rsidRPr="00C939C4">
        <w:rPr>
          <w:color w:val="000000" w:themeColor="text1"/>
        </w:rPr>
        <w:fldChar w:fldCharType="separate"/>
      </w:r>
      <w:r w:rsidR="001A3436" w:rsidRPr="00C939C4">
        <w:rPr>
          <w:color w:val="000000" w:themeColor="text1"/>
          <w:vertAlign w:val="superscript"/>
        </w:rPr>
        <w:t>1–3</w:t>
      </w:r>
      <w:r w:rsidR="00903190" w:rsidRPr="00C939C4">
        <w:rPr>
          <w:color w:val="000000" w:themeColor="text1"/>
        </w:rPr>
        <w:fldChar w:fldCharType="end"/>
      </w:r>
      <w:r w:rsidRPr="00C939C4">
        <w:rPr>
          <w:color w:val="000000" w:themeColor="text1"/>
        </w:rPr>
        <w:t xml:space="preserve">  </w:t>
      </w:r>
    </w:p>
    <w:p w14:paraId="63B4D451" w14:textId="119F0546"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Lissamine green:</w:t>
      </w:r>
      <w:r w:rsidRPr="00C939C4">
        <w:rPr>
          <w:color w:val="000000" w:themeColor="text1"/>
        </w:rPr>
        <w:t xml:space="preserve"> Lissamine green staining was evaluated according to the Oxford grading, using a picture made with the Topcon DC 3 camara. We applied a single drop of lissamine green 1% solution in each eye and the subjects were instructed to blink gently after the instillation. One minute after instillation the picture was made and then analyzed.</w:t>
      </w:r>
      <w:r w:rsidR="00903190" w:rsidRPr="00C939C4">
        <w:rPr>
          <w:color w:val="000000" w:themeColor="text1"/>
        </w:rPr>
        <w:fldChar w:fldCharType="begin"/>
      </w:r>
      <w:r w:rsidR="001A3436" w:rsidRPr="00C939C4">
        <w:rPr>
          <w:color w:val="000000" w:themeColor="text1"/>
        </w:rPr>
        <w:instrText xml:space="preserve"> ADDIN ZOTERO_ITEM CSL_CITATION {"citationID":"9SV7HCw5","properties":{"formattedCitation":"\\super 3,5,8\\nosupersub{}","plainCitation":"3,5,8","noteIndex":0},"citationItems":[{"id":1386,"uris":["http://zotero.org/groups/2503172/items/XI64A7KD"],"uri":["http://zotero.org/groups/2503172/items/XI64A7KD"],"itemData":{"id":1386,"type":"article-journal","abstract":"The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P."}],"issued":{"date-parts":[["2017"]]}}},{"id":2759,"uris":["http://zotero.org/groups/2503172/items/V3WIFUYE"],"uri":["http://zotero.org/groups/2503172/items/V3WIFUYE"],"itemData":{"id":2759,"type":"article-journal","container-title":"Translational Vision Science &amp; Technology","DOI":"10.1167/tvst.8.6.6","ISSN":"2164-2591","issue":"6","journalAbbreviation":"Trans. Vis. Sci. Tech.","language":"en","note":"publisher: The Association for Research in Vision and Ophthalmology","page":"6-6","source":"tvst.arvojournals.org","title":"The Role of Meibography in the Diagnosis of Meibomian Gland Dysfunction in Ocular Surface Diseases","volume":"8","author":[{"family":"Robin","given":"Mathieu"},{"family":"Liang","given":"Hong"},{"family":"Rabut","given":"Ghislaine"},{"family":"Augstburger","given":"Edouard"},{"family":"Baudouin","given":"Christophe"},{"family":"Labbé","given":"Antoine"}],"issued":{"date-parts":[["2019",11,1]]}}},{"id":2772,"uris":["http://zotero.org/groups/2503172/items/LCV3RTM7"],"uri":["http://zotero.org/groups/2503172/items/LCV3RTM7"],"itemData":{"id":2772,"type":"article-journal","abstract":"In this article we review the mechanism of ocular surface staining. Water-soluble dyes are excluded from the normal epithelium by tight junctions, the plasma membranes and the surface glycocalyx. Shed cells can take up dye. A proportion of normal corneas show sparse, scattered time-dependent, punctate fluorescein uptake, which, we hypothesise, is due to a graded loss of the glycocalyx barrier, permitting transcellular entry into pre-shed cells. In pathological staining, there is little evidence of 'micropooling' at sites of shedding and the term 'punctate erosion' may be a misnomer. It is more likely that the initial event involves transcellular dye entry and, in addition, diffusion across defective tight junctions. Different dye-staining characteristics probably reflect differences in molecular size and other physical properties of each dye, coupled with differences in visibility under the conditions of illumination used. This is most relevant to the rapid epithelial spread of fluorescein from sites of punctate staining, compared to the apparent confinement of dyes to staining cells with dyes such as lissamine green and rose bengal. We assume that fluorescein, with its lower molecular weight, spreads initially by a paracellular route and then by transcellular diffusion. Solution-Induced Corneal Staining (SICS), related to the use of certain contact lens care solutions, may have a different basis, involving the non-pathological uptake of cationic preservatives, such as biguanides, into epithelial membranes and secondary binding of the fluorescein anion. It is transient and may not imply corneal toxicity. Understanding the mechanism of staining is relevant to the standardisation of grading, to monitoring disease and to the conduct of clinical trials.","container-title":"Progress in Retinal and Eye Research","DOI":"10.1016/j.preteyeres.2014.10.001","ISSN":"1873-1635","journalAbbreviation":"Prog Retin Eye Res","language":"eng","note":"PMID: 25461622","page":"36-61","source":"PubMed","title":"Clinical staining of the ocular surface: mechanisms and interpretations","title-short":"Clinical staining of the ocular surface","volume":"44","author":[{"family":"Bron","given":"A. J."},{"family":"Argüeso","given":"P."},{"family":"Irkec","given":"M."},{"family":"Bright","given":"F. V."}],"issued":{"date-parts":[["2015",1]]}}}],"schema":"https://github.com/citation-style-language/schema/raw/master/csl-citation.json"} </w:instrText>
      </w:r>
      <w:r w:rsidR="00903190" w:rsidRPr="00C939C4">
        <w:rPr>
          <w:color w:val="000000" w:themeColor="text1"/>
        </w:rPr>
        <w:fldChar w:fldCharType="separate"/>
      </w:r>
      <w:r w:rsidR="001A3436" w:rsidRPr="00C939C4">
        <w:rPr>
          <w:color w:val="000000" w:themeColor="text1"/>
          <w:vertAlign w:val="superscript"/>
        </w:rPr>
        <w:t>3,5,8</w:t>
      </w:r>
      <w:r w:rsidR="00903190" w:rsidRPr="00C939C4">
        <w:rPr>
          <w:color w:val="000000" w:themeColor="text1"/>
        </w:rPr>
        <w:fldChar w:fldCharType="end"/>
      </w:r>
    </w:p>
    <w:p w14:paraId="2B420D54" w14:textId="1C8A26B2"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Fluorescein:</w:t>
      </w:r>
      <w:r w:rsidRPr="00C939C4">
        <w:rPr>
          <w:color w:val="000000" w:themeColor="text1"/>
        </w:rPr>
        <w:t xml:space="preserve"> Fluorescein staining was evaluated according to the Oxford grading, using a picture made with the Topcon DC 3 camara, two minutes after instillation of a single drop of fluorescein sodium 0,25% in each eye.</w:t>
      </w:r>
      <w:r w:rsidR="00903190" w:rsidRPr="00C939C4">
        <w:rPr>
          <w:color w:val="000000" w:themeColor="text1"/>
        </w:rPr>
        <w:fldChar w:fldCharType="begin"/>
      </w:r>
      <w:r w:rsidR="001A3436" w:rsidRPr="00C939C4">
        <w:rPr>
          <w:color w:val="000000" w:themeColor="text1"/>
        </w:rPr>
        <w:instrText xml:space="preserve"> ADDIN ZOTERO_ITEM CSL_CITATION {"citationID":"vyYdaJ66","properties":{"formattedCitation":"\\super 3,5\\nosupersub{}","plainCitation":"3,5","noteIndex":0},"citationItems":[{"id":1386,"uris":["http://zotero.org/groups/2503172/items/XI64A7KD"],"uri":["http://zotero.org/groups/2503172/items/XI64A7KD"],"itemData":{"id":1386,"type":"article-journal","abstract":"The role of the Tear Film and Ocular Surface Society (TFOS) Dry Eye Workshop (DEWS) II Diagnostic Methodology Subcommittee was 1) to identify tests used to diagnose and monitor dry eye disease (DED), 2) to identify those most appropriate to fulfil the definition of DED and its sub-classifications, 3) to propose the most appropriate order and technique to conduct these tests in a clinical setting, and 4) to provide a differential diagnosis for DED and distinguish conditions where DED is a comorbidity. Prior to diagnosis, it is important to exclude conditions that can mimic DED with the aid of triaging questions. Symptom screening with the DEQ-5 or OSDI confirms that a patient might have DED and triggers the conduct of diagnostic tests of (ideally non-invasive) breakup time, osmolarity and ocular surface staining with fluorescein and lissamine green (observing the cornea, conjunctiva and eyelid margin). Meibomian gland dysfunction, lipid thickness/dynamics and tear volume assessment and their severity allow sub-classification of DED (as predominantly evaporative or aqueous deficient) which informs the management of DED. Videos of these diagnostic and sub-classification techniques are available on the TFOS website. It is envisaged that the identification of the key tests to diagnose and monitor DED and its sub-classifications will inform future epidemiological studies and management clinical trials, improving comparability, and enabling identification of the sub-classification of DED in which different management strategies are most efficacious.","container-title":"The Ocular Surface","DOI":"10.1016/j.jtos.2017.05.001","ISSN":"1937-5913","issue":"3","journalAbbreviation":"Ocul Surf","language":"eng","note":"PMID: 28736342","page":"539-574","source":"PubMed","title":"TFOS DEWS II Diagnostic Methodology report","volume":"15","author":[{"family":"Wolffsohn","given":"James S."},{"family":"Arita","given":"Reiko"},{"family":"Chalmers","given":"Robin"},{"family":"Djalilian","given":"Ali"},{"family":"Dogru","given":"Murat"},{"family":"Dumbleton","given":"Kathy"},{"family":"Gupta","given":"Preeya K."},{"family":"Karpecki","given":"Paul"},{"family":"Lazreg","given":"Sihem"},{"family":"Pult","given":"Heiko"},{"family":"Sullivan","given":"Benjamin D."},{"family":"Tomlinson","given":"Alan"},{"family":"Tong","given":"Louis"},{"family":"Villani","given":"Edoardo"},{"family":"Yoon","given":"Kyung Chul"},{"family":"Jones","given":"Lyndon"},{"family":"Craig","given":"Jennifer P."}],"issued":{"date-parts":[["2017"]]}}},{"id":2759,"uris":["http://zotero.org/groups/2503172/items/V3WIFUYE"],"uri":["http://zotero.org/groups/2503172/items/V3WIFUYE"],"itemData":{"id":2759,"type":"article-journal","container-title":"Translational Vision Science &amp; Technology","DOI":"10.1167/tvst.8.6.6","ISSN":"2164-2591","issue":"6","journalAbbreviation":"Trans. Vis. Sci. Tech.","language":"en","note":"publisher: The Association for Research in Vision and Ophthalmology","page":"6-6","source":"tvst.arvojournals.org","title":"The Role of Meibography in the Diagnosis of Meibomian Gland Dysfunction in Ocular Surface Diseases","volume":"8","author":[{"family":"Robin","given":"Mathieu"},{"family":"Liang","given":"Hong"},{"family":"Rabut","given":"Ghislaine"},{"family":"Augstburger","given":"Edouard"},{"family":"Baudouin","given":"Christophe"},{"family":"Labbé","given":"Antoine"}],"issued":{"date-parts":[["2019",11,1]]}}}],"schema":"https://github.com/citation-style-language/schema/raw/master/csl-citation.json"} </w:instrText>
      </w:r>
      <w:r w:rsidR="00903190" w:rsidRPr="00C939C4">
        <w:rPr>
          <w:color w:val="000000" w:themeColor="text1"/>
        </w:rPr>
        <w:fldChar w:fldCharType="separate"/>
      </w:r>
      <w:r w:rsidR="001A3436" w:rsidRPr="00C939C4">
        <w:rPr>
          <w:color w:val="000000" w:themeColor="text1"/>
          <w:vertAlign w:val="superscript"/>
        </w:rPr>
        <w:t>3,5</w:t>
      </w:r>
      <w:r w:rsidR="00903190" w:rsidRPr="00C939C4">
        <w:rPr>
          <w:color w:val="000000" w:themeColor="text1"/>
        </w:rPr>
        <w:fldChar w:fldCharType="end"/>
      </w:r>
    </w:p>
    <w:p w14:paraId="20062A8E" w14:textId="7F2BA0CA"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Lipid layer thickness:</w:t>
      </w:r>
      <w:r w:rsidRPr="00C939C4">
        <w:rPr>
          <w:color w:val="000000" w:themeColor="text1"/>
        </w:rPr>
        <w:t xml:space="preserve"> The lipid layer thickness was obtained using Oculus Keratograph 5M. The subjects were instructed to maintain fixation on the camera, which recorded a 20-second video of the tear film. The lipid layer thickness was considered as thin or normal subjectively depending on the changes</w:t>
      </w:r>
      <w:r w:rsidR="00EB72F8">
        <w:rPr>
          <w:color w:val="000000" w:themeColor="text1"/>
        </w:rPr>
        <w:t xml:space="preserve"> in colors</w:t>
      </w:r>
      <w:r w:rsidRPr="00C939C4">
        <w:rPr>
          <w:color w:val="000000" w:themeColor="text1"/>
        </w:rPr>
        <w:t xml:space="preserve"> observed by the examiners in the Oculus Keratograph 5M. The denomination was validated by two expert optometrists.</w:t>
      </w:r>
      <w:r w:rsidR="00DB22BB" w:rsidRPr="00C939C4">
        <w:rPr>
          <w:color w:val="000000" w:themeColor="text1"/>
        </w:rPr>
        <w:fldChar w:fldCharType="begin"/>
      </w:r>
      <w:r w:rsidR="00DB22BB" w:rsidRPr="00C939C4">
        <w:rPr>
          <w:color w:val="000000" w:themeColor="text1"/>
        </w:rPr>
        <w:instrText xml:space="preserve"> ADDIN ZOTERO_ITEM CSL_CITATION {"citationID":"0h6oFZrq","properties":{"formattedCitation":"\\super 2\\nosupersub{}","plainCitation":"2","noteIndex":0},"citationItems":[{"id":1432,"uris":["http://zotero.org/groups/2503172/items/FPFF8LDR"],"uri":["http://zotero.org/groups/2503172/items/FPFF8LDR"],"itemData":{"id":1432,"type":"speech","event":"WAEPS 2016 Workshop","event-place":"United States","genre":"Oral presentation","language":"English","publisher-place":"United States","title":"OCULUS Keratograph® Workshop WAEPS 2016","title-short":"OCULUS Keratograph®","URL":"https://pdfs.semanticscholar.org/db89/03cc34d8ffc62a70d65cb46cf60513bf71e3.pdf","author":[{"family":"O‘Flaherty","given":"Chris"}],"accessed":{"date-parts":[["2020",1,21]]},"issued":{"date-parts":[["2016",3,16]]}}}],"schema":"https://github.com/citation-style-language/schema/raw/master/csl-citation.json"} </w:instrText>
      </w:r>
      <w:r w:rsidR="00DB22BB" w:rsidRPr="00C939C4">
        <w:rPr>
          <w:color w:val="000000" w:themeColor="text1"/>
        </w:rPr>
        <w:fldChar w:fldCharType="separate"/>
      </w:r>
      <w:r w:rsidR="00DB22BB" w:rsidRPr="00C939C4">
        <w:rPr>
          <w:color w:val="000000" w:themeColor="text1"/>
          <w:vertAlign w:val="superscript"/>
        </w:rPr>
        <w:t>2</w:t>
      </w:r>
      <w:r w:rsidR="00DB22BB" w:rsidRPr="00C939C4">
        <w:rPr>
          <w:color w:val="000000" w:themeColor="text1"/>
        </w:rPr>
        <w:fldChar w:fldCharType="end"/>
      </w:r>
      <w:r w:rsidR="00DB22BB" w:rsidRPr="00C939C4">
        <w:rPr>
          <w:color w:val="000000" w:themeColor="text1"/>
        </w:rPr>
        <w:t xml:space="preserve"> </w:t>
      </w:r>
    </w:p>
    <w:p w14:paraId="279B57AA" w14:textId="34A4A552" w:rsidR="00A87FEE" w:rsidRPr="00C939C4" w:rsidRDefault="00A87FEE" w:rsidP="00A87FEE">
      <w:pPr>
        <w:spacing w:after="100" w:afterAutospacing="1" w:line="480" w:lineRule="auto"/>
        <w:jc w:val="both"/>
        <w:rPr>
          <w:color w:val="000000" w:themeColor="text1"/>
        </w:rPr>
      </w:pPr>
      <w:r w:rsidRPr="00C939C4">
        <w:rPr>
          <w:color w:val="000000" w:themeColor="text1"/>
          <w:u w:val="single"/>
        </w:rPr>
        <w:t>Conjunctival redness:</w:t>
      </w:r>
      <w:r w:rsidRPr="00C939C4">
        <w:rPr>
          <w:color w:val="000000" w:themeColor="text1"/>
        </w:rPr>
        <w:t xml:space="preserve"> The conjunctival redness was measured through a picture made with the Topcon DC3 camara. The picture of exposed bulbar conjunctiva was scanned and analyzed by Oculus Keratograph 5M, and the system generated the score automatically based in the Jenvis Classification, which was based on the area percentage ratio between blood vessels and the rest of the scanned bulbar conjunctiva.</w:t>
      </w:r>
      <w:r w:rsidR="00625263" w:rsidRPr="00C939C4">
        <w:rPr>
          <w:color w:val="000000" w:themeColor="text1"/>
        </w:rPr>
        <w:fldChar w:fldCharType="begin"/>
      </w:r>
      <w:r w:rsidR="001A3436" w:rsidRPr="00C939C4">
        <w:rPr>
          <w:color w:val="000000" w:themeColor="text1"/>
        </w:rPr>
        <w:instrText xml:space="preserve"> ADDIN ZOTERO_ITEM CSL_CITATION {"citationID":"31gTvuCJ","properties":{"formattedCitation":"\\super 1,2,9\\nosupersub{}","plainCitation":"1,2,9","noteIndex":0},"citationItems":[{"id":2755,"uris":["http://zotero.org/groups/2503172/items/FMGN2K23"],"uri":["http://zotero.org/groups/2503172/items/FMGN2K23"],"itemData":{"id":2755,"type":"article-journal","abstract":"OBJECTIVES: To assess the tear meniscus height (TMH), noninvasive tear breakup time (NITBUT), and bulbar redness in pediatric patients after orthokeratology (OK).\nMETHODS: Pediatric patients who underwent overnight OK between December 2014 and November 2017 were retrospectively investigated. According to the time of wearing, subjects were divided into three groups: 1-week, 1-month, and over 1-year. Age-matched subjects were recruited as a control group. Keratograph 5M was used to assess TMH, NITBUT-first, NITBUT-average, and bulbar redness score.\nRESULTS: A total of 106 subjects aged from 7 to 15 years were included. Compared with control group, NITBUT-first was significantly lower in 1-week group (P=0.036) and NITBUT-average was significantly lower in 1-month group (P=0.019). Compared with over 1-year group, NITBUT-first was significantly lower in 1-week and 1-month groups (P=0.014, P=0.035, respectively), and NITBUT-average was significantly lower in 1-month group (P=0.022). Bulbar redness score was significantly lower in 1-month group than 1-week group (P=0.004). No significant difference in TMH was found between all groups. Significant correlation was found between NITBUT-first and NITBUT-average in all subjects (R=0.812, P&lt;0.001). No other significant correlations were found between variables included TMH, NITBUT, bulbar redness score, or target correction.\nCONCLUSIONS: As a noninvasive method, Keratograph 5M was easily to be applied on pediatric patients. The OK lens did not induce significant tear deficiency or bulbar redness, but might affect tear film stability in a short term after wearing.","container-title":"Eye &amp; Contact Lens","DOI":"10.1097/ICL.0000000000000501","ISSN":"1542-233X","journalAbbreviation":"Eye Contact Lens","language":"eng","note":"PMID: 29554029","page":"S382-S386","source":"PubMed","title":"Assessment of Tear Film and Bulbar Redness by Keratograph 5M in Pediatric Patients After Orthokeratology","volume":"44 Suppl 2","author":[{"family":"Xie","given":"Wenjia"},{"family":"Zhang","given":"Xia"},{"family":"Xu","given":"Yesheng"},{"family":"Yao","given":"Yu-Feng"}],"issued":{"date-parts":[["2018",11]]}}},{"id":1432,"uris":["http://zotero.org/groups/2503172/items/FPFF8LDR"],"uri":["http://zotero.org/groups/2503172/items/FPFF8LDR"],"itemData":{"id":1432,"type":"speech","event":"WAEPS 2016 Workshop","event-place":"United States","genre":"Oral presentation","language":"English","publisher-place":"United States","title":"OCULUS Keratograph® Workshop WAEPS 2016","title-short":"OCULUS Keratograph®","URL":"https://pdfs.semanticscholar.org/db89/03cc34d8ffc62a70d65cb46cf60513bf71e3.pdf","author":[{"family":"O‘Flaherty","given":"Chris"}],"accessed":{"date-parts":[["2020",1,21]]},"issued":{"date-parts":[["2016",3,16]]}}},{"id":2774,"uris":["http://zotero.org/groups/2503172/items/TUDEV5AA"],"uri":["http://zotero.org/groups/2503172/items/TUDEV5AA"],"itemData":{"id":2774,"type":"article-journal","abstract":"PURPOSE: To determine the validity and reliability of the clinical assessment of bulbar redness (BR) using a newly developed corneal topographer.\nMETHODS: This is a cross-sectional diagnostic evaluation study. The BR scores [Oculus Index (OI)] from 30 eyes of 26 patients with different degrees of conjunctival hyperemia were assessed and scored automatically using a new method: a keratograph equipped with scanning and scoring software. The values obtained via this system were correlated with three image-based comparative subjective scales: the Institute for Eye Research (IER), the Efron, and the Validated Bulbar Redness (VBR) grading scales. The IER and Efron scores were interpolated to 0.1 unit, and the VBR scores were interpolated to 1 unit. We also evaluated the repeatability of each method and the level of agreement between the OI score and the scores achieved using the three other image-based methods.\nRESULTS: There was a significant correlation between the OI score and the scores obtained with the IER (r = 0.921, p &lt; 0.001), Efron (r = 0.958, p &lt; 0.001), and VBR (r = 0.965, p &lt; 0.001) scales. The intraobserver intraclass correlation coefficients were 0.947, 0.874, 0.810, and 0.920 for the OI, IER, Efron, and VBR, respectively, and the intraobserver coefficients of repeatability were 13.924, 16.111, 17.684, and 16.900, respectively. Furthermore, the interobserver intraclass correlation coefficients were 0.889, 0.880, 0.884, and 0.881 for the OI, IER, Efron, and VBR, respectively, and the interobserver coefficients of repeatability were 15.934, 16.366, 22.059, and 21.373, respectively.\nCONCLUSIONS: The OI is an objective and reliable method for scoring BR. Its reproducibility was the highest of all the four modalities. The keratograph is recommended, therefore, as a suitable alternative for BR assessment.","container-title":"Optometry and Vision Science: Official Publication of the American Academy of Optometry","DOI":"10.1097/OPX.0000000000000643","ISSN":"1538-9235","issue":"8","journalAbbreviation":"Optom Vis Sci","language":"eng","note":"PMID: 26099055","page":"892-899","source":"PubMed","title":"Assessment of Bulbar Redness with a Newly Developed Keratograph","volume":"92","author":[{"family":"Wu","given":"Suqian"},{"family":"Hong","given":"Jiaxu"},{"family":"Tian","given":"Lijia"},{"family":"Cui","given":"Xinhan"},{"family":"Sun","given":"Xinghuai"},{"family":"Xu","given":"Jianjiang"}],"issued":{"date-parts":[["2015",8]]}}}],"schema":"https://github.com/citation-style-language/schema/raw/master/csl-citation.json"} </w:instrText>
      </w:r>
      <w:r w:rsidR="00625263" w:rsidRPr="00C939C4">
        <w:rPr>
          <w:color w:val="000000" w:themeColor="text1"/>
        </w:rPr>
        <w:fldChar w:fldCharType="separate"/>
      </w:r>
      <w:r w:rsidR="001A3436" w:rsidRPr="00C939C4">
        <w:rPr>
          <w:color w:val="000000" w:themeColor="text1"/>
          <w:vertAlign w:val="superscript"/>
        </w:rPr>
        <w:t>1,2,9</w:t>
      </w:r>
      <w:r w:rsidR="00625263" w:rsidRPr="00C939C4">
        <w:rPr>
          <w:color w:val="000000" w:themeColor="text1"/>
        </w:rPr>
        <w:fldChar w:fldCharType="end"/>
      </w:r>
      <w:r w:rsidR="00625263" w:rsidRPr="00C939C4">
        <w:rPr>
          <w:color w:val="000000" w:themeColor="text1"/>
        </w:rPr>
        <w:t xml:space="preserve"> </w:t>
      </w:r>
    </w:p>
    <w:p w14:paraId="007E11A1" w14:textId="77777777" w:rsidR="00F82A55" w:rsidRDefault="00A87FEE" w:rsidP="00F82A55">
      <w:pPr>
        <w:spacing w:after="100" w:afterAutospacing="1" w:line="480" w:lineRule="auto"/>
        <w:jc w:val="both"/>
        <w:rPr>
          <w:color w:val="000000" w:themeColor="text1"/>
        </w:rPr>
      </w:pPr>
      <w:r w:rsidRPr="00C939C4">
        <w:rPr>
          <w:color w:val="000000" w:themeColor="text1"/>
          <w:u w:val="single"/>
        </w:rPr>
        <w:t>Blink frequency:</w:t>
      </w:r>
      <w:r w:rsidRPr="00C939C4">
        <w:rPr>
          <w:color w:val="000000" w:themeColor="text1"/>
        </w:rPr>
        <w:t xml:space="preserve"> Spontaneous blinks were recorded using a high-speed video camera (Topcon DC 3). The subjects were instructed to read a text at a distance of 33 centimeters on paper and </w:t>
      </w:r>
      <w:r w:rsidRPr="00C939C4">
        <w:rPr>
          <w:color w:val="000000" w:themeColor="text1"/>
        </w:rPr>
        <w:lastRenderedPageBreak/>
        <w:t>on-screen for 60 seconds, each one. All subjects read the text with best corrected visual acuity. The blinks were recorded and then calculated in blinks per minute.</w:t>
      </w:r>
      <w:r w:rsidR="00F47FD1" w:rsidRPr="00C939C4">
        <w:rPr>
          <w:color w:val="000000" w:themeColor="text1"/>
        </w:rPr>
        <w:fldChar w:fldCharType="begin"/>
      </w:r>
      <w:r w:rsidR="001A3436" w:rsidRPr="00C939C4">
        <w:rPr>
          <w:color w:val="000000" w:themeColor="text1"/>
        </w:rPr>
        <w:instrText xml:space="preserve"> ADDIN ZOTERO_ITEM CSL_CITATION {"citationID":"4pPJLS0s","properties":{"formattedCitation":"\\super 4,10\\nosupersub{}","plainCitation":"4,10","noteIndex":0},"citationItems":[{"id":1398,"uris":["http://zotero.org/groups/2503172/items/TI5RPRK3"],"uri":["http://zotero.org/groups/2503172/items/TI5RPRK3"],"itemData":{"id":1398,"type":"article-journal","abstract":"AIM: To analyse repeatability of subjective grading and objective assessment in non-contact infra-red meibography.\nMETHODS: Meibography photographs of 24 subjects (female 14; mean age=46; range=19-69 years, upper-lid images=12, lower-lid images=12) were classified in two sessions by three experienced observers (OI, OII, OIII). Relative area or portion affected by meibomian glands (MG) loss was classified applying three different grading scales in randomized order: a four-grade scale (4S) (degree 0=no partial glands; 1=&lt;25% partial glands; 3=25-75% partial glands; 3=&gt;75% partial glands), a pictorial five-grade scale (5S) (degree 0=no meibomian gland loss (MGL); 1=&lt;25% MGL; 3=26-50% MGL; 3=51-75%; 4=&gt;75% MGL) and objectively by a 100-grade scale (DA) applying ImageJ software.\nRESULTS: Observed MG loss ranged from 0% to 69%. Intra-observer agreement of the 5S (OI: κ=0.80, p&lt;0.001; OII: κ=0.40, p=0.009; OIII κ=0.81, p&lt;0.001) was better than of the 4S (OI: κ=0.79, p&lt;0.001; OII: κ=0.15, p=0.342; OIII κ=0.50, p=0.0071). Intra-observer agreement of OI and OIII (±0.88 (95% confidence interval), ±1.305) was better than of OII (±2.21) in 4S and 5S (±0.99, ±2.00 and ±0.91; OI, OII and OIII, respectively) while it was relatively similar in DA (±18, ±17 and ±17). Inter-observer agreement was better in DA (OI-OII: ±13, OI-OII: ±19, OII-OIII: ±26) than in 4S (OI-OII: ±1.76; OI-OIII: ±1.29 and OII-OIII: ±1.31) or 5S (OI-OII: ±1.49; OI-OIII: ±0.91 and OII-OIII: ±1.20).\nCONCLUSION: Intra-observer and inter-observer agreement was better in computerized grading followed by the subjective five-grade scale and four-grade scale.","container-title":"Contact Lens &amp; Anterior Eye: The Journal of the British Contact Lens Association","DOI":"10.1016/j.clae.2012.10.074","ISSN":"1476-5411","issue":"1","journalAbbreviation":"Cont Lens Anterior Eye","language":"eng","note":"PMID: 23108007","page":"22-27","source":"PubMed","title":"Comparison of subjective grading and objective assessment in meibography","volume":"36","author":[{"family":"Pult","given":"Heiko"},{"family":"Riede-Pult","given":"Britta"}],"issued":{"date-parts":[["2013",2]]}}},{"id":2776,"uris":["http://zotero.org/groups/2503172/items/G5NQKYR8"],"uri":["http://zotero.org/groups/2503172/items/G5NQKYR8"],"itemData":{"id":2776,"type":"article-journal","abstract":"PURPOSE: To examine the possible role of corneal sensitivity and tear film quality in triggering a blink by investigating the relationship between blink rate, central corneal sensitivity threshold (CST), ocular surface temperature (OST), tear meniscus height (TMH), tear film quality (noninvasive tear break-up time [NIBUT]), and tear film lipid pattern under normal conditions.\nMETHODS: Forty-two volunteers (average age, 27.76 ± 5.36 years; 11 males) with good ocular health (Ocular Surface Disease Index, &lt;15.0) were recruited for this cross-sectional cohort study. Blink rate, CST (noncontact corneal air gas aesthesiometry, NCCA), minimum and maximum OST in the central and inferior cornea between blinks (thermal infrared camera), TMH, NIBUT, and lipid pattern of the tear film (Keeler Tearscope Plus) were recorded on the right eye only.\nRESULTS: Median blink rate was 11 blinks/min (interquartile range [IR], 6.95 to 17.05), CST was 0.35 mbars (IR, 0.30 to 0.40), minimum OST in the central cornea was 35.15°C (IR, 34.58 to 35.50), and NIBUT was 34.55 s (IR, 12.45 to 53.80). Moderate but statistically significant correlations were observed between CST and NIBUT (r = 0.535, p &lt; 0.001), CST and blink rate (r = -0.398, p &lt; 0.001), lipid pattern and OST (r = 0.556, p &lt; 0.001), and between CST and OST (r = 0.371, p = 0.008). The correlations between blink rate and NIBUT (r = -0.696, p &lt; 0.001) and between OST and NIBUT (r = 0.639, p &lt; 0.001; Spearman test) achieved higher significance; this was highlighted by the linear regression model where NIBUT and minimum central and inferior OST were identified as significant predictor variables.\nCONCLUSIONS: There is strong evidence for significant interactions between corneal sensitivity, NIBUT, OST, and blink frequency, emphasizing that ocular surface conditions represent a possible important trigger for the initiation of a blink. However, the mechanisms involved in the initiation of a blink are complex, with local ocular sensory input as only one trigger, along with other external influences and internal factors under cortical control.","container-title":"Optometry and Vision Science: Official Publication of the American Academy of Optometry","DOI":"10.1097/OPX.0000000000000827","ISSN":"1538-9235","issue":"5","journalAbbreviation":"Optom Vis Sci","language":"eng","note":"PMID: 27104591","page":"471-481","source":"PubMed","title":"Relationship between Corneal Sensation, Blinking, and Tear Film Quality","volume":"93","author":[{"family":"Nosch","given":"Daniela Sonja"},{"family":"Pult","given":"Heiko"},{"family":"Albon","given":"Julie"},{"family":"Purslow","given":"Christine"},{"family":"Murphy","given":"Paul John"}],"issued":{"date-parts":[["2016"]]}}}],"schema":"https://github.com/citation-style-language/schema/raw/master/csl-citation.json"} </w:instrText>
      </w:r>
      <w:r w:rsidR="00F47FD1" w:rsidRPr="00C939C4">
        <w:rPr>
          <w:color w:val="000000" w:themeColor="text1"/>
        </w:rPr>
        <w:fldChar w:fldCharType="separate"/>
      </w:r>
      <w:r w:rsidR="001A3436" w:rsidRPr="00C939C4">
        <w:rPr>
          <w:color w:val="000000" w:themeColor="text1"/>
          <w:vertAlign w:val="superscript"/>
        </w:rPr>
        <w:t>4,10</w:t>
      </w:r>
      <w:r w:rsidR="00F47FD1" w:rsidRPr="00C939C4">
        <w:rPr>
          <w:color w:val="000000" w:themeColor="text1"/>
        </w:rPr>
        <w:fldChar w:fldCharType="end"/>
      </w:r>
    </w:p>
    <w:p w14:paraId="08A5F871" w14:textId="6D66169A" w:rsidR="00FF0145" w:rsidRPr="00F82A55" w:rsidRDefault="00FF0145" w:rsidP="00F82A55">
      <w:pPr>
        <w:spacing w:after="100" w:afterAutospacing="1" w:line="480" w:lineRule="auto"/>
        <w:jc w:val="both"/>
        <w:rPr>
          <w:color w:val="000000" w:themeColor="text1"/>
        </w:rPr>
      </w:pPr>
      <w:r w:rsidRPr="00C939C4">
        <w:rPr>
          <w:b/>
          <w:color w:val="000000" w:themeColor="text1"/>
        </w:rPr>
        <w:t>References</w:t>
      </w:r>
    </w:p>
    <w:p w14:paraId="536912BB" w14:textId="77777777" w:rsidR="00FF0145" w:rsidRPr="00C939C4" w:rsidRDefault="00FF0145" w:rsidP="00FF0145">
      <w:pPr>
        <w:pStyle w:val="Bibliografa"/>
        <w:rPr>
          <w:color w:val="000000" w:themeColor="text1"/>
        </w:rPr>
      </w:pPr>
      <w:r w:rsidRPr="00C939C4">
        <w:rPr>
          <w:color w:val="000000" w:themeColor="text1"/>
        </w:rPr>
        <w:fldChar w:fldCharType="begin"/>
      </w:r>
      <w:r w:rsidRPr="00C939C4">
        <w:rPr>
          <w:color w:val="000000" w:themeColor="text1"/>
        </w:rPr>
        <w:instrText xml:space="preserve"> ADDIN ZOTERO_BIBL {"uncited":[],"omitted":[],"custom":[]} CSL_BIBLIOGRAPHY </w:instrText>
      </w:r>
      <w:r w:rsidRPr="00C939C4">
        <w:rPr>
          <w:color w:val="000000" w:themeColor="text1"/>
        </w:rPr>
        <w:fldChar w:fldCharType="separate"/>
      </w:r>
      <w:r w:rsidRPr="00C939C4">
        <w:rPr>
          <w:color w:val="000000" w:themeColor="text1"/>
        </w:rPr>
        <w:t xml:space="preserve">1. </w:t>
      </w:r>
      <w:r w:rsidRPr="00C939C4">
        <w:rPr>
          <w:color w:val="000000" w:themeColor="text1"/>
        </w:rPr>
        <w:tab/>
        <w:t xml:space="preserve">Xie W, Zhang X, Xu Y, Yao Y-F. Assessment of Tear Film and Bulbar Redness by Keratograph 5M in Pediatric Patients After Orthokeratology. </w:t>
      </w:r>
      <w:r w:rsidRPr="00C939C4">
        <w:rPr>
          <w:i/>
          <w:iCs/>
          <w:color w:val="000000" w:themeColor="text1"/>
        </w:rPr>
        <w:t>Eye Contact Lens</w:t>
      </w:r>
      <w:r w:rsidRPr="00C939C4">
        <w:rPr>
          <w:color w:val="000000" w:themeColor="text1"/>
        </w:rPr>
        <w:t>. 2018;44 Suppl 2:S382-S386. doi:10.1097/ICL.0000000000000501</w:t>
      </w:r>
    </w:p>
    <w:p w14:paraId="01007265" w14:textId="77777777" w:rsidR="00FF0145" w:rsidRPr="00C939C4" w:rsidRDefault="00FF0145" w:rsidP="00FF0145">
      <w:pPr>
        <w:pStyle w:val="Bibliografa"/>
        <w:rPr>
          <w:color w:val="000000" w:themeColor="text1"/>
        </w:rPr>
      </w:pPr>
      <w:r w:rsidRPr="00C939C4">
        <w:rPr>
          <w:color w:val="000000" w:themeColor="text1"/>
        </w:rPr>
        <w:t xml:space="preserve">2. </w:t>
      </w:r>
      <w:r w:rsidRPr="00C939C4">
        <w:rPr>
          <w:color w:val="000000" w:themeColor="text1"/>
        </w:rPr>
        <w:tab/>
        <w:t>O‘Flaherty C. OCULUS Keratograph® Workshop WAEPS 2016. Oral presentation presented at the: WAEPS 2016 Workshop; March 16, 2016; United States. Accessed January 21, 2020. https://pdfs.semanticscholar.org/db89/03cc34d8ffc62a70d65cb46cf60513bf71e3.pdf</w:t>
      </w:r>
    </w:p>
    <w:p w14:paraId="093133BC" w14:textId="77777777" w:rsidR="00FF0145" w:rsidRPr="00C939C4" w:rsidRDefault="00FF0145" w:rsidP="00FF0145">
      <w:pPr>
        <w:pStyle w:val="Bibliografa"/>
        <w:rPr>
          <w:color w:val="000000" w:themeColor="text1"/>
        </w:rPr>
      </w:pPr>
      <w:r w:rsidRPr="00C939C4">
        <w:rPr>
          <w:color w:val="000000" w:themeColor="text1"/>
        </w:rPr>
        <w:t xml:space="preserve">3. </w:t>
      </w:r>
      <w:r w:rsidRPr="00C939C4">
        <w:rPr>
          <w:color w:val="000000" w:themeColor="text1"/>
        </w:rPr>
        <w:tab/>
        <w:t xml:space="preserve">Wolffsohn JS, Arita R, Chalmers R, et al. TFOS DEWS II Diagnostic Methodology report. </w:t>
      </w:r>
      <w:r w:rsidRPr="00C939C4">
        <w:rPr>
          <w:i/>
          <w:iCs/>
          <w:color w:val="000000" w:themeColor="text1"/>
        </w:rPr>
        <w:t>Ocul Surf</w:t>
      </w:r>
      <w:r w:rsidRPr="00C939C4">
        <w:rPr>
          <w:color w:val="000000" w:themeColor="text1"/>
        </w:rPr>
        <w:t>. 2017;15(3):539-574. doi:10.1016/j.jtos.2017.05.001</w:t>
      </w:r>
    </w:p>
    <w:p w14:paraId="3F9A58C3" w14:textId="77777777" w:rsidR="00FF0145" w:rsidRPr="00C939C4" w:rsidRDefault="00FF0145" w:rsidP="00FF0145">
      <w:pPr>
        <w:pStyle w:val="Bibliografa"/>
        <w:rPr>
          <w:color w:val="000000" w:themeColor="text1"/>
        </w:rPr>
      </w:pPr>
      <w:r w:rsidRPr="00C939C4">
        <w:rPr>
          <w:color w:val="000000" w:themeColor="text1"/>
        </w:rPr>
        <w:t xml:space="preserve">4. </w:t>
      </w:r>
      <w:r w:rsidRPr="00C939C4">
        <w:rPr>
          <w:color w:val="000000" w:themeColor="text1"/>
        </w:rPr>
        <w:tab/>
        <w:t xml:space="preserve">Pult H, Riede-Pult B. Comparison of subjective grading and objective assessment in meibography. </w:t>
      </w:r>
      <w:r w:rsidRPr="00C939C4">
        <w:rPr>
          <w:i/>
          <w:iCs/>
          <w:color w:val="000000" w:themeColor="text1"/>
        </w:rPr>
        <w:t>Cont Lens Anterior Eye</w:t>
      </w:r>
      <w:r w:rsidRPr="00C939C4">
        <w:rPr>
          <w:color w:val="000000" w:themeColor="text1"/>
        </w:rPr>
        <w:t>. 2013;36(1):22-27. doi:10.1016/j.clae.2012.10.074</w:t>
      </w:r>
    </w:p>
    <w:p w14:paraId="1F4C0F4A" w14:textId="77777777" w:rsidR="00FF0145" w:rsidRPr="00C939C4" w:rsidRDefault="00FF0145" w:rsidP="00FF0145">
      <w:pPr>
        <w:pStyle w:val="Bibliografa"/>
        <w:rPr>
          <w:color w:val="000000" w:themeColor="text1"/>
        </w:rPr>
      </w:pPr>
      <w:r w:rsidRPr="00C939C4">
        <w:rPr>
          <w:color w:val="000000" w:themeColor="text1"/>
        </w:rPr>
        <w:t xml:space="preserve">5. </w:t>
      </w:r>
      <w:r w:rsidRPr="00C939C4">
        <w:rPr>
          <w:color w:val="000000" w:themeColor="text1"/>
        </w:rPr>
        <w:tab/>
        <w:t xml:space="preserve">Robin M, Liang H, Rabut G, Augstburger E, Baudouin C, Labbé A. The Role of Meibography in the Diagnosis of Meibomian Gland Dysfunction in Ocular Surface Diseases. </w:t>
      </w:r>
      <w:r w:rsidRPr="00C939C4">
        <w:rPr>
          <w:i/>
          <w:iCs/>
          <w:color w:val="000000" w:themeColor="text1"/>
        </w:rPr>
        <w:t>Trans Vis Sci Tech</w:t>
      </w:r>
      <w:r w:rsidRPr="00C939C4">
        <w:rPr>
          <w:color w:val="000000" w:themeColor="text1"/>
        </w:rPr>
        <w:t>. 2019;8(6):6-6. doi:10.1167/tvst.8.6.6</w:t>
      </w:r>
    </w:p>
    <w:p w14:paraId="43F34EF7" w14:textId="77777777" w:rsidR="00FF0145" w:rsidRPr="00C939C4" w:rsidRDefault="00FF0145" w:rsidP="00FF0145">
      <w:pPr>
        <w:pStyle w:val="Bibliografa"/>
        <w:rPr>
          <w:color w:val="000000" w:themeColor="text1"/>
        </w:rPr>
      </w:pPr>
      <w:r w:rsidRPr="00C939C4">
        <w:rPr>
          <w:color w:val="000000" w:themeColor="text1"/>
        </w:rPr>
        <w:t xml:space="preserve">6. </w:t>
      </w:r>
      <w:r w:rsidRPr="00C939C4">
        <w:rPr>
          <w:color w:val="000000" w:themeColor="text1"/>
        </w:rPr>
        <w:tab/>
        <w:t xml:space="preserve">Tashbayev B, Utheim TP, Utheim ØA, et al. Utility of Tear Osmolarity Measurement in Diagnosis of Dry Eye Disease. </w:t>
      </w:r>
      <w:r w:rsidRPr="00C939C4">
        <w:rPr>
          <w:i/>
          <w:iCs/>
          <w:color w:val="000000" w:themeColor="text1"/>
        </w:rPr>
        <w:t>Scientific Reports</w:t>
      </w:r>
      <w:r w:rsidRPr="00C939C4">
        <w:rPr>
          <w:color w:val="000000" w:themeColor="text1"/>
        </w:rPr>
        <w:t>. 2020;10(1):5542. doi:10.1038/s41598-020-62583-x</w:t>
      </w:r>
    </w:p>
    <w:p w14:paraId="682945B3" w14:textId="77777777" w:rsidR="00FF0145" w:rsidRPr="00C939C4" w:rsidRDefault="00FF0145" w:rsidP="00FF0145">
      <w:pPr>
        <w:pStyle w:val="Bibliografa"/>
        <w:rPr>
          <w:color w:val="000000" w:themeColor="text1"/>
        </w:rPr>
      </w:pPr>
      <w:r w:rsidRPr="00C939C4">
        <w:rPr>
          <w:color w:val="000000" w:themeColor="text1"/>
        </w:rPr>
        <w:t xml:space="preserve">7. </w:t>
      </w:r>
      <w:r w:rsidRPr="00C939C4">
        <w:rPr>
          <w:color w:val="000000" w:themeColor="text1"/>
        </w:rPr>
        <w:tab/>
        <w:t xml:space="preserve">Senchyna M, Wax MB. Quantitative assessment of tear production: A review of methods and utility in dry eye drug discovery. </w:t>
      </w:r>
      <w:r w:rsidRPr="00C939C4">
        <w:rPr>
          <w:i/>
          <w:iCs/>
          <w:color w:val="000000" w:themeColor="text1"/>
        </w:rPr>
        <w:t>j ocul biol dis inform</w:t>
      </w:r>
      <w:r w:rsidRPr="00C939C4">
        <w:rPr>
          <w:color w:val="000000" w:themeColor="text1"/>
        </w:rPr>
        <w:t>. 2008;1(1):1-6. doi:10.1007/s12177-008-9006-2</w:t>
      </w:r>
    </w:p>
    <w:p w14:paraId="1263DA6B" w14:textId="77777777" w:rsidR="00FF0145" w:rsidRPr="00C939C4" w:rsidRDefault="00FF0145" w:rsidP="00FF0145">
      <w:pPr>
        <w:pStyle w:val="Bibliografa"/>
        <w:rPr>
          <w:color w:val="000000" w:themeColor="text1"/>
        </w:rPr>
      </w:pPr>
      <w:r w:rsidRPr="00C939C4">
        <w:rPr>
          <w:color w:val="000000" w:themeColor="text1"/>
        </w:rPr>
        <w:t xml:space="preserve">8. </w:t>
      </w:r>
      <w:r w:rsidRPr="00C939C4">
        <w:rPr>
          <w:color w:val="000000" w:themeColor="text1"/>
        </w:rPr>
        <w:tab/>
        <w:t xml:space="preserve">Bron AJ, Argüeso P, Irkec M, Bright FV. Clinical staining of the ocular surface: mechanisms and interpretations. </w:t>
      </w:r>
      <w:r w:rsidRPr="00C939C4">
        <w:rPr>
          <w:i/>
          <w:iCs/>
          <w:color w:val="000000" w:themeColor="text1"/>
        </w:rPr>
        <w:t>Prog Retin Eye Res</w:t>
      </w:r>
      <w:r w:rsidRPr="00C939C4">
        <w:rPr>
          <w:color w:val="000000" w:themeColor="text1"/>
        </w:rPr>
        <w:t>. 2015;44:36-61. doi:10.1016/j.preteyeres.2014.10.001</w:t>
      </w:r>
    </w:p>
    <w:p w14:paraId="1BBEEE0D" w14:textId="77777777" w:rsidR="00FF0145" w:rsidRPr="00C939C4" w:rsidRDefault="00FF0145" w:rsidP="00FF0145">
      <w:pPr>
        <w:pStyle w:val="Bibliografa"/>
        <w:rPr>
          <w:color w:val="000000" w:themeColor="text1"/>
        </w:rPr>
      </w:pPr>
      <w:r w:rsidRPr="00C939C4">
        <w:rPr>
          <w:color w:val="000000" w:themeColor="text1"/>
        </w:rPr>
        <w:t xml:space="preserve">9. </w:t>
      </w:r>
      <w:r w:rsidRPr="00C939C4">
        <w:rPr>
          <w:color w:val="000000" w:themeColor="text1"/>
        </w:rPr>
        <w:tab/>
        <w:t xml:space="preserve">Wu S, Hong J, Tian L, Cui X, Sun X, Xu J. Assessment of Bulbar Redness with a Newly Developed Keratograph. </w:t>
      </w:r>
      <w:r w:rsidRPr="00C939C4">
        <w:rPr>
          <w:i/>
          <w:iCs/>
          <w:color w:val="000000" w:themeColor="text1"/>
        </w:rPr>
        <w:t>Optom Vis Sci</w:t>
      </w:r>
      <w:r w:rsidRPr="00C939C4">
        <w:rPr>
          <w:color w:val="000000" w:themeColor="text1"/>
        </w:rPr>
        <w:t>. 2015;92(8):892-899. doi:10.1097/OPX.0000000000000643</w:t>
      </w:r>
    </w:p>
    <w:p w14:paraId="06BF1E86" w14:textId="77777777" w:rsidR="00FF0145" w:rsidRPr="00C939C4" w:rsidRDefault="00FF0145" w:rsidP="00FF0145">
      <w:pPr>
        <w:pStyle w:val="Bibliografa"/>
        <w:rPr>
          <w:color w:val="000000" w:themeColor="text1"/>
        </w:rPr>
      </w:pPr>
      <w:r w:rsidRPr="00C939C4">
        <w:rPr>
          <w:color w:val="000000" w:themeColor="text1"/>
        </w:rPr>
        <w:t xml:space="preserve">10. </w:t>
      </w:r>
      <w:r w:rsidRPr="00C939C4">
        <w:rPr>
          <w:color w:val="000000" w:themeColor="text1"/>
        </w:rPr>
        <w:tab/>
        <w:t xml:space="preserve">Nosch DS, Pult H, Albon J, Purslow C, Murphy PJ. Relationship between Corneal Sensation, Blinking, and Tear Film Quality. </w:t>
      </w:r>
      <w:r w:rsidRPr="00C939C4">
        <w:rPr>
          <w:i/>
          <w:iCs/>
          <w:color w:val="000000" w:themeColor="text1"/>
        </w:rPr>
        <w:t>Optom Vis Sci</w:t>
      </w:r>
      <w:r w:rsidRPr="00C939C4">
        <w:rPr>
          <w:color w:val="000000" w:themeColor="text1"/>
        </w:rPr>
        <w:t>. 2016;93(5):471-481. doi:10.1097/OPX.0000000000000827</w:t>
      </w:r>
    </w:p>
    <w:p w14:paraId="3E72D12D" w14:textId="30D7DF66" w:rsidR="00436563" w:rsidRDefault="00FF0145" w:rsidP="00A87FEE">
      <w:pPr>
        <w:spacing w:after="100" w:afterAutospacing="1" w:line="480" w:lineRule="auto"/>
        <w:jc w:val="both"/>
        <w:rPr>
          <w:color w:val="000000" w:themeColor="text1"/>
        </w:rPr>
      </w:pPr>
      <w:r w:rsidRPr="00C939C4">
        <w:rPr>
          <w:color w:val="000000" w:themeColor="text1"/>
        </w:rPr>
        <w:fldChar w:fldCharType="end"/>
      </w:r>
    </w:p>
    <w:p w14:paraId="184493B3" w14:textId="77777777" w:rsidR="008606B5" w:rsidRDefault="008606B5">
      <w:pPr>
        <w:spacing w:line="240" w:lineRule="auto"/>
        <w:rPr>
          <w:color w:val="000000" w:themeColor="text1"/>
        </w:rPr>
      </w:pPr>
      <w:r>
        <w:rPr>
          <w:color w:val="000000" w:themeColor="text1"/>
        </w:rPr>
        <w:br w:type="page"/>
      </w:r>
    </w:p>
    <w:p w14:paraId="2FFCFA6A" w14:textId="62420543" w:rsidR="00436563" w:rsidRPr="008606B5" w:rsidRDefault="00436563" w:rsidP="008606B5">
      <w:pPr>
        <w:spacing w:line="240" w:lineRule="auto"/>
        <w:jc w:val="center"/>
        <w:rPr>
          <w:color w:val="000000" w:themeColor="text1"/>
        </w:rPr>
      </w:pPr>
      <w:r w:rsidRPr="008606B5">
        <w:rPr>
          <w:b/>
        </w:rPr>
        <w:lastRenderedPageBreak/>
        <w:t>Annex 2</w:t>
      </w:r>
      <w:r w:rsidR="008606B5">
        <w:rPr>
          <w:color w:val="000000" w:themeColor="text1"/>
        </w:rPr>
        <w:t xml:space="preserve">: </w:t>
      </w:r>
      <w:r w:rsidRPr="001E34EC">
        <w:rPr>
          <w:b/>
          <w:bCs/>
        </w:rPr>
        <w:t>Random effects models to estimate means and proportions.</w:t>
      </w:r>
    </w:p>
    <w:p w14:paraId="171F6E48" w14:textId="77777777" w:rsidR="00436563" w:rsidRPr="001E34EC" w:rsidRDefault="00436563" w:rsidP="00436563">
      <w:pPr>
        <w:spacing w:line="480" w:lineRule="auto"/>
        <w:jc w:val="both"/>
      </w:pPr>
    </w:p>
    <w:p w14:paraId="2BD6755B" w14:textId="77777777" w:rsidR="00436563" w:rsidRPr="001E34EC" w:rsidRDefault="00436563" w:rsidP="00436563">
      <w:pPr>
        <w:spacing w:line="480" w:lineRule="auto"/>
        <w:jc w:val="both"/>
      </w:pPr>
      <w:r w:rsidRPr="001E34EC">
        <w:t xml:space="preserve">The general model used to obtain those estimates is as follows (see for example ref): </w:t>
      </w:r>
    </w:p>
    <w:p w14:paraId="5D60FC8C"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y</m:t>
              </m:r>
            </m:e>
            <m:sub>
              <m:r>
                <w:rPr>
                  <w:rFonts w:ascii="Cambria Math" w:hAnsi="Cambria Math"/>
                </w:rPr>
                <m:t>ij</m:t>
              </m:r>
            </m:sub>
          </m:sSub>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 xml:space="preserve">    (</m:t>
          </m:r>
          <m:r>
            <w:rPr>
              <w:rFonts w:ascii="Cambria Math" w:hAnsi="Cambria Math"/>
            </w:rPr>
            <m:t>eq</m:t>
          </m:r>
          <m:r>
            <m:rPr>
              <m:sty m:val="p"/>
            </m:rPr>
            <w:rPr>
              <w:rFonts w:ascii="Cambria Math" w:hAnsi="Cambria Math"/>
            </w:rPr>
            <m:t>1)</m:t>
          </m:r>
        </m:oMath>
      </m:oMathPara>
    </w:p>
    <w:p w14:paraId="6CC5748D" w14:textId="77777777" w:rsidR="00436563" w:rsidRPr="001E34EC" w:rsidRDefault="00436563" w:rsidP="00436563">
      <w:pPr>
        <w:spacing w:line="480" w:lineRule="auto"/>
        <w:jc w:val="center"/>
      </w:pPr>
      <w:r w:rsidRPr="001E34EC">
        <w:t xml:space="preserve">and </w:t>
      </w:r>
      <m:oMath>
        <m:r>
          <m:rPr>
            <m:sty m:val="p"/>
          </m:rPr>
          <w:rPr>
            <w:rFonts w:ascii="Cambria Math" w:hAnsi="Cambria Math"/>
          </w:rPr>
          <w:br/>
        </m:r>
      </m:oMath>
      <m:oMathPara>
        <m:oMath>
          <m:r>
            <w:rPr>
              <w:rFonts w:ascii="Cambria Math" w:hAnsi="Cambria Math"/>
            </w:rPr>
            <m:t>logit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ij</m:t>
                  </m:r>
                </m:sub>
              </m:sSub>
            </m:e>
          </m:d>
          <m:r>
            <m:rPr>
              <m:sty m:val="p"/>
            </m:rPr>
            <w:rPr>
              <w:rFonts w:ascii="Cambria Math" w:hAnsi="Cambria Math"/>
            </w:rPr>
            <m:t>=</m:t>
          </m:r>
          <m:r>
            <w:rPr>
              <w:rFonts w:ascii="Cambria Math" w:hAnsi="Cambria Math"/>
            </w:rPr>
            <m:t>γ</m:t>
          </m:r>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eq</m:t>
          </m:r>
          <m:r>
            <m:rPr>
              <m:sty m:val="p"/>
            </m:rPr>
            <w:rPr>
              <w:rFonts w:ascii="Cambria Math" w:hAnsi="Cambria Math"/>
            </w:rPr>
            <m:t>2)</m:t>
          </m:r>
        </m:oMath>
      </m:oMathPara>
    </w:p>
    <w:p w14:paraId="6E15426D" w14:textId="77777777" w:rsidR="00436563" w:rsidRPr="001E34EC" w:rsidRDefault="00436563" w:rsidP="00436563">
      <w:pPr>
        <w:spacing w:line="480" w:lineRule="auto"/>
        <w:jc w:val="both"/>
      </w:pPr>
      <w:r w:rsidRPr="001E34EC">
        <w:t xml:space="preserve">Were </w:t>
      </w:r>
      <m:oMath>
        <m:sSub>
          <m:sSubPr>
            <m:ctrlPr>
              <w:rPr>
                <w:rFonts w:ascii="Cambria Math" w:hAnsi="Cambria Math"/>
              </w:rPr>
            </m:ctrlPr>
          </m:sSubPr>
          <m:e>
            <m:r>
              <w:rPr>
                <w:rFonts w:ascii="Cambria Math" w:hAnsi="Cambria Math"/>
              </w:rPr>
              <m:t>y</m:t>
            </m:r>
          </m:e>
          <m:sub>
            <m:r>
              <w:rPr>
                <w:rFonts w:ascii="Cambria Math" w:hAnsi="Cambria Math"/>
              </w:rPr>
              <m:t>ij</m:t>
            </m:r>
          </m:sub>
        </m:sSub>
      </m:oMath>
      <w:r w:rsidRPr="001E34EC">
        <w:t xml:space="preserve"> is a quantitative variable measure at eye </w:t>
      </w:r>
      <m:oMath>
        <m:r>
          <w:rPr>
            <w:rFonts w:ascii="Cambria Math" w:hAnsi="Cambria Math"/>
          </w:rPr>
          <m:t>j</m:t>
        </m:r>
      </m:oMath>
      <w:r w:rsidRPr="001E34EC">
        <w:t xml:space="preserve"> in subject </w:t>
      </w:r>
      <m:oMath>
        <m:r>
          <w:rPr>
            <w:rFonts w:ascii="Cambria Math" w:hAnsi="Cambria Math"/>
          </w:rPr>
          <m:t>i</m:t>
        </m:r>
      </m:oMath>
      <w:r w:rsidRPr="001E34EC">
        <w:t xml:space="preserve">,  </w:t>
      </w:r>
      <m:oMath>
        <m:r>
          <w:rPr>
            <w:rFonts w:ascii="Cambria Math" w:hAnsi="Cambria Math"/>
          </w:rPr>
          <m:t>μ</m:t>
        </m:r>
      </m:oMath>
      <w:r w:rsidRPr="001E34EC">
        <w:t xml:space="preserve"> is the mean of the measure across both eyes for all the subjects,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1E34EC">
        <w:t xml:space="preserve"> is a random effect, which accounts for variability between subjects and </w:t>
      </w:r>
      <m:oMath>
        <m:sSub>
          <m:sSubPr>
            <m:ctrlPr>
              <w:rPr>
                <w:rFonts w:ascii="Cambria Math" w:hAnsi="Cambria Math"/>
              </w:rPr>
            </m:ctrlPr>
          </m:sSubPr>
          <m:e>
            <m:r>
              <w:rPr>
                <w:rFonts w:ascii="Cambria Math" w:hAnsi="Cambria Math"/>
              </w:rPr>
              <m:t>ε</m:t>
            </m:r>
          </m:e>
          <m:sub>
            <m:r>
              <w:rPr>
                <w:rFonts w:ascii="Cambria Math" w:hAnsi="Cambria Math"/>
              </w:rPr>
              <m:t>ij</m:t>
            </m:r>
          </m:sub>
        </m:sSub>
      </m:oMath>
      <w:r w:rsidRPr="001E34EC">
        <w:t xml:space="preserve"> is a second random term which accounts for variability between eyes (see eq1).</w:t>
      </w:r>
    </w:p>
    <w:p w14:paraId="40A23D85" w14:textId="77777777" w:rsidR="00436563" w:rsidRPr="001E34EC" w:rsidRDefault="00436563" w:rsidP="00436563">
      <w:pPr>
        <w:spacing w:line="480" w:lineRule="auto"/>
        <w:jc w:val="both"/>
      </w:pPr>
      <w:r w:rsidRPr="001E34EC">
        <w:t xml:space="preserve">In the case where the outcome is a binary variable (like thin or thick lipid bilayer, for example), we use eq2 in which </w:t>
      </w:r>
      <m:oMath>
        <m:r>
          <w:rPr>
            <w:rFonts w:ascii="Cambria Math" w:hAnsi="Cambria Math"/>
          </w:rPr>
          <m:t>logit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ij</m:t>
                </m:r>
              </m:sub>
            </m:sSub>
          </m:e>
        </m:d>
      </m:oMath>
      <w:r w:rsidRPr="001E34EC">
        <w:t xml:space="preserve"> is the logit (i.e. the logarithm of the odds) of the proportion of the outcome of interest at eye </w:t>
      </w:r>
      <m:oMath>
        <m:r>
          <w:rPr>
            <w:rFonts w:ascii="Cambria Math" w:hAnsi="Cambria Math"/>
          </w:rPr>
          <m:t>j</m:t>
        </m:r>
      </m:oMath>
      <w:r w:rsidRPr="001E34EC">
        <w:t xml:space="preserve"> in subject </w:t>
      </w:r>
      <m:oMath>
        <m:r>
          <w:rPr>
            <w:rFonts w:ascii="Cambria Math" w:hAnsi="Cambria Math"/>
          </w:rPr>
          <m:t>i</m:t>
        </m:r>
      </m:oMath>
      <w:r w:rsidRPr="001E34EC">
        <w:t xml:space="preserve">, </w:t>
      </w:r>
      <m:oMath>
        <m:r>
          <w:rPr>
            <w:rFonts w:ascii="Cambria Math" w:hAnsi="Cambria Math"/>
          </w:rPr>
          <m:t>γ</m:t>
        </m:r>
      </m:oMath>
      <w:r w:rsidRPr="001E34EC">
        <w:t xml:space="preserve"> is the logit of the proportion across both eyes for all the subjects, and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1E34EC">
        <w:t xml:space="preserve"> has the same meaning as before.</w:t>
      </w:r>
    </w:p>
    <w:p w14:paraId="2B1EDCC7" w14:textId="77777777" w:rsidR="00436563" w:rsidRPr="001E34EC" w:rsidRDefault="00436563" w:rsidP="00436563">
      <w:pPr>
        <w:spacing w:line="480" w:lineRule="auto"/>
        <w:jc w:val="both"/>
      </w:pPr>
    </w:p>
    <w:p w14:paraId="5A088061" w14:textId="77777777" w:rsidR="00436563" w:rsidRPr="001E34EC" w:rsidRDefault="00436563" w:rsidP="00436563">
      <w:pPr>
        <w:spacing w:line="480" w:lineRule="auto"/>
        <w:jc w:val="center"/>
        <w:rPr>
          <w:b/>
          <w:bCs/>
        </w:rPr>
      </w:pPr>
      <w:r w:rsidRPr="001E34EC">
        <w:rPr>
          <w:b/>
          <w:bCs/>
        </w:rPr>
        <w:t>Generalized Mixed effect models to estimate differences in eye level characteristics with profiles of device use</w:t>
      </w:r>
    </w:p>
    <w:p w14:paraId="775610C9" w14:textId="77777777" w:rsidR="008606B5" w:rsidRDefault="008606B5" w:rsidP="00436563">
      <w:pPr>
        <w:spacing w:line="480" w:lineRule="auto"/>
        <w:jc w:val="both"/>
      </w:pPr>
    </w:p>
    <w:p w14:paraId="6987CB02" w14:textId="1272619E" w:rsidR="00436563" w:rsidRDefault="00436563" w:rsidP="00436563">
      <w:pPr>
        <w:spacing w:line="480" w:lineRule="auto"/>
        <w:jc w:val="both"/>
      </w:pPr>
      <w:r w:rsidRPr="001D32EF">
        <w:t xml:space="preserve">The profiles of device use </w:t>
      </w:r>
      <w:proofErr w:type="gramStart"/>
      <w:r w:rsidRPr="001D32EF">
        <w:t>is</w:t>
      </w:r>
      <w:proofErr w:type="gramEnd"/>
      <w:r w:rsidRPr="001D32EF">
        <w:t xml:space="preserve"> a qualitative variable with three categories. </w:t>
      </w:r>
      <w:r w:rsidRPr="001E34EC">
        <w:t>Using a reference coding for qualitative variables, we need two dummy variables to encode this, in order to include this en the models, as shown below.</w:t>
      </w:r>
    </w:p>
    <w:p w14:paraId="4917AF42" w14:textId="77777777" w:rsidR="008606B5" w:rsidRPr="001E34EC" w:rsidRDefault="008606B5" w:rsidP="00436563">
      <w:pPr>
        <w:spacing w:line="480" w:lineRule="auto"/>
        <w:jc w:val="both"/>
      </w:pPr>
    </w:p>
    <w:tbl>
      <w:tblPr>
        <w:tblStyle w:val="Tablaconcuadrcula"/>
        <w:tblW w:w="0" w:type="auto"/>
        <w:jc w:val="center"/>
        <w:tblLook w:val="04A0" w:firstRow="1" w:lastRow="0" w:firstColumn="1" w:lastColumn="0" w:noHBand="0" w:noVBand="1"/>
      </w:tblPr>
      <w:tblGrid>
        <w:gridCol w:w="1200"/>
        <w:gridCol w:w="1200"/>
        <w:gridCol w:w="1200"/>
      </w:tblGrid>
      <w:tr w:rsidR="00436563" w:rsidRPr="00071A6C" w14:paraId="54D4DD8D" w14:textId="77777777" w:rsidTr="00E551DF">
        <w:trPr>
          <w:trHeight w:val="300"/>
          <w:jc w:val="center"/>
        </w:trPr>
        <w:tc>
          <w:tcPr>
            <w:tcW w:w="1200" w:type="dxa"/>
            <w:noWrap/>
            <w:hideMark/>
          </w:tcPr>
          <w:p w14:paraId="1983FC7F" w14:textId="77777777" w:rsidR="00436563" w:rsidRPr="001E34EC" w:rsidRDefault="00436563" w:rsidP="00E551DF">
            <w:pPr>
              <w:spacing w:line="480" w:lineRule="auto"/>
              <w:jc w:val="both"/>
            </w:pPr>
            <w:r w:rsidRPr="001E34EC">
              <w:t>Profile</w:t>
            </w:r>
          </w:p>
        </w:tc>
        <w:tc>
          <w:tcPr>
            <w:tcW w:w="1200" w:type="dxa"/>
            <w:noWrap/>
            <w:hideMark/>
          </w:tcPr>
          <w:p w14:paraId="777A55C5" w14:textId="77777777" w:rsidR="00436563" w:rsidRPr="001E34EC" w:rsidRDefault="00436563" w:rsidP="00E551DF">
            <w:pPr>
              <w:spacing w:line="480" w:lineRule="auto"/>
              <w:jc w:val="both"/>
            </w:pPr>
            <w:r w:rsidRPr="001E34EC">
              <w:t>Dpr1</w:t>
            </w:r>
          </w:p>
        </w:tc>
        <w:tc>
          <w:tcPr>
            <w:tcW w:w="1200" w:type="dxa"/>
            <w:noWrap/>
            <w:hideMark/>
          </w:tcPr>
          <w:p w14:paraId="2B396B44" w14:textId="77777777" w:rsidR="00436563" w:rsidRPr="001E34EC" w:rsidRDefault="00436563" w:rsidP="00E551DF">
            <w:pPr>
              <w:spacing w:line="480" w:lineRule="auto"/>
              <w:jc w:val="both"/>
            </w:pPr>
            <w:r w:rsidRPr="001E34EC">
              <w:t>Dpr3</w:t>
            </w:r>
          </w:p>
        </w:tc>
      </w:tr>
      <w:tr w:rsidR="00436563" w:rsidRPr="00071A6C" w14:paraId="66774B23" w14:textId="77777777" w:rsidTr="00E551DF">
        <w:trPr>
          <w:trHeight w:val="300"/>
          <w:jc w:val="center"/>
        </w:trPr>
        <w:tc>
          <w:tcPr>
            <w:tcW w:w="1200" w:type="dxa"/>
            <w:noWrap/>
            <w:hideMark/>
          </w:tcPr>
          <w:p w14:paraId="05445FDD" w14:textId="77777777" w:rsidR="00436563" w:rsidRPr="001E34EC" w:rsidRDefault="00436563" w:rsidP="00E551DF">
            <w:pPr>
              <w:spacing w:line="480" w:lineRule="auto"/>
              <w:jc w:val="both"/>
            </w:pPr>
            <w:r w:rsidRPr="001E34EC">
              <w:t>Pr1</w:t>
            </w:r>
          </w:p>
        </w:tc>
        <w:tc>
          <w:tcPr>
            <w:tcW w:w="1200" w:type="dxa"/>
            <w:noWrap/>
            <w:hideMark/>
          </w:tcPr>
          <w:p w14:paraId="2B1E5B82" w14:textId="77777777" w:rsidR="00436563" w:rsidRPr="001E34EC" w:rsidRDefault="00436563" w:rsidP="00E551DF">
            <w:pPr>
              <w:spacing w:line="480" w:lineRule="auto"/>
              <w:jc w:val="both"/>
            </w:pPr>
            <w:r w:rsidRPr="001E34EC">
              <w:t>1</w:t>
            </w:r>
          </w:p>
        </w:tc>
        <w:tc>
          <w:tcPr>
            <w:tcW w:w="1200" w:type="dxa"/>
            <w:noWrap/>
            <w:hideMark/>
          </w:tcPr>
          <w:p w14:paraId="46A942DF" w14:textId="77777777" w:rsidR="00436563" w:rsidRPr="001E34EC" w:rsidRDefault="00436563" w:rsidP="00E551DF">
            <w:pPr>
              <w:spacing w:line="480" w:lineRule="auto"/>
              <w:jc w:val="both"/>
            </w:pPr>
            <w:r w:rsidRPr="001E34EC">
              <w:t>0</w:t>
            </w:r>
          </w:p>
        </w:tc>
      </w:tr>
      <w:tr w:rsidR="00436563" w:rsidRPr="00071A6C" w14:paraId="39424D31" w14:textId="77777777" w:rsidTr="00E551DF">
        <w:trPr>
          <w:trHeight w:val="300"/>
          <w:jc w:val="center"/>
        </w:trPr>
        <w:tc>
          <w:tcPr>
            <w:tcW w:w="1200" w:type="dxa"/>
            <w:noWrap/>
            <w:hideMark/>
          </w:tcPr>
          <w:p w14:paraId="098A6DA9" w14:textId="77777777" w:rsidR="00436563" w:rsidRPr="001E34EC" w:rsidRDefault="00436563" w:rsidP="00E551DF">
            <w:pPr>
              <w:spacing w:line="480" w:lineRule="auto"/>
              <w:jc w:val="both"/>
            </w:pPr>
            <w:r w:rsidRPr="001E34EC">
              <w:t>Pr2</w:t>
            </w:r>
          </w:p>
        </w:tc>
        <w:tc>
          <w:tcPr>
            <w:tcW w:w="1200" w:type="dxa"/>
            <w:noWrap/>
            <w:hideMark/>
          </w:tcPr>
          <w:p w14:paraId="1E9DAE1C" w14:textId="77777777" w:rsidR="00436563" w:rsidRPr="001E34EC" w:rsidRDefault="00436563" w:rsidP="00E551DF">
            <w:pPr>
              <w:spacing w:line="480" w:lineRule="auto"/>
              <w:jc w:val="both"/>
            </w:pPr>
            <w:r w:rsidRPr="001E34EC">
              <w:t>0</w:t>
            </w:r>
          </w:p>
        </w:tc>
        <w:tc>
          <w:tcPr>
            <w:tcW w:w="1200" w:type="dxa"/>
            <w:noWrap/>
            <w:hideMark/>
          </w:tcPr>
          <w:p w14:paraId="222D271D" w14:textId="77777777" w:rsidR="00436563" w:rsidRPr="001E34EC" w:rsidRDefault="00436563" w:rsidP="00E551DF">
            <w:pPr>
              <w:spacing w:line="480" w:lineRule="auto"/>
              <w:jc w:val="both"/>
            </w:pPr>
            <w:r w:rsidRPr="001E34EC">
              <w:t>0</w:t>
            </w:r>
          </w:p>
        </w:tc>
      </w:tr>
      <w:tr w:rsidR="00436563" w:rsidRPr="00071A6C" w14:paraId="575E725E" w14:textId="77777777" w:rsidTr="00E551DF">
        <w:trPr>
          <w:trHeight w:val="300"/>
          <w:jc w:val="center"/>
        </w:trPr>
        <w:tc>
          <w:tcPr>
            <w:tcW w:w="1200" w:type="dxa"/>
            <w:noWrap/>
            <w:hideMark/>
          </w:tcPr>
          <w:p w14:paraId="3F98197B" w14:textId="77777777" w:rsidR="00436563" w:rsidRPr="001E34EC" w:rsidRDefault="00436563" w:rsidP="00E551DF">
            <w:pPr>
              <w:spacing w:line="480" w:lineRule="auto"/>
              <w:jc w:val="both"/>
            </w:pPr>
            <w:r w:rsidRPr="001E34EC">
              <w:t>Pr3</w:t>
            </w:r>
          </w:p>
        </w:tc>
        <w:tc>
          <w:tcPr>
            <w:tcW w:w="1200" w:type="dxa"/>
            <w:noWrap/>
            <w:hideMark/>
          </w:tcPr>
          <w:p w14:paraId="491664DE" w14:textId="77777777" w:rsidR="00436563" w:rsidRPr="001E34EC" w:rsidRDefault="00436563" w:rsidP="00E551DF">
            <w:pPr>
              <w:spacing w:line="480" w:lineRule="auto"/>
              <w:jc w:val="both"/>
            </w:pPr>
            <w:r w:rsidRPr="001E34EC">
              <w:t>0</w:t>
            </w:r>
          </w:p>
        </w:tc>
        <w:tc>
          <w:tcPr>
            <w:tcW w:w="1200" w:type="dxa"/>
            <w:noWrap/>
            <w:hideMark/>
          </w:tcPr>
          <w:p w14:paraId="7B2862AD" w14:textId="77777777" w:rsidR="00436563" w:rsidRPr="001E34EC" w:rsidRDefault="00436563" w:rsidP="00E551DF">
            <w:pPr>
              <w:spacing w:line="480" w:lineRule="auto"/>
              <w:jc w:val="both"/>
            </w:pPr>
            <w:r w:rsidRPr="001E34EC">
              <w:t>1</w:t>
            </w:r>
          </w:p>
        </w:tc>
      </w:tr>
    </w:tbl>
    <w:p w14:paraId="5D567329" w14:textId="77777777" w:rsidR="00436563" w:rsidRPr="001E34EC" w:rsidRDefault="00436563" w:rsidP="00436563">
      <w:pPr>
        <w:spacing w:line="480" w:lineRule="auto"/>
        <w:jc w:val="both"/>
      </w:pPr>
      <w:r w:rsidRPr="001E34EC">
        <w:lastRenderedPageBreak/>
        <w:t>Supplementary Table 1: reference coding for profiles of device use. Pr1, Pr2 and Pr3 are the three different profiles obtained by means of cluster analysis. Dpr1 and Dpr3 are the dummy variables needed to encode the profiles of device use and used latter on in the generalized mixed effect models.</w:t>
      </w:r>
    </w:p>
    <w:p w14:paraId="588CE521" w14:textId="77777777" w:rsidR="00436563" w:rsidRPr="001E34EC" w:rsidRDefault="00436563" w:rsidP="00436563">
      <w:pPr>
        <w:spacing w:line="480" w:lineRule="auto"/>
        <w:jc w:val="both"/>
      </w:pPr>
      <w:r w:rsidRPr="001E34EC">
        <w:t>Now we present the models used to assess associations of eye level characteristics with profiles of device use</w:t>
      </w:r>
    </w:p>
    <w:p w14:paraId="303EF8C8"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β</m:t>
              </m:r>
            </m:e>
            <m:sub>
              <m:r>
                <m:rPr>
                  <m:sty m:val="p"/>
                </m:rPr>
                <w:rPr>
                  <w:rFonts w:ascii="Cambria Math" w:hAnsi="Cambria Math"/>
                </w:rPr>
                <m:t>1</m:t>
              </m:r>
            </m:sub>
          </m:sSub>
          <m:r>
            <m:rPr>
              <m:sty m:val="p"/>
            </m:rPr>
            <w:rPr>
              <w:rFonts w:ascii="Cambria Math" w:hAnsi="Cambria Math"/>
            </w:rPr>
            <m:t>×Dpr1)+</m:t>
          </m:r>
          <m:sSub>
            <m:sSubPr>
              <m:ctrlPr>
                <w:rPr>
                  <w:rFonts w:ascii="Cambria Math" w:hAnsi="Cambria Math"/>
                </w:rPr>
              </m:ctrlPr>
            </m:sSubPr>
            <m:e>
              <m:r>
                <m:rPr>
                  <m:sty m:val="p"/>
                </m:rPr>
                <w:rPr>
                  <w:rFonts w:ascii="Cambria Math" w:hAnsi="Cambria Math"/>
                </w:rPr>
                <m:t>(</m:t>
              </m:r>
              <m:r>
                <w:rPr>
                  <w:rFonts w:ascii="Cambria Math" w:hAnsi="Cambria Math"/>
                </w:rPr>
                <m:t>β</m:t>
              </m:r>
            </m:e>
            <m:sub>
              <m:r>
                <m:rPr>
                  <m:sty m:val="p"/>
                </m:rPr>
                <w:rPr>
                  <w:rFonts w:ascii="Cambria Math" w:hAnsi="Cambria Math"/>
                </w:rPr>
                <m:t>3</m:t>
              </m:r>
            </m:sub>
          </m:sSub>
          <m:r>
            <m:rPr>
              <m:sty m:val="p"/>
            </m:rPr>
            <w:rPr>
              <w:rFonts w:ascii="Cambria Math" w:hAnsi="Cambria Math"/>
            </w:rPr>
            <m:t>×Dpr3)+</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r>
            <m:rPr>
              <m:sty m:val="p"/>
            </m:rPr>
            <w:rPr>
              <w:rFonts w:ascii="Cambria Math" w:hAnsi="Cambria Math"/>
            </w:rPr>
            <m:t xml:space="preserve">    (</m:t>
          </m:r>
          <m:r>
            <w:rPr>
              <w:rFonts w:ascii="Cambria Math" w:hAnsi="Cambria Math"/>
            </w:rPr>
            <m:t>eq</m:t>
          </m:r>
          <m:r>
            <m:rPr>
              <m:sty m:val="p"/>
            </m:rPr>
            <w:rPr>
              <w:rFonts w:ascii="Cambria Math" w:hAnsi="Cambria Math"/>
            </w:rPr>
            <m:t>3)</m:t>
          </m:r>
        </m:oMath>
      </m:oMathPara>
    </w:p>
    <w:p w14:paraId="7ADAE9AB" w14:textId="77777777" w:rsidR="00436563" w:rsidRPr="001E34EC" w:rsidRDefault="00436563" w:rsidP="00436563">
      <w:pPr>
        <w:spacing w:line="480" w:lineRule="auto"/>
        <w:jc w:val="both"/>
      </w:pPr>
      <m:oMathPara>
        <m:oMath>
          <m:r>
            <w:rPr>
              <w:rFonts w:ascii="Cambria Math" w:hAnsi="Cambria Math"/>
            </w:rPr>
            <m:t>logit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ij</m:t>
                  </m:r>
                </m:sub>
              </m:sSub>
            </m:e>
          </m:d>
          <m:r>
            <m:rPr>
              <m:sty m:val="p"/>
            </m:rP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γ</m:t>
              </m:r>
            </m:e>
            <m:sub>
              <m:r>
                <m:rPr>
                  <m:sty m:val="p"/>
                </m:rPr>
                <w:rPr>
                  <w:rFonts w:ascii="Cambria Math" w:hAnsi="Cambria Math"/>
                </w:rPr>
                <m:t>1</m:t>
              </m:r>
            </m:sub>
          </m:sSub>
          <m:r>
            <m:rPr>
              <m:sty m:val="p"/>
            </m:rPr>
            <w:rPr>
              <w:rFonts w:ascii="Cambria Math" w:hAnsi="Cambria Math"/>
            </w:rPr>
            <m:t>×Dpr1)+</m:t>
          </m:r>
          <m:sSub>
            <m:sSubPr>
              <m:ctrlPr>
                <w:rPr>
                  <w:rFonts w:ascii="Cambria Math" w:hAnsi="Cambria Math"/>
                </w:rPr>
              </m:ctrlPr>
            </m:sSubPr>
            <m:e>
              <m:r>
                <m:rPr>
                  <m:sty m:val="p"/>
                </m:rPr>
                <w:rPr>
                  <w:rFonts w:ascii="Cambria Math" w:hAnsi="Cambria Math"/>
                </w:rPr>
                <m:t>(</m:t>
              </m:r>
              <m:r>
                <w:rPr>
                  <w:rFonts w:ascii="Cambria Math" w:hAnsi="Cambria Math"/>
                </w:rPr>
                <m:t>γ</m:t>
              </m:r>
            </m:e>
            <m:sub>
              <m:r>
                <m:rPr>
                  <m:sty m:val="p"/>
                </m:rPr>
                <w:rPr>
                  <w:rFonts w:ascii="Cambria Math" w:hAnsi="Cambria Math"/>
                </w:rPr>
                <m:t>3</m:t>
              </m:r>
            </m:sub>
          </m:sSub>
          <m:r>
            <m:rPr>
              <m:sty m:val="p"/>
            </m:rPr>
            <w:rPr>
              <w:rFonts w:ascii="Cambria Math" w:hAnsi="Cambria Math"/>
            </w:rPr>
            <m:t>×Dpr3)+</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r>
            <w:rPr>
              <w:rFonts w:ascii="Cambria Math" w:hAnsi="Cambria Math"/>
            </w:rPr>
            <m:t>eq</m:t>
          </m:r>
          <m:r>
            <m:rPr>
              <m:sty m:val="p"/>
            </m:rPr>
            <w:rPr>
              <w:rFonts w:ascii="Cambria Math" w:hAnsi="Cambria Math"/>
            </w:rPr>
            <m:t>4)</m:t>
          </m:r>
        </m:oMath>
      </m:oMathPara>
    </w:p>
    <w:p w14:paraId="3B433D3B" w14:textId="77777777" w:rsidR="00436563" w:rsidRPr="001E34EC" w:rsidRDefault="00436563" w:rsidP="00436563">
      <w:pPr>
        <w:spacing w:line="480" w:lineRule="auto"/>
        <w:jc w:val="both"/>
      </w:pPr>
      <w:r w:rsidRPr="001E34EC">
        <w:t xml:space="preserve">As before, </w:t>
      </w:r>
      <m:oMath>
        <m:sSub>
          <m:sSubPr>
            <m:ctrlPr>
              <w:rPr>
                <w:rFonts w:ascii="Cambria Math" w:hAnsi="Cambria Math"/>
              </w:rPr>
            </m:ctrlPr>
          </m:sSubPr>
          <m:e>
            <m:r>
              <w:rPr>
                <w:rFonts w:ascii="Cambria Math" w:hAnsi="Cambria Math"/>
              </w:rPr>
              <m:t>y</m:t>
            </m:r>
          </m:e>
          <m:sub>
            <m:r>
              <w:rPr>
                <w:rFonts w:ascii="Cambria Math" w:hAnsi="Cambria Math"/>
              </w:rPr>
              <m:t>ij</m:t>
            </m:r>
          </m:sub>
        </m:sSub>
      </m:oMath>
      <w:r w:rsidRPr="001E34EC">
        <w:t xml:space="preserve"> is a quantitative variable measure at eye </w:t>
      </w:r>
      <m:oMath>
        <m:r>
          <w:rPr>
            <w:rFonts w:ascii="Cambria Math" w:hAnsi="Cambria Math"/>
          </w:rPr>
          <m:t>j</m:t>
        </m:r>
      </m:oMath>
      <w:r w:rsidRPr="001E34EC">
        <w:t xml:space="preserve"> in subject </w:t>
      </w:r>
      <m:oMath>
        <m:r>
          <w:rPr>
            <w:rFonts w:ascii="Cambria Math" w:hAnsi="Cambria Math"/>
          </w:rPr>
          <m:t>i</m:t>
        </m:r>
      </m:oMath>
      <w:r w:rsidRPr="001E34EC">
        <w:t xml:space="preserve">,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1E34EC">
        <w:t xml:space="preserve"> and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1E34EC">
        <w:t xml:space="preserve"> are now fixed effects which accounts for the effect of profiles of device use,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1E34EC">
        <w:t xml:space="preserve"> is a random effect, which accounts for variability between subjects and </w:t>
      </w:r>
      <m:oMath>
        <m:sSub>
          <m:sSubPr>
            <m:ctrlPr>
              <w:rPr>
                <w:rFonts w:ascii="Cambria Math" w:hAnsi="Cambria Math"/>
              </w:rPr>
            </m:ctrlPr>
          </m:sSubPr>
          <m:e>
            <m:r>
              <w:rPr>
                <w:rFonts w:ascii="Cambria Math" w:hAnsi="Cambria Math"/>
              </w:rPr>
              <m:t>ε</m:t>
            </m:r>
          </m:e>
          <m:sub>
            <m:r>
              <w:rPr>
                <w:rFonts w:ascii="Cambria Math" w:hAnsi="Cambria Math"/>
              </w:rPr>
              <m:t>ij</m:t>
            </m:r>
          </m:sub>
        </m:sSub>
      </m:oMath>
      <w:r w:rsidRPr="001E34EC">
        <w:t xml:space="preserve"> is a second random term which accounts for variability between eyes (see eq3).</w:t>
      </w:r>
    </w:p>
    <w:p w14:paraId="1D90E0DE" w14:textId="77777777" w:rsidR="00436563" w:rsidRPr="001E34EC" w:rsidRDefault="00436563" w:rsidP="00436563">
      <w:pPr>
        <w:spacing w:line="480" w:lineRule="auto"/>
        <w:jc w:val="both"/>
      </w:pPr>
      <w:r w:rsidRPr="001E34EC">
        <w:t xml:space="preserve">In the case where the outcome is a binary variable (like thin or thick lipid bilayer, for example), </w:t>
      </w:r>
      <m:oMath>
        <m:r>
          <w:rPr>
            <w:rFonts w:ascii="Cambria Math" w:hAnsi="Cambria Math"/>
          </w:rPr>
          <m:t>logit</m:t>
        </m:r>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ij</m:t>
                </m:r>
              </m:sub>
            </m:sSub>
          </m:e>
        </m:d>
      </m:oMath>
      <w:r w:rsidRPr="001E34EC">
        <w:t xml:space="preserve"> is the logit (i.e. the logarithm of the odds) of the proportion of the outcome of interest at eye </w:t>
      </w:r>
      <m:oMath>
        <m:r>
          <w:rPr>
            <w:rFonts w:ascii="Cambria Math" w:hAnsi="Cambria Math"/>
          </w:rPr>
          <m:t>j</m:t>
        </m:r>
      </m:oMath>
      <w:r w:rsidRPr="001E34EC">
        <w:t xml:space="preserve"> in subject </w:t>
      </w:r>
      <m:oMath>
        <m:r>
          <w:rPr>
            <w:rFonts w:ascii="Cambria Math" w:hAnsi="Cambria Math"/>
          </w:rPr>
          <m:t>i</m:t>
        </m:r>
      </m:oMath>
      <w:r w:rsidRPr="001E34EC">
        <w:t xml:space="preserve">, </w:t>
      </w:r>
      <m:oMath>
        <m:sSub>
          <m:sSubPr>
            <m:ctrlPr>
              <w:rPr>
                <w:rFonts w:ascii="Cambria Math" w:hAnsi="Cambria Math"/>
              </w:rPr>
            </m:ctrlPr>
          </m:sSubPr>
          <m:e>
            <m:r>
              <w:rPr>
                <w:rFonts w:ascii="Cambria Math" w:hAnsi="Cambria Math"/>
              </w:rPr>
              <m:t>γ</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1</m:t>
            </m:r>
          </m:sub>
        </m:sSub>
      </m:oMath>
      <w:r w:rsidRPr="001E34EC">
        <w:t xml:space="preserve"> and </w:t>
      </w:r>
      <m:oMath>
        <m:sSub>
          <m:sSubPr>
            <m:ctrlPr>
              <w:rPr>
                <w:rFonts w:ascii="Cambria Math" w:hAnsi="Cambria Math"/>
              </w:rPr>
            </m:ctrlPr>
          </m:sSubPr>
          <m:e>
            <m:r>
              <w:rPr>
                <w:rFonts w:ascii="Cambria Math" w:hAnsi="Cambria Math"/>
              </w:rPr>
              <m:t>γ</m:t>
            </m:r>
          </m:e>
          <m:sub>
            <m:r>
              <m:rPr>
                <m:sty m:val="p"/>
              </m:rPr>
              <w:rPr>
                <w:rFonts w:ascii="Cambria Math" w:hAnsi="Cambria Math"/>
              </w:rPr>
              <m:t>3</m:t>
            </m:r>
          </m:sub>
        </m:sSub>
      </m:oMath>
      <w:r w:rsidRPr="001E34EC">
        <w:t xml:space="preserve"> are now fixed effects which accounts for the effect of profiles of device use, and </w:t>
      </w:r>
      <m:oMath>
        <m:sSub>
          <m:sSubPr>
            <m:ctrlPr>
              <w:rPr>
                <w:rFonts w:ascii="Cambria Math" w:hAnsi="Cambria Math"/>
              </w:rPr>
            </m:ctrlPr>
          </m:sSubPr>
          <m:e>
            <m:r>
              <w:rPr>
                <w:rFonts w:ascii="Cambria Math" w:hAnsi="Cambria Math"/>
              </w:rPr>
              <m:t>α</m:t>
            </m:r>
          </m:e>
          <m:sub>
            <m:r>
              <w:rPr>
                <w:rFonts w:ascii="Cambria Math" w:hAnsi="Cambria Math"/>
              </w:rPr>
              <m:t>i</m:t>
            </m:r>
          </m:sub>
        </m:sSub>
      </m:oMath>
      <w:r w:rsidRPr="001E34EC">
        <w:t xml:space="preserve"> has the same meaning as before (see eq4).</w:t>
      </w:r>
    </w:p>
    <w:p w14:paraId="5A0F75B8" w14:textId="77777777" w:rsidR="00436563" w:rsidRPr="001E34EC" w:rsidRDefault="00436563" w:rsidP="00436563">
      <w:pPr>
        <w:spacing w:line="480" w:lineRule="auto"/>
        <w:jc w:val="both"/>
      </w:pPr>
      <w:r w:rsidRPr="001E34EC">
        <w:t xml:space="preserve">Since reference coding was used, the interpretation of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1E34EC">
        <w:t xml:space="preserve"> and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1E34EC">
        <w:t xml:space="preserve"> in eq3 is as follows:</w:t>
      </w:r>
    </w:p>
    <w:p w14:paraId="1E240237"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2)</m:t>
          </m:r>
        </m:oMath>
      </m:oMathPara>
    </w:p>
    <w:p w14:paraId="6675C0CF"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r>
            <w:rPr>
              <w:rFonts w:ascii="Cambria Math" w:hAnsi="Cambria Math"/>
            </w:rPr>
            <m:t>E</m:t>
          </m:r>
          <m:d>
            <m:dPr>
              <m:sepChr m:val="∣"/>
              <m:ctrlPr>
                <w:rPr>
                  <w:rFonts w:ascii="Cambria Math" w:hAnsi="Cambria Math"/>
                </w:rPr>
              </m:ctrlPr>
            </m:dPr>
            <m:e>
              <m:r>
                <w:rPr>
                  <w:rFonts w:ascii="Cambria Math" w:hAnsi="Cambria Math"/>
                </w:rPr>
                <m:t>y</m:t>
              </m:r>
            </m:e>
            <m:e>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1</m:t>
              </m:r>
            </m:e>
          </m:d>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2)</m:t>
          </m:r>
        </m:oMath>
      </m:oMathPara>
    </w:p>
    <w:p w14:paraId="4E72B451"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r>
            <m:rPr>
              <m:sty m:val="p"/>
            </m:rPr>
            <w:rPr>
              <w:rFonts w:ascii="Cambria Math" w:hAnsi="Cambria Math"/>
            </w:rPr>
            <m:t>=</m:t>
          </m:r>
          <m:r>
            <w:rPr>
              <w:rFonts w:ascii="Cambria Math" w:hAnsi="Cambria Math"/>
            </w:rPr>
            <m:t>E</m:t>
          </m:r>
          <m:d>
            <m:dPr>
              <m:sepChr m:val="∣"/>
              <m:ctrlPr>
                <w:rPr>
                  <w:rFonts w:ascii="Cambria Math" w:hAnsi="Cambria Math"/>
                </w:rPr>
              </m:ctrlPr>
            </m:dPr>
            <m:e>
              <m:r>
                <w:rPr>
                  <w:rFonts w:ascii="Cambria Math" w:hAnsi="Cambria Math"/>
                </w:rPr>
                <m:t>y</m:t>
              </m:r>
            </m:e>
            <m:e>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3</m:t>
              </m:r>
            </m:e>
          </m:d>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2)</m:t>
          </m:r>
        </m:oMath>
      </m:oMathPara>
    </w:p>
    <w:p w14:paraId="217C6F94" w14:textId="77777777" w:rsidR="00436563" w:rsidRPr="001E34EC" w:rsidRDefault="00436563" w:rsidP="00436563">
      <w:pPr>
        <w:spacing w:line="480" w:lineRule="auto"/>
        <w:jc w:val="both"/>
      </w:pPr>
      <w:r w:rsidRPr="001E34EC">
        <w:t xml:space="preserve">In short, </w:t>
      </w:r>
      <m:oMath>
        <m:sSub>
          <m:sSubPr>
            <m:ctrlPr>
              <w:rPr>
                <w:rFonts w:ascii="Cambria Math" w:hAnsi="Cambria Math"/>
              </w:rPr>
            </m:ctrlPr>
          </m:sSubPr>
          <m:e>
            <m:r>
              <w:rPr>
                <w:rFonts w:ascii="Cambria Math" w:hAnsi="Cambria Math"/>
              </w:rPr>
              <m:t>β</m:t>
            </m:r>
          </m:e>
          <m:sub>
            <m:r>
              <m:rPr>
                <m:sty m:val="p"/>
              </m:rPr>
              <w:rPr>
                <w:rFonts w:ascii="Cambria Math" w:hAnsi="Cambria Math"/>
              </w:rPr>
              <m:t>0</m:t>
            </m:r>
          </m:sub>
        </m:sSub>
      </m:oMath>
      <w:r w:rsidRPr="001E34EC">
        <w:t xml:space="preserve"> is the mean of quantitative variable </w:t>
      </w:r>
      <m:oMath>
        <m:r>
          <w:rPr>
            <w:rFonts w:ascii="Cambria Math" w:hAnsi="Cambria Math"/>
          </w:rPr>
          <m:t>y</m:t>
        </m:r>
      </m:oMath>
      <w:r w:rsidRPr="001E34EC">
        <w:t xml:space="preserve"> in profiles of device use category 2,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1E34EC">
        <w:t xml:space="preserve">is the mean difference of quantitative variable </w:t>
      </w:r>
      <m:oMath>
        <m:r>
          <w:rPr>
            <w:rFonts w:ascii="Cambria Math" w:hAnsi="Cambria Math"/>
          </w:rPr>
          <m:t>y</m:t>
        </m:r>
      </m:oMath>
      <w:r w:rsidRPr="001E34EC">
        <w:t xml:space="preserve"> in profile 1 against profile 2, and similarly, </w:t>
      </w:r>
      <m:oMath>
        <m:sSub>
          <m:sSubPr>
            <m:ctrlPr>
              <w:rPr>
                <w:rFonts w:ascii="Cambria Math" w:hAnsi="Cambria Math"/>
              </w:rPr>
            </m:ctrlPr>
          </m:sSubPr>
          <m:e>
            <m:r>
              <w:rPr>
                <w:rFonts w:ascii="Cambria Math" w:hAnsi="Cambria Math"/>
              </w:rPr>
              <m:t>β</m:t>
            </m:r>
          </m:e>
          <m:sub>
            <m:r>
              <m:rPr>
                <m:sty m:val="p"/>
              </m:rPr>
              <w:rPr>
                <w:rFonts w:ascii="Cambria Math" w:hAnsi="Cambria Math"/>
              </w:rPr>
              <m:t>3</m:t>
            </m:r>
          </m:sub>
        </m:sSub>
      </m:oMath>
      <w:r w:rsidRPr="001E34EC">
        <w:t xml:space="preserve">is the mean difference of quantitative variable </w:t>
      </w:r>
      <m:oMath>
        <m:r>
          <w:rPr>
            <w:rFonts w:ascii="Cambria Math" w:hAnsi="Cambria Math"/>
          </w:rPr>
          <m:t>y</m:t>
        </m:r>
      </m:oMath>
      <w:r w:rsidRPr="001E34EC">
        <w:t xml:space="preserve"> in profile 3 against profile 2, and similarly </w:t>
      </w:r>
    </w:p>
    <w:p w14:paraId="3DD146AD" w14:textId="77777777" w:rsidR="00436563" w:rsidRPr="001E34EC" w:rsidRDefault="00436563" w:rsidP="00436563">
      <w:pPr>
        <w:spacing w:line="480" w:lineRule="auto"/>
        <w:jc w:val="both"/>
      </w:pPr>
      <w:r w:rsidRPr="001E34EC">
        <w:t xml:space="preserve"> Interpretation of fixed effects </w:t>
      </w:r>
      <m:oMath>
        <m:sSub>
          <m:sSubPr>
            <m:ctrlPr>
              <w:rPr>
                <w:rFonts w:ascii="Cambria Math" w:hAnsi="Cambria Math"/>
              </w:rPr>
            </m:ctrlPr>
          </m:sSubPr>
          <m:e>
            <m:r>
              <w:rPr>
                <w:rFonts w:ascii="Cambria Math" w:hAnsi="Cambria Math"/>
              </w:rPr>
              <m:t>γ</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1</m:t>
            </m:r>
          </m:sub>
        </m:sSub>
      </m:oMath>
      <w:r w:rsidRPr="001E34EC">
        <w:t xml:space="preserve"> and </w:t>
      </w:r>
      <m:oMath>
        <m:sSub>
          <m:sSubPr>
            <m:ctrlPr>
              <w:rPr>
                <w:rFonts w:ascii="Cambria Math" w:hAnsi="Cambria Math"/>
              </w:rPr>
            </m:ctrlPr>
          </m:sSubPr>
          <m:e>
            <m:r>
              <w:rPr>
                <w:rFonts w:ascii="Cambria Math" w:hAnsi="Cambria Math"/>
              </w:rPr>
              <m:t>γ</m:t>
            </m:r>
          </m:e>
          <m:sub>
            <m:r>
              <m:rPr>
                <m:sty m:val="p"/>
              </m:rPr>
              <w:rPr>
                <w:rFonts w:ascii="Cambria Math" w:hAnsi="Cambria Math"/>
              </w:rPr>
              <m:t>3</m:t>
            </m:r>
          </m:sub>
        </m:sSub>
      </m:oMath>
      <w:r w:rsidRPr="001E34EC">
        <w:t>, in eq4 is similar:</w:t>
      </w:r>
    </w:p>
    <w:p w14:paraId="20912062"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γ</m:t>
              </m:r>
            </m:e>
            <m:sub>
              <m:r>
                <m:rPr>
                  <m:sty m:val="p"/>
                </m:rPr>
                <w:rPr>
                  <w:rFonts w:ascii="Cambria Math" w:hAnsi="Cambria Math"/>
                </w:rPr>
                <m:t>0</m:t>
              </m:r>
            </m:sub>
          </m:sSub>
          <m:r>
            <m:rPr>
              <m:sty m:val="p"/>
            </m:rPr>
            <w:rPr>
              <w:rFonts w:ascii="Cambria Math" w:hAnsi="Cambria Math"/>
            </w:rPr>
            <m:t>=</m:t>
          </m:r>
          <m:r>
            <w:rPr>
              <w:rFonts w:ascii="Cambria Math" w:hAnsi="Cambria Math"/>
            </w:rPr>
            <m:t>logit</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2)</m:t>
          </m:r>
        </m:oMath>
      </m:oMathPara>
    </w:p>
    <w:p w14:paraId="7A9418A7"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γ</m:t>
              </m:r>
            </m:e>
            <m:sub>
              <m:r>
                <m:rPr>
                  <m:sty m:val="p"/>
                </m:rPr>
                <w:rPr>
                  <w:rFonts w:ascii="Cambria Math" w:hAnsi="Cambria Math"/>
                </w:rPr>
                <m:t>1</m:t>
              </m:r>
            </m:sub>
          </m:sSub>
          <m:r>
            <m:rPr>
              <m:sty m:val="p"/>
            </m:rPr>
            <w:rPr>
              <w:rFonts w:ascii="Cambria Math" w:hAnsi="Cambria Math"/>
            </w:rPr>
            <m:t>=</m:t>
          </m:r>
          <m:r>
            <w:rPr>
              <w:rFonts w:ascii="Cambria Math" w:hAnsi="Cambria Math"/>
            </w:rPr>
            <m:t>logit</m:t>
          </m:r>
          <m:d>
            <m:dPr>
              <m:sepChr m:val="∣"/>
              <m:ctrlPr>
                <w:rPr>
                  <w:rFonts w:ascii="Cambria Math" w:hAnsi="Cambria Math"/>
                </w:rPr>
              </m:ctrlPr>
            </m:dPr>
            <m:e>
              <m:r>
                <w:rPr>
                  <w:rFonts w:ascii="Cambria Math" w:hAnsi="Cambria Math"/>
                </w:rPr>
                <m:t>p</m:t>
              </m:r>
            </m:e>
            <m:e>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1</m:t>
              </m:r>
            </m:e>
          </m:d>
          <m:r>
            <m:rPr>
              <m:sty m:val="p"/>
            </m:rPr>
            <w:rPr>
              <w:rFonts w:ascii="Cambria Math" w:hAnsi="Cambria Math"/>
            </w:rPr>
            <m:t>-</m:t>
          </m:r>
          <m:r>
            <w:rPr>
              <w:rFonts w:ascii="Cambria Math" w:hAnsi="Cambria Math"/>
            </w:rPr>
            <m:t>logit</m:t>
          </m:r>
          <m:d>
            <m:dPr>
              <m:sepChr m:val="∣"/>
              <m:ctrlPr>
                <w:rPr>
                  <w:rFonts w:ascii="Cambria Math" w:hAnsi="Cambria Math"/>
                </w:rPr>
              </m:ctrlPr>
            </m:dPr>
            <m:e>
              <m:r>
                <w:rPr>
                  <w:rFonts w:ascii="Cambria Math" w:hAnsi="Cambria Math"/>
                </w:rPr>
                <m:t>p</m:t>
              </m:r>
            </m:e>
            <m:e>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2</m:t>
              </m:r>
            </m:e>
          </m:d>
          <m:r>
            <m:rPr>
              <m:sty m:val="p"/>
            </m:rPr>
            <w:rPr>
              <w:rFonts w:ascii="Cambria Math" w:hAnsi="Cambria Math"/>
            </w:rPr>
            <m:t>=</m:t>
          </m:r>
          <m:r>
            <w:rPr>
              <w:rFonts w:ascii="Cambria Math" w:hAnsi="Cambria Math"/>
            </w:rPr>
            <m:t>logOdds</m:t>
          </m:r>
          <m:r>
            <m:rPr>
              <m:sty m:val="p"/>
            </m:rPr>
            <w:rPr>
              <w:rFonts w:ascii="Cambria Math" w:hAnsi="Cambria Math"/>
            </w:rPr>
            <m:t>(</m:t>
          </m:r>
          <m:r>
            <w:rPr>
              <w:rFonts w:ascii="Cambria Math" w:hAnsi="Cambria Math"/>
            </w:rPr>
            <m:t>Pr</m:t>
          </m:r>
          <m:r>
            <m:rPr>
              <m:sty m:val="p"/>
            </m:rPr>
            <w:rPr>
              <w:rFonts w:ascii="Cambria Math" w:hAnsi="Cambria Math"/>
            </w:rPr>
            <m:t xml:space="preserve">2 </m:t>
          </m:r>
          <m:r>
            <w:rPr>
              <w:rFonts w:ascii="Cambria Math" w:hAnsi="Cambria Math"/>
            </w:rPr>
            <m:t>vs</m:t>
          </m:r>
          <m:r>
            <m:rPr>
              <m:sty m:val="p"/>
            </m:rPr>
            <w:rPr>
              <w:rFonts w:ascii="Cambria Math" w:hAnsi="Cambria Math"/>
            </w:rPr>
            <m:t xml:space="preserve"> </m:t>
          </m:r>
          <m:r>
            <w:rPr>
              <w:rFonts w:ascii="Cambria Math" w:hAnsi="Cambria Math"/>
            </w:rPr>
            <m:t>Pr</m:t>
          </m:r>
          <m:r>
            <m:rPr>
              <m:sty m:val="p"/>
            </m:rPr>
            <w:rPr>
              <w:rFonts w:ascii="Cambria Math" w:hAnsi="Cambria Math"/>
            </w:rPr>
            <m:t>1)</m:t>
          </m:r>
        </m:oMath>
      </m:oMathPara>
    </w:p>
    <w:p w14:paraId="1E82C2B2" w14:textId="77777777" w:rsidR="00436563" w:rsidRPr="001E34EC" w:rsidRDefault="00F82A55" w:rsidP="00436563">
      <w:pPr>
        <w:spacing w:line="480" w:lineRule="auto"/>
        <w:jc w:val="both"/>
      </w:pPr>
      <m:oMathPara>
        <m:oMath>
          <m:sSub>
            <m:sSubPr>
              <m:ctrlPr>
                <w:rPr>
                  <w:rFonts w:ascii="Cambria Math" w:hAnsi="Cambria Math"/>
                </w:rPr>
              </m:ctrlPr>
            </m:sSubPr>
            <m:e>
              <m:r>
                <w:rPr>
                  <w:rFonts w:ascii="Cambria Math" w:hAnsi="Cambria Math"/>
                </w:rPr>
                <m:t>γ</m:t>
              </m:r>
            </m:e>
            <m:sub>
              <m:r>
                <m:rPr>
                  <m:sty m:val="p"/>
                </m:rPr>
                <w:rPr>
                  <w:rFonts w:ascii="Cambria Math" w:hAnsi="Cambria Math"/>
                </w:rPr>
                <m:t>3</m:t>
              </m:r>
            </m:sub>
          </m:sSub>
          <m:r>
            <m:rPr>
              <m:sty m:val="p"/>
            </m:rPr>
            <w:rPr>
              <w:rFonts w:ascii="Cambria Math" w:hAnsi="Cambria Math"/>
            </w:rPr>
            <m:t>=</m:t>
          </m:r>
          <m:r>
            <w:rPr>
              <w:rFonts w:ascii="Cambria Math" w:hAnsi="Cambria Math"/>
            </w:rPr>
            <m:t>E</m:t>
          </m:r>
          <m:d>
            <m:dPr>
              <m:sepChr m:val="∣"/>
              <m:ctrlPr>
                <w:rPr>
                  <w:rFonts w:ascii="Cambria Math" w:hAnsi="Cambria Math"/>
                </w:rPr>
              </m:ctrlPr>
            </m:dPr>
            <m:e>
              <m:r>
                <w:rPr>
                  <w:rFonts w:ascii="Cambria Math" w:hAnsi="Cambria Math"/>
                </w:rPr>
                <m:t>p</m:t>
              </m:r>
            </m:e>
            <m:e>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3</m:t>
              </m:r>
            </m:e>
          </m:d>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PDU</m:t>
          </m:r>
          <m:r>
            <m:rPr>
              <m:sty m:val="p"/>
            </m:rPr>
            <w:rPr>
              <w:rFonts w:ascii="Cambria Math" w:hAnsi="Cambria Math"/>
            </w:rPr>
            <m:t>=</m:t>
          </m:r>
          <m:r>
            <w:rPr>
              <w:rFonts w:ascii="Cambria Math" w:hAnsi="Cambria Math"/>
            </w:rPr>
            <m:t>Pr</m:t>
          </m:r>
          <m:r>
            <m:rPr>
              <m:sty m:val="p"/>
            </m:rPr>
            <w:rPr>
              <w:rFonts w:ascii="Cambria Math" w:hAnsi="Cambria Math"/>
            </w:rPr>
            <m:t>2) =</m:t>
          </m:r>
          <m:r>
            <w:rPr>
              <w:rFonts w:ascii="Cambria Math" w:hAnsi="Cambria Math"/>
            </w:rPr>
            <m:t>logOdds</m:t>
          </m:r>
          <m:r>
            <m:rPr>
              <m:sty m:val="p"/>
            </m:rPr>
            <w:rPr>
              <w:rFonts w:ascii="Cambria Math" w:hAnsi="Cambria Math"/>
            </w:rPr>
            <m:t>(</m:t>
          </m:r>
          <m:r>
            <w:rPr>
              <w:rFonts w:ascii="Cambria Math" w:hAnsi="Cambria Math"/>
            </w:rPr>
            <m:t>Pr</m:t>
          </m:r>
          <m:r>
            <m:rPr>
              <m:sty m:val="p"/>
            </m:rPr>
            <w:rPr>
              <w:rFonts w:ascii="Cambria Math" w:hAnsi="Cambria Math"/>
            </w:rPr>
            <m:t xml:space="preserve">2 </m:t>
          </m:r>
          <m:r>
            <w:rPr>
              <w:rFonts w:ascii="Cambria Math" w:hAnsi="Cambria Math"/>
            </w:rPr>
            <m:t>vs</m:t>
          </m:r>
          <m:r>
            <m:rPr>
              <m:sty m:val="p"/>
            </m:rPr>
            <w:rPr>
              <w:rFonts w:ascii="Cambria Math" w:hAnsi="Cambria Math"/>
            </w:rPr>
            <m:t xml:space="preserve"> </m:t>
          </m:r>
          <m:r>
            <w:rPr>
              <w:rFonts w:ascii="Cambria Math" w:hAnsi="Cambria Math"/>
            </w:rPr>
            <m:t>Pr</m:t>
          </m:r>
          <m:r>
            <m:rPr>
              <m:sty m:val="p"/>
            </m:rPr>
            <w:rPr>
              <w:rFonts w:ascii="Cambria Math" w:hAnsi="Cambria Math"/>
            </w:rPr>
            <m:t>3)</m:t>
          </m:r>
        </m:oMath>
      </m:oMathPara>
    </w:p>
    <w:p w14:paraId="1973DC3E" w14:textId="77777777" w:rsidR="00436563" w:rsidRPr="001E34EC" w:rsidRDefault="00436563" w:rsidP="00436563">
      <w:pPr>
        <w:spacing w:line="480" w:lineRule="auto"/>
        <w:jc w:val="both"/>
      </w:pPr>
      <w:r w:rsidRPr="001E34EC">
        <w:t xml:space="preserve">In short, </w:t>
      </w:r>
      <m:oMath>
        <m:sSub>
          <m:sSubPr>
            <m:ctrlPr>
              <w:rPr>
                <w:rFonts w:ascii="Cambria Math" w:hAnsi="Cambria Math"/>
              </w:rPr>
            </m:ctrlPr>
          </m:sSubPr>
          <m:e>
            <m:r>
              <w:rPr>
                <w:rFonts w:ascii="Cambria Math" w:hAnsi="Cambria Math"/>
              </w:rPr>
              <m:t>γ</m:t>
            </m:r>
          </m:e>
          <m:sub>
            <m:r>
              <m:rPr>
                <m:sty m:val="p"/>
              </m:rPr>
              <w:rPr>
                <w:rFonts w:ascii="Cambria Math" w:hAnsi="Cambria Math"/>
              </w:rPr>
              <m:t>0</m:t>
            </m:r>
          </m:sub>
        </m:sSub>
      </m:oMath>
      <w:r w:rsidRPr="001E34EC">
        <w:t xml:space="preserve"> is the logit of the proportion in profiles of device use category 2, </w:t>
      </w:r>
      <m:oMath>
        <m:sSub>
          <m:sSubPr>
            <m:ctrlPr>
              <w:rPr>
                <w:rFonts w:ascii="Cambria Math" w:hAnsi="Cambria Math"/>
              </w:rPr>
            </m:ctrlPr>
          </m:sSubPr>
          <m:e>
            <m:r>
              <w:rPr>
                <w:rFonts w:ascii="Cambria Math" w:hAnsi="Cambria Math"/>
              </w:rPr>
              <m:t>γ</m:t>
            </m:r>
          </m:e>
          <m:sub>
            <m:r>
              <m:rPr>
                <m:sty m:val="p"/>
              </m:rPr>
              <w:rPr>
                <w:rFonts w:ascii="Cambria Math" w:hAnsi="Cambria Math"/>
              </w:rPr>
              <m:t>1</m:t>
            </m:r>
          </m:sub>
        </m:sSub>
      </m:oMath>
      <w:r w:rsidRPr="001E34EC">
        <w:t xml:space="preserve">is logarithm of the odds in profile 1 against profile 2, and similarly, </w:t>
      </w:r>
      <m:oMath>
        <m:sSub>
          <m:sSubPr>
            <m:ctrlPr>
              <w:rPr>
                <w:rFonts w:ascii="Cambria Math" w:hAnsi="Cambria Math"/>
              </w:rPr>
            </m:ctrlPr>
          </m:sSubPr>
          <m:e>
            <m:r>
              <w:rPr>
                <w:rFonts w:ascii="Cambria Math" w:hAnsi="Cambria Math"/>
              </w:rPr>
              <m:t>γ</m:t>
            </m:r>
          </m:e>
          <m:sub>
            <m:r>
              <m:rPr>
                <m:sty m:val="p"/>
              </m:rPr>
              <w:rPr>
                <w:rFonts w:ascii="Cambria Math" w:hAnsi="Cambria Math"/>
              </w:rPr>
              <m:t>3</m:t>
            </m:r>
          </m:sub>
        </m:sSub>
      </m:oMath>
      <w:r w:rsidRPr="001E34EC">
        <w:t xml:space="preserve"> is logarithm of the odds in profile 3 against profile 2, and similarly </w:t>
      </w:r>
    </w:p>
    <w:p w14:paraId="0CD4E522" w14:textId="77777777" w:rsidR="00436563" w:rsidRPr="001E34EC" w:rsidRDefault="00436563" w:rsidP="00436563">
      <w:pPr>
        <w:spacing w:line="480" w:lineRule="auto"/>
        <w:jc w:val="both"/>
      </w:pPr>
    </w:p>
    <w:p w14:paraId="0602B49F" w14:textId="77777777" w:rsidR="00FF0145" w:rsidRDefault="00FF0145" w:rsidP="00A87FEE">
      <w:pPr>
        <w:spacing w:after="100" w:afterAutospacing="1" w:line="480" w:lineRule="auto"/>
        <w:jc w:val="both"/>
        <w:rPr>
          <w:color w:val="FF0000"/>
        </w:rPr>
      </w:pPr>
    </w:p>
    <w:p w14:paraId="60BCFB4F" w14:textId="77777777" w:rsidR="00F47FD1" w:rsidRPr="00DD59BB" w:rsidRDefault="00F47FD1" w:rsidP="00A87FEE">
      <w:pPr>
        <w:spacing w:after="100" w:afterAutospacing="1" w:line="480" w:lineRule="auto"/>
        <w:jc w:val="both"/>
        <w:rPr>
          <w:color w:val="FF0000"/>
        </w:rPr>
      </w:pPr>
    </w:p>
    <w:p w14:paraId="5561259F" w14:textId="77777777" w:rsidR="00077064" w:rsidRDefault="00F82A55"/>
    <w:sectPr w:rsidR="00077064" w:rsidSect="001D1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450869"/>
    <w:multiLevelType w:val="multilevel"/>
    <w:tmpl w:val="CA28D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E662FE1"/>
    <w:multiLevelType w:val="multilevel"/>
    <w:tmpl w:val="CA28D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EE"/>
    <w:rsid w:val="001A3436"/>
    <w:rsid w:val="001D19E1"/>
    <w:rsid w:val="0023237C"/>
    <w:rsid w:val="003465E4"/>
    <w:rsid w:val="003531ED"/>
    <w:rsid w:val="003D62A9"/>
    <w:rsid w:val="00436563"/>
    <w:rsid w:val="00625263"/>
    <w:rsid w:val="00747624"/>
    <w:rsid w:val="0076796B"/>
    <w:rsid w:val="007F32E9"/>
    <w:rsid w:val="008606B5"/>
    <w:rsid w:val="008C1595"/>
    <w:rsid w:val="00903190"/>
    <w:rsid w:val="00915005"/>
    <w:rsid w:val="00973EFD"/>
    <w:rsid w:val="00A14318"/>
    <w:rsid w:val="00A87FEE"/>
    <w:rsid w:val="00C939C4"/>
    <w:rsid w:val="00CC2FE8"/>
    <w:rsid w:val="00D4252E"/>
    <w:rsid w:val="00DB22BB"/>
    <w:rsid w:val="00E32EAE"/>
    <w:rsid w:val="00E951B5"/>
    <w:rsid w:val="00EB72F8"/>
    <w:rsid w:val="00EE0103"/>
    <w:rsid w:val="00F47FD1"/>
    <w:rsid w:val="00F82A55"/>
    <w:rsid w:val="00FF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353FC"/>
  <w14:defaultImageDpi w14:val="32767"/>
  <w15:chartTrackingRefBased/>
  <w15:docId w15:val="{FFB0BA2E-0DC1-FA42-ABC3-0BFA0CD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FEE"/>
    <w:pPr>
      <w:spacing w:line="276" w:lineRule="auto"/>
    </w:pPr>
    <w:rPr>
      <w:rFonts w:ascii="Arial" w:eastAsia="Arial" w:hAnsi="Arial" w:cs="Arial"/>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FF0145"/>
    <w:pPr>
      <w:tabs>
        <w:tab w:val="left" w:pos="500"/>
      </w:tabs>
      <w:spacing w:after="240" w:line="240" w:lineRule="auto"/>
      <w:ind w:left="504" w:hanging="504"/>
    </w:pPr>
  </w:style>
  <w:style w:type="table" w:styleId="Tablaconcuadrcula">
    <w:name w:val="Table Grid"/>
    <w:basedOn w:val="Tablanormal"/>
    <w:uiPriority w:val="39"/>
    <w:rsid w:val="00436563"/>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delatorr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9724</Words>
  <Characters>53488</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Juliana Reyes Guanes</cp:lastModifiedBy>
  <cp:revision>30</cp:revision>
  <dcterms:created xsi:type="dcterms:W3CDTF">2020-08-03T16:59:00Z</dcterms:created>
  <dcterms:modified xsi:type="dcterms:W3CDTF">2020-09-04T13:19:00Z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id="zpwS45cX"/&gt;&lt;style id="http://www.zotero.org/styles/ocular-immunology-and-inflammation" hasBibliography="1" bibliographyStyleHasBeenSet="1"/&gt;&lt;prefs&gt;&lt;pref name="fieldType" value="Field"/&gt;&lt;/prefs&gt;&lt;/</vt:lpwstr>
  </property>
  <property fmtid="{D5CDD505-2E9C-101B-9397-08002B2CF9AE}" pid="3" name="ZOTERO_PREF_2">
    <vt:lpwstr>data&gt;</vt:lpwstr>
  </property>
</Properties>
</file>