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B3" w:rsidRPr="00855FB1" w:rsidRDefault="00855FB1">
      <w:pPr>
        <w:rPr>
          <w:b/>
          <w:bCs/>
        </w:rPr>
      </w:pPr>
      <w:r w:rsidRPr="00855FB1">
        <w:rPr>
          <w:b/>
          <w:bCs/>
        </w:rPr>
        <w:t>SUPPLEMENTARY MATERIALS</w:t>
      </w:r>
    </w:p>
    <w:p w:rsidR="00855FB1" w:rsidRPr="00855FB1" w:rsidRDefault="00855FB1">
      <w:pPr>
        <w:rPr>
          <w:b/>
          <w:bCs/>
        </w:rPr>
      </w:pPr>
      <w:r w:rsidRPr="00855FB1">
        <w:rPr>
          <w:b/>
          <w:bCs/>
        </w:rPr>
        <w:t>Table S1: Budget Impact analysis model assumptions and sources.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855FB1" w:rsidTr="00855FB1">
        <w:tc>
          <w:tcPr>
            <w:tcW w:w="4316" w:type="dxa"/>
          </w:tcPr>
          <w:p w:rsidR="00855FB1" w:rsidRPr="00855FB1" w:rsidRDefault="00855FB1" w:rsidP="001B7952">
            <w:pPr>
              <w:jc w:val="center"/>
              <w:rPr>
                <w:b/>
                <w:bCs/>
              </w:rPr>
            </w:pPr>
            <w:r w:rsidRPr="00855FB1">
              <w:rPr>
                <w:b/>
                <w:bCs/>
              </w:rPr>
              <w:t>Assumption</w:t>
            </w:r>
          </w:p>
        </w:tc>
        <w:tc>
          <w:tcPr>
            <w:tcW w:w="4317" w:type="dxa"/>
          </w:tcPr>
          <w:p w:rsidR="00855FB1" w:rsidRPr="00855FB1" w:rsidRDefault="00855FB1" w:rsidP="001B7952">
            <w:pPr>
              <w:jc w:val="center"/>
              <w:rPr>
                <w:b/>
                <w:bCs/>
              </w:rPr>
            </w:pPr>
            <w:r w:rsidRPr="00855FB1">
              <w:rPr>
                <w:b/>
                <w:bCs/>
              </w:rPr>
              <w:t>Value</w:t>
            </w:r>
          </w:p>
        </w:tc>
        <w:tc>
          <w:tcPr>
            <w:tcW w:w="4317" w:type="dxa"/>
          </w:tcPr>
          <w:p w:rsidR="00855FB1" w:rsidRPr="00855FB1" w:rsidRDefault="00855FB1" w:rsidP="001B7952">
            <w:pPr>
              <w:jc w:val="center"/>
              <w:rPr>
                <w:b/>
                <w:bCs/>
              </w:rPr>
            </w:pPr>
            <w:r w:rsidRPr="00855FB1">
              <w:rPr>
                <w:b/>
                <w:bCs/>
              </w:rPr>
              <w:t>Source</w:t>
            </w:r>
          </w:p>
        </w:tc>
      </w:tr>
      <w:tr w:rsidR="00855FB1" w:rsidTr="00855FB1">
        <w:tc>
          <w:tcPr>
            <w:tcW w:w="4316" w:type="dxa"/>
          </w:tcPr>
          <w:p w:rsidR="00855FB1" w:rsidRDefault="00855FB1">
            <w:r>
              <w:t>Price of Truxima</w:t>
            </w:r>
            <w:r>
              <w:rPr>
                <w:rFonts w:cstheme="minorHAnsi"/>
              </w:rPr>
              <w:t xml:space="preserve">® (% of </w:t>
            </w:r>
            <w:proofErr w:type="spellStart"/>
            <w:r>
              <w:rPr>
                <w:rFonts w:cstheme="minorHAnsi"/>
              </w:rPr>
              <w:t>Rituxan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70%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Assumption</w:t>
            </w:r>
          </w:p>
        </w:tc>
      </w:tr>
      <w:tr w:rsidR="00855FB1" w:rsidTr="00855FB1">
        <w:tc>
          <w:tcPr>
            <w:tcW w:w="4316" w:type="dxa"/>
          </w:tcPr>
          <w:p w:rsidR="00855FB1" w:rsidRDefault="00855FB1" w:rsidP="00855FB1">
            <w:r>
              <w:t>Truxima</w:t>
            </w:r>
            <w:r>
              <w:rPr>
                <w:rFonts w:cstheme="minorHAnsi"/>
              </w:rPr>
              <w:t>®</w:t>
            </w:r>
            <w:r>
              <w:t xml:space="preserve"> Uptake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100%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Assumption</w:t>
            </w:r>
          </w:p>
        </w:tc>
      </w:tr>
      <w:tr w:rsidR="00855FB1" w:rsidTr="00855FB1">
        <w:tc>
          <w:tcPr>
            <w:tcW w:w="4316" w:type="dxa"/>
          </w:tcPr>
          <w:p w:rsidR="00855FB1" w:rsidRDefault="00855FB1" w:rsidP="00855FB1">
            <w:r>
              <w:t>Share of Rituximab’s Consumption in Rheumatoid arthritis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20%</w:t>
            </w:r>
          </w:p>
        </w:tc>
        <w:tc>
          <w:tcPr>
            <w:tcW w:w="4317" w:type="dxa"/>
          </w:tcPr>
          <w:p w:rsidR="00855FB1" w:rsidRDefault="001B7952" w:rsidP="001B7952">
            <w:pPr>
              <w:jc w:val="center"/>
            </w:pPr>
            <w:r>
              <w:t>Roche Financial Report. 2019</w:t>
            </w:r>
            <w:r w:rsidR="00855FB1">
              <w:t>[1]</w:t>
            </w:r>
          </w:p>
        </w:tc>
      </w:tr>
      <w:tr w:rsidR="00855FB1" w:rsidTr="00855FB1">
        <w:tc>
          <w:tcPr>
            <w:tcW w:w="4316" w:type="dxa"/>
          </w:tcPr>
          <w:p w:rsidR="00855FB1" w:rsidRDefault="00855FB1" w:rsidP="00855FB1">
            <w:r>
              <w:t>Share of Rituximab’s consumption in cancer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80%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Roche Financial Report</w:t>
            </w:r>
            <w:r w:rsidR="001B7952">
              <w:t>. 2019</w:t>
            </w:r>
            <w:r>
              <w:t xml:space="preserve"> [1]</w:t>
            </w:r>
          </w:p>
        </w:tc>
      </w:tr>
      <w:tr w:rsidR="00855FB1" w:rsidTr="00B10641">
        <w:tc>
          <w:tcPr>
            <w:tcW w:w="12950" w:type="dxa"/>
            <w:gridSpan w:val="3"/>
          </w:tcPr>
          <w:p w:rsidR="00855FB1" w:rsidRDefault="00855FB1" w:rsidP="001B7952">
            <w:r>
              <w:t>Incidence rates of different types of cancers per 100,000 population</w:t>
            </w:r>
          </w:p>
        </w:tc>
      </w:tr>
      <w:tr w:rsidR="00855FB1" w:rsidTr="00855FB1">
        <w:tc>
          <w:tcPr>
            <w:tcW w:w="4316" w:type="dxa"/>
          </w:tcPr>
          <w:p w:rsidR="00855FB1" w:rsidRDefault="00855FB1" w:rsidP="00855FB1">
            <w:bookmarkStart w:id="0" w:name="_GoBack" w:colFirst="1" w:colLast="1"/>
            <w:r>
              <w:t>NHL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rPr>
                <w:rFonts w:ascii="Cambria" w:hAnsi="Cambria" w:cstheme="majorBidi"/>
              </w:rPr>
              <w:t xml:space="preserve">6.82 </w:t>
            </w:r>
            <w:r>
              <w:rPr>
                <w:rFonts w:ascii="Cambria" w:hAnsi="Cambria" w:cstheme="majorBidi"/>
              </w:rPr>
              <w:t>(4.2-13.3)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Global Cancer Observatory</w:t>
            </w:r>
          </w:p>
          <w:p w:rsidR="00855FB1" w:rsidRDefault="00855FB1" w:rsidP="001B7952">
            <w:pPr>
              <w:jc w:val="center"/>
            </w:pPr>
            <w:r>
              <w:t>Bray et al</w:t>
            </w:r>
            <w:r w:rsidR="001B7952">
              <w:t>. 2018</w:t>
            </w:r>
            <w:r>
              <w:t xml:space="preserve"> [2]</w:t>
            </w:r>
          </w:p>
        </w:tc>
      </w:tr>
      <w:tr w:rsidR="00855FB1" w:rsidTr="00855FB1">
        <w:tc>
          <w:tcPr>
            <w:tcW w:w="4316" w:type="dxa"/>
            <w:shd w:val="clear" w:color="auto" w:fill="auto"/>
          </w:tcPr>
          <w:p w:rsidR="00855FB1" w:rsidRDefault="00855FB1" w:rsidP="00855FB1">
            <w:r>
              <w:t>CLL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rPr>
                <w:rFonts w:ascii="Cambria" w:hAnsi="Cambria" w:cstheme="majorBidi"/>
              </w:rPr>
              <w:t>5.16 (3.4-7.4)</w:t>
            </w:r>
          </w:p>
        </w:tc>
        <w:tc>
          <w:tcPr>
            <w:tcW w:w="4317" w:type="dxa"/>
          </w:tcPr>
          <w:p w:rsidR="00855FB1" w:rsidRDefault="00855FB1" w:rsidP="001B7952">
            <w:pPr>
              <w:jc w:val="center"/>
            </w:pPr>
            <w:r>
              <w:t>Global Cancer Observatory</w:t>
            </w:r>
          </w:p>
          <w:p w:rsidR="00855FB1" w:rsidRDefault="00855FB1" w:rsidP="001B7952">
            <w:pPr>
              <w:jc w:val="center"/>
            </w:pPr>
            <w:r>
              <w:t>Bray et al</w:t>
            </w:r>
            <w:r w:rsidR="001B7952">
              <w:t>. 2018</w:t>
            </w:r>
            <w:r>
              <w:t xml:space="preserve"> [2]</w:t>
            </w:r>
          </w:p>
        </w:tc>
      </w:tr>
      <w:tr w:rsidR="00855FB1" w:rsidTr="008842F8">
        <w:tc>
          <w:tcPr>
            <w:tcW w:w="12950" w:type="dxa"/>
            <w:gridSpan w:val="3"/>
            <w:shd w:val="clear" w:color="auto" w:fill="auto"/>
          </w:tcPr>
          <w:p w:rsidR="00855FB1" w:rsidRDefault="00855FB1" w:rsidP="001B7952">
            <w:pPr>
              <w:jc w:val="center"/>
            </w:pPr>
            <w:r>
              <w:t>Rituximab treatment in Cancer</w:t>
            </w:r>
          </w:p>
        </w:tc>
      </w:tr>
      <w:tr w:rsidR="00855FB1" w:rsidTr="00855FB1">
        <w:tc>
          <w:tcPr>
            <w:tcW w:w="4316" w:type="dxa"/>
            <w:shd w:val="clear" w:color="auto" w:fill="auto"/>
          </w:tcPr>
          <w:p w:rsidR="00855FB1" w:rsidRDefault="001B7952" w:rsidP="00855FB1">
            <w:pPr>
              <w:tabs>
                <w:tab w:val="left" w:pos="840"/>
                <w:tab w:val="left" w:pos="885"/>
                <w:tab w:val="left" w:pos="975"/>
              </w:tabs>
            </w:pPr>
            <w:r>
              <w:t>NHL</w:t>
            </w:r>
          </w:p>
        </w:tc>
        <w:tc>
          <w:tcPr>
            <w:tcW w:w="4317" w:type="dxa"/>
          </w:tcPr>
          <w:p w:rsidR="00855FB1" w:rsidRDefault="001B7952" w:rsidP="001B7952">
            <w:pPr>
              <w:ind w:firstLine="720"/>
              <w:jc w:val="center"/>
              <w:rPr>
                <w:rFonts w:ascii="Cambria" w:hAnsi="Cambria" w:cstheme="majorBidi"/>
              </w:rPr>
            </w:pPr>
            <w:r>
              <w:rPr>
                <w:rFonts w:ascii="Cambria" w:hAnsi="Cambria" w:cstheme="majorBidi"/>
              </w:rPr>
              <w:t>87%</w:t>
            </w:r>
          </w:p>
        </w:tc>
        <w:tc>
          <w:tcPr>
            <w:tcW w:w="4317" w:type="dxa"/>
          </w:tcPr>
          <w:p w:rsidR="00855FB1" w:rsidRDefault="001B7952" w:rsidP="001B7952">
            <w:pPr>
              <w:jc w:val="center"/>
            </w:pPr>
            <w:proofErr w:type="spellStart"/>
            <w:r w:rsidRPr="00BE4845">
              <w:rPr>
                <w:rFonts w:ascii="Cambria" w:hAnsi="Cambria" w:cs="Arial"/>
                <w:color w:val="222222"/>
                <w:shd w:val="clear" w:color="auto" w:fill="FFFFFF"/>
              </w:rPr>
              <w:t>Ekström-Smedby</w:t>
            </w:r>
            <w:proofErr w:type="spellEnd"/>
            <w:r>
              <w:rPr>
                <w:rFonts w:ascii="Cambria" w:hAnsi="Cambria" w:cs="Arial"/>
                <w:color w:val="222222"/>
                <w:shd w:val="clear" w:color="auto" w:fill="FFFFFF"/>
              </w:rPr>
              <w:t xml:space="preserve"> et al. 2006 [3]</w:t>
            </w:r>
          </w:p>
        </w:tc>
      </w:tr>
      <w:tr w:rsidR="001B7952" w:rsidTr="00855FB1">
        <w:tc>
          <w:tcPr>
            <w:tcW w:w="4316" w:type="dxa"/>
            <w:shd w:val="clear" w:color="auto" w:fill="auto"/>
          </w:tcPr>
          <w:p w:rsidR="001B7952" w:rsidRDefault="001B7952" w:rsidP="001B7952">
            <w:pPr>
              <w:tabs>
                <w:tab w:val="left" w:pos="840"/>
                <w:tab w:val="left" w:pos="885"/>
                <w:tab w:val="left" w:pos="975"/>
              </w:tabs>
            </w:pPr>
            <w:r>
              <w:t>CLL</w:t>
            </w:r>
          </w:p>
        </w:tc>
        <w:tc>
          <w:tcPr>
            <w:tcW w:w="4317" w:type="dxa"/>
          </w:tcPr>
          <w:p w:rsidR="001B7952" w:rsidRDefault="001B7952" w:rsidP="001B7952">
            <w:pPr>
              <w:ind w:firstLine="720"/>
              <w:jc w:val="center"/>
              <w:rPr>
                <w:rFonts w:ascii="Cambria" w:hAnsi="Cambria" w:cstheme="majorBidi"/>
              </w:rPr>
            </w:pPr>
            <w:r>
              <w:rPr>
                <w:rFonts w:ascii="Cambria" w:hAnsi="Cambria" w:cstheme="majorBidi"/>
              </w:rPr>
              <w:t>78%</w:t>
            </w:r>
          </w:p>
        </w:tc>
        <w:tc>
          <w:tcPr>
            <w:tcW w:w="4317" w:type="dxa"/>
          </w:tcPr>
          <w:p w:rsidR="001B7952" w:rsidRDefault="001B7952" w:rsidP="001B7952">
            <w:pPr>
              <w:jc w:val="center"/>
            </w:pPr>
            <w:proofErr w:type="spellStart"/>
            <w:r w:rsidRPr="00BE4845">
              <w:rPr>
                <w:rFonts w:ascii="Cambria" w:hAnsi="Cambria" w:cs="Arial"/>
                <w:color w:val="222222"/>
                <w:shd w:val="clear" w:color="auto" w:fill="FFFFFF"/>
              </w:rPr>
              <w:t>Ekström-Smedby</w:t>
            </w:r>
            <w:proofErr w:type="spellEnd"/>
            <w:r>
              <w:rPr>
                <w:rFonts w:ascii="Cambria" w:hAnsi="Cambria" w:cs="Arial"/>
                <w:color w:val="222222"/>
                <w:shd w:val="clear" w:color="auto" w:fill="FFFFFF"/>
              </w:rPr>
              <w:t xml:space="preserve"> et al</w:t>
            </w:r>
            <w:r>
              <w:rPr>
                <w:rFonts w:ascii="Cambria" w:hAnsi="Cambria" w:cs="Arial"/>
                <w:color w:val="222222"/>
                <w:shd w:val="clear" w:color="auto" w:fill="FFFFFF"/>
              </w:rPr>
              <w:t>. 2006</w:t>
            </w:r>
            <w:r>
              <w:rPr>
                <w:rFonts w:ascii="Cambria" w:hAnsi="Cambria" w:cs="Arial"/>
                <w:color w:val="222222"/>
                <w:shd w:val="clear" w:color="auto" w:fill="FFFFFF"/>
              </w:rPr>
              <w:t xml:space="preserve"> [3]</w:t>
            </w:r>
          </w:p>
        </w:tc>
      </w:tr>
      <w:tr w:rsidR="001B7952" w:rsidTr="00855FB1">
        <w:tc>
          <w:tcPr>
            <w:tcW w:w="4316" w:type="dxa"/>
            <w:shd w:val="clear" w:color="auto" w:fill="auto"/>
          </w:tcPr>
          <w:p w:rsidR="001B7952" w:rsidRPr="001B7952" w:rsidRDefault="001B7952" w:rsidP="001B7952">
            <w:pPr>
              <w:tabs>
                <w:tab w:val="left" w:pos="840"/>
                <w:tab w:val="left" w:pos="885"/>
                <w:tab w:val="left" w:pos="975"/>
              </w:tabs>
            </w:pPr>
            <w:r>
              <w:t>Average body surface area (m</w:t>
            </w:r>
            <w:r w:rsidRPr="001B7952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4317" w:type="dxa"/>
          </w:tcPr>
          <w:p w:rsidR="001B7952" w:rsidRDefault="001B7952" w:rsidP="001B7952">
            <w:pPr>
              <w:ind w:firstLine="720"/>
              <w:jc w:val="center"/>
              <w:rPr>
                <w:rFonts w:ascii="Cambria" w:hAnsi="Cambria" w:cstheme="majorBidi"/>
              </w:rPr>
            </w:pPr>
            <w:r>
              <w:rPr>
                <w:rFonts w:ascii="Cambria" w:hAnsi="Cambria" w:cstheme="majorBidi"/>
              </w:rPr>
              <w:t>1.78</w:t>
            </w:r>
          </w:p>
        </w:tc>
        <w:tc>
          <w:tcPr>
            <w:tcW w:w="4317" w:type="dxa"/>
          </w:tcPr>
          <w:p w:rsidR="001B7952" w:rsidRPr="00BE4845" w:rsidRDefault="001B7952" w:rsidP="001B7952">
            <w:pPr>
              <w:jc w:val="center"/>
              <w:rPr>
                <w:rFonts w:ascii="Cambria" w:hAnsi="Cambria" w:cs="Arial"/>
                <w:color w:val="222222"/>
                <w:shd w:val="clear" w:color="auto" w:fill="FFFFFF"/>
              </w:rPr>
            </w:pPr>
            <w:r>
              <w:rPr>
                <w:rFonts w:ascii="Cambria" w:hAnsi="Cambria" w:cs="Arial"/>
                <w:color w:val="222222"/>
                <w:shd w:val="clear" w:color="auto" w:fill="FFFFFF"/>
              </w:rPr>
              <w:t>Sacco 2010 [4]</w:t>
            </w:r>
          </w:p>
        </w:tc>
      </w:tr>
      <w:bookmarkEnd w:id="0"/>
    </w:tbl>
    <w:p w:rsidR="00855FB1" w:rsidRDefault="00855FB1"/>
    <w:p w:rsidR="001B7952" w:rsidRDefault="001B7952">
      <w:r>
        <w:t>REFERENCES:</w:t>
      </w:r>
    </w:p>
    <w:p w:rsidR="001B7952" w:rsidRDefault="001B7952">
      <w:r>
        <w:t xml:space="preserve">1. Roche. Finance report 2019; Available at: </w:t>
      </w:r>
      <w:hyperlink r:id="rId4" w:history="1">
        <w:r>
          <w:rPr>
            <w:rStyle w:val="Hyperlink"/>
          </w:rPr>
          <w:t>https://www.roche.com/dam/jcr:1e6cfce4-2333-4ed6-b98a-f6b62809221d/en/fb19e.pdf</w:t>
        </w:r>
      </w:hyperlink>
      <w:r>
        <w:t>. Accessed January 2020.</w:t>
      </w:r>
    </w:p>
    <w:p w:rsidR="001B7952" w:rsidRDefault="001B7952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t xml:space="preserve">2.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Bray, Freddie, Jacques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Ferlay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Isabelle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Soerjomataram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Rebecca L. Siegel, Lindsey A. Torre, and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Ahmedin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Jemal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"Global cancer statistics 2018: GLOBOCAN estimates of incidence and mortality worldwide for 36 cancers in 185 countries."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CA: a cancer journal for clinicians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 68, no. 6 (2018): 394-424.</w:t>
      </w:r>
    </w:p>
    <w:p w:rsidR="001B7952" w:rsidRPr="00BE4845" w:rsidRDefault="001B7952" w:rsidP="001B7952">
      <w:pPr>
        <w:spacing w:line="480" w:lineRule="auto"/>
        <w:jc w:val="highKashida"/>
        <w:rPr>
          <w:rFonts w:ascii="Cambria" w:hAnsi="Cambria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3. </w:t>
      </w:r>
      <w:proofErr w:type="spellStart"/>
      <w:r w:rsidRPr="00BE4845">
        <w:rPr>
          <w:rFonts w:ascii="Cambria" w:hAnsi="Cambria" w:cs="Arial"/>
          <w:color w:val="222222"/>
          <w:shd w:val="clear" w:color="auto" w:fill="FFFFFF"/>
        </w:rPr>
        <w:t>Ekström-Smedby</w:t>
      </w:r>
      <w:proofErr w:type="spellEnd"/>
      <w:r w:rsidRPr="00BE4845">
        <w:rPr>
          <w:rFonts w:ascii="Cambria" w:hAnsi="Cambria" w:cs="Arial"/>
          <w:color w:val="222222"/>
          <w:shd w:val="clear" w:color="auto" w:fill="FFFFFF"/>
        </w:rPr>
        <w:t>, Karin. "Epidemiology and etiology of non-Hodgkin lymphoma–a review." </w:t>
      </w:r>
      <w:proofErr w:type="spellStart"/>
      <w:r w:rsidRPr="00BE4845">
        <w:rPr>
          <w:rFonts w:ascii="Cambria" w:hAnsi="Cambria" w:cs="Arial"/>
          <w:i/>
          <w:iCs/>
          <w:color w:val="222222"/>
          <w:shd w:val="clear" w:color="auto" w:fill="FFFFFF"/>
        </w:rPr>
        <w:t>Acta</w:t>
      </w:r>
      <w:proofErr w:type="spellEnd"/>
      <w:r w:rsidRPr="00BE4845">
        <w:rPr>
          <w:rFonts w:ascii="Cambria" w:hAnsi="Cambria" w:cs="Arial"/>
          <w:i/>
          <w:iCs/>
          <w:color w:val="222222"/>
          <w:shd w:val="clear" w:color="auto" w:fill="FFFFFF"/>
        </w:rPr>
        <w:t xml:space="preserve"> </w:t>
      </w:r>
      <w:proofErr w:type="spellStart"/>
      <w:r w:rsidRPr="00BE4845">
        <w:rPr>
          <w:rFonts w:ascii="Cambria" w:hAnsi="Cambria" w:cs="Arial"/>
          <w:i/>
          <w:iCs/>
          <w:color w:val="222222"/>
          <w:shd w:val="clear" w:color="auto" w:fill="FFFFFF"/>
        </w:rPr>
        <w:t>oncologica</w:t>
      </w:r>
      <w:proofErr w:type="spellEnd"/>
      <w:r w:rsidRPr="00BE4845">
        <w:rPr>
          <w:rFonts w:ascii="Cambria" w:hAnsi="Cambria" w:cs="Arial"/>
          <w:color w:val="222222"/>
          <w:shd w:val="clear" w:color="auto" w:fill="FFFFFF"/>
        </w:rPr>
        <w:t> 45, no. 3 (2006): 258-271.</w:t>
      </w:r>
    </w:p>
    <w:p w:rsidR="001B7952" w:rsidRPr="001B7952" w:rsidRDefault="001B7952">
      <w:pPr>
        <w:rPr>
          <w:b/>
          <w:bCs/>
        </w:rPr>
      </w:pPr>
      <w:r>
        <w:lastRenderedPageBreak/>
        <w:t xml:space="preserve">4.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Sacco, Joseph J., Joanne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Botten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Fergus Macbeth, Adrian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Bagust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and Peter Clark. "The average body surface area of adult cancer patients in the UK: a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multicentre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retrospective study." </w:t>
      </w:r>
      <w:proofErr w:type="spellStart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PloS</w:t>
      </w:r>
      <w:proofErr w:type="spellEnd"/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one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 5, no. 1 (2010).</w:t>
      </w:r>
    </w:p>
    <w:sectPr w:rsidR="001B7952" w:rsidRPr="001B7952" w:rsidSect="00855FB1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B1"/>
    <w:rsid w:val="001B7952"/>
    <w:rsid w:val="00855FB1"/>
    <w:rsid w:val="00C24C75"/>
    <w:rsid w:val="00CD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A34E"/>
  <w15:chartTrackingRefBased/>
  <w15:docId w15:val="{2428EF1C-AE05-4DFD-99D0-C0273089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5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B79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che.com/dam/jcr:1e6cfce4-2333-4ed6-b98a-f6b62809221d/en/fb19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DR.AMMAR</dc:creator>
  <cp:keywords/>
  <dc:description/>
  <cp:lastModifiedBy>DR.AMMAR</cp:lastModifiedBy>
  <cp:revision>1</cp:revision>
  <dcterms:created xsi:type="dcterms:W3CDTF">2020-04-08T17:50:00Z</dcterms:created>
  <dcterms:modified xsi:type="dcterms:W3CDTF">2020-04-08T18:09:00Z</dcterms:modified>
</cp:coreProperties>
</file>