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9F8E1" w14:textId="616FE0D1" w:rsidR="00B339C0" w:rsidRPr="00FD1D9F" w:rsidRDefault="00B339C0" w:rsidP="00F3472E">
      <w:pPr>
        <w:widowControl/>
        <w:spacing w:line="480" w:lineRule="auto"/>
        <w:rPr>
          <w:rFonts w:ascii="Times New Roman" w:eastAsia="SimSun" w:hAnsi="Times New Roman" w:cs="Times New Roman"/>
          <w:b/>
          <w:bCs/>
          <w:noProof/>
          <w:sz w:val="24"/>
          <w:szCs w:val="24"/>
        </w:rPr>
      </w:pPr>
      <w:r w:rsidRPr="00FD1D9F">
        <w:rPr>
          <w:rFonts w:ascii="Times New Roman" w:eastAsia="SimSun" w:hAnsi="Times New Roman" w:cs="Times New Roman"/>
          <w:b/>
          <w:bCs/>
          <w:noProof/>
          <w:sz w:val="24"/>
          <w:szCs w:val="24"/>
        </w:rPr>
        <w:drawing>
          <wp:inline distT="0" distB="0" distL="0" distR="0" wp14:anchorId="1C108B05" wp14:editId="2A49DC06">
            <wp:extent cx="5274310" cy="307086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070860"/>
                    </a:xfrm>
                    <a:prstGeom prst="rect">
                      <a:avLst/>
                    </a:prstGeom>
                  </pic:spPr>
                </pic:pic>
              </a:graphicData>
            </a:graphic>
          </wp:inline>
        </w:drawing>
      </w:r>
    </w:p>
    <w:p w14:paraId="767C66BB" w14:textId="6E8AAC64" w:rsidR="00F3472E" w:rsidRPr="00FD1D9F" w:rsidRDefault="00F3472E" w:rsidP="00F3472E">
      <w:pPr>
        <w:widowControl/>
        <w:spacing w:line="480" w:lineRule="auto"/>
        <w:rPr>
          <w:rFonts w:ascii="Times New Roman" w:eastAsia="SimSun" w:hAnsi="Times New Roman" w:cs="Times New Roman"/>
          <w:sz w:val="24"/>
          <w:szCs w:val="24"/>
        </w:rPr>
      </w:pPr>
      <w:r w:rsidRPr="00FD1D9F">
        <w:rPr>
          <w:rFonts w:ascii="Times New Roman" w:eastAsia="SimSun" w:hAnsi="Times New Roman" w:cs="Times New Roman" w:hint="eastAsia"/>
          <w:b/>
          <w:bCs/>
          <w:noProof/>
          <w:sz w:val="24"/>
          <w:szCs w:val="24"/>
        </w:rPr>
        <w:t>S</w:t>
      </w:r>
      <w:r w:rsidRPr="00FD1D9F">
        <w:rPr>
          <w:rFonts w:ascii="Times New Roman" w:eastAsia="SimSun" w:hAnsi="Times New Roman" w:cs="Times New Roman"/>
          <w:b/>
          <w:bCs/>
          <w:noProof/>
          <w:sz w:val="24"/>
          <w:szCs w:val="24"/>
        </w:rPr>
        <w:t>upplement Figure 1.</w:t>
      </w:r>
      <w:r w:rsidRPr="00FD1D9F">
        <w:rPr>
          <w:rFonts w:ascii="Times New Roman" w:eastAsia="SimSun" w:hAnsi="Times New Roman" w:cs="Times New Roman"/>
          <w:b/>
          <w:bCs/>
          <w:sz w:val="24"/>
          <w:szCs w:val="24"/>
        </w:rPr>
        <w:t xml:space="preserve"> </w:t>
      </w:r>
      <w:r w:rsidRPr="00FD1D9F">
        <w:rPr>
          <w:rFonts w:ascii="Times New Roman" w:eastAsia="SimSun" w:hAnsi="Times New Roman" w:cs="Times New Roman"/>
          <w:b/>
          <w:sz w:val="24"/>
          <w:szCs w:val="24"/>
        </w:rPr>
        <w:t>SNHG3 knockdown suppressed proliferation, migration and invasion, and induced apoptosis in NSCLC cells.</w:t>
      </w:r>
      <w:r w:rsidRPr="00FD1D9F">
        <w:rPr>
          <w:rFonts w:ascii="Times New Roman" w:eastAsia="SimSun" w:hAnsi="Times New Roman" w:cs="Times New Roman"/>
          <w:sz w:val="24"/>
          <w:szCs w:val="24"/>
        </w:rPr>
        <w:t xml:space="preserve"> A549 and H1299 cells were transfected with si-con or si-SNHG3 #3. (A and B) The proliferation activity of A549 and H1299 cells was evaluated by CCK-8 assay. (C and D) The migration and invasion of A549 and H1299 cells were determined by Transwell assays. (E and F) Cell apoptosis was determined by flow cytometry analysis in A549 and H1299 cells. *</w:t>
      </w:r>
      <w:r w:rsidRPr="00FD1D9F">
        <w:rPr>
          <w:rFonts w:ascii="Times New Roman" w:eastAsia="SimSun" w:hAnsi="Times New Roman" w:cs="Times New Roman"/>
          <w:i/>
          <w:sz w:val="24"/>
          <w:szCs w:val="24"/>
        </w:rPr>
        <w:t>P</w:t>
      </w:r>
      <w:r w:rsidRPr="00FD1D9F">
        <w:rPr>
          <w:rFonts w:ascii="Times New Roman" w:eastAsia="SimSun" w:hAnsi="Times New Roman" w:cs="Times New Roman"/>
          <w:sz w:val="24"/>
          <w:szCs w:val="24"/>
        </w:rPr>
        <w:t xml:space="preserve"> &lt; 0.05.</w:t>
      </w:r>
    </w:p>
    <w:p w14:paraId="59046CD7" w14:textId="69E5F094" w:rsidR="00B339C0" w:rsidRPr="00FD1D9F" w:rsidRDefault="00B339C0" w:rsidP="00F3472E">
      <w:pPr>
        <w:widowControl/>
        <w:spacing w:line="480" w:lineRule="auto"/>
        <w:rPr>
          <w:rFonts w:ascii="Times New Roman" w:eastAsia="SimSun" w:hAnsi="Times New Roman" w:cs="Times New Roman"/>
          <w:sz w:val="24"/>
          <w:szCs w:val="24"/>
        </w:rPr>
      </w:pPr>
      <w:r w:rsidRPr="00FD1D9F">
        <w:rPr>
          <w:rFonts w:ascii="Times New Roman" w:eastAsia="SimSun" w:hAnsi="Times New Roman" w:cs="Times New Roman"/>
          <w:noProof/>
          <w:sz w:val="24"/>
          <w:szCs w:val="24"/>
        </w:rPr>
        <w:drawing>
          <wp:inline distT="0" distB="0" distL="0" distR="0" wp14:anchorId="354B6084" wp14:editId="520768DD">
            <wp:extent cx="5274310" cy="285369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2853690"/>
                    </a:xfrm>
                    <a:prstGeom prst="rect">
                      <a:avLst/>
                    </a:prstGeom>
                  </pic:spPr>
                </pic:pic>
              </a:graphicData>
            </a:graphic>
          </wp:inline>
        </w:drawing>
      </w:r>
    </w:p>
    <w:p w14:paraId="1D7E0B4C" w14:textId="014EB62A" w:rsidR="00F3472E" w:rsidRPr="00FD1D9F" w:rsidRDefault="00F3472E" w:rsidP="00F3472E">
      <w:pPr>
        <w:spacing w:line="480" w:lineRule="auto"/>
        <w:rPr>
          <w:rFonts w:ascii="Times New Roman" w:eastAsia="SimSun" w:hAnsi="Times New Roman" w:cs="Times New Roman"/>
          <w:sz w:val="24"/>
          <w:szCs w:val="24"/>
        </w:rPr>
      </w:pPr>
      <w:r w:rsidRPr="00FD1D9F">
        <w:rPr>
          <w:rFonts w:ascii="Times New Roman" w:eastAsia="SimSun" w:hAnsi="Times New Roman" w:cs="Times New Roman" w:hint="eastAsia"/>
          <w:b/>
          <w:bCs/>
          <w:noProof/>
          <w:sz w:val="24"/>
          <w:szCs w:val="24"/>
        </w:rPr>
        <w:t>S</w:t>
      </w:r>
      <w:r w:rsidRPr="00FD1D9F">
        <w:rPr>
          <w:rFonts w:ascii="Times New Roman" w:eastAsia="SimSun" w:hAnsi="Times New Roman" w:cs="Times New Roman"/>
          <w:b/>
          <w:bCs/>
          <w:noProof/>
          <w:sz w:val="24"/>
          <w:szCs w:val="24"/>
        </w:rPr>
        <w:t xml:space="preserve">upplement Figure 2. </w:t>
      </w:r>
      <w:r w:rsidRPr="00FD1D9F">
        <w:rPr>
          <w:rFonts w:ascii="Times New Roman" w:eastAsia="SimSun" w:hAnsi="Times New Roman" w:cs="Times New Roman"/>
          <w:b/>
          <w:sz w:val="24"/>
          <w:szCs w:val="24"/>
        </w:rPr>
        <w:t xml:space="preserve">miR-216a inhibition promoted proliferation, migration and </w:t>
      </w:r>
      <w:r w:rsidRPr="00FD1D9F">
        <w:rPr>
          <w:rFonts w:ascii="Times New Roman" w:eastAsia="SimSun" w:hAnsi="Times New Roman" w:cs="Times New Roman"/>
          <w:b/>
          <w:sz w:val="24"/>
          <w:szCs w:val="24"/>
        </w:rPr>
        <w:lastRenderedPageBreak/>
        <w:t>invasion and suppressed apoptosis in NSCLC cells.</w:t>
      </w:r>
      <w:r w:rsidRPr="00FD1D9F">
        <w:rPr>
          <w:rFonts w:ascii="Times New Roman" w:eastAsia="SimSun" w:hAnsi="Times New Roman" w:cs="Times New Roman"/>
          <w:sz w:val="24"/>
          <w:szCs w:val="24"/>
        </w:rPr>
        <w:t xml:space="preserve"> </w:t>
      </w:r>
      <w:bookmarkStart w:id="0" w:name="_Hlk48243229"/>
      <w:r w:rsidRPr="00FD1D9F">
        <w:rPr>
          <w:rFonts w:ascii="Times New Roman" w:eastAsia="SimSun" w:hAnsi="Times New Roman" w:cs="Times New Roman"/>
          <w:sz w:val="24"/>
          <w:szCs w:val="24"/>
        </w:rPr>
        <w:t>A549 and H1299 cells</w:t>
      </w:r>
      <w:bookmarkEnd w:id="0"/>
      <w:r w:rsidRPr="00FD1D9F">
        <w:rPr>
          <w:rFonts w:ascii="Times New Roman" w:eastAsia="SimSun" w:hAnsi="Times New Roman" w:cs="Times New Roman"/>
          <w:sz w:val="24"/>
          <w:szCs w:val="24"/>
        </w:rPr>
        <w:t xml:space="preserve"> were </w:t>
      </w:r>
      <w:bookmarkStart w:id="1" w:name="_Hlk48243249"/>
      <w:r w:rsidRPr="00FD1D9F">
        <w:rPr>
          <w:rFonts w:ascii="Times New Roman" w:eastAsia="SimSun" w:hAnsi="Times New Roman" w:cs="Times New Roman"/>
          <w:sz w:val="24"/>
          <w:szCs w:val="24"/>
        </w:rPr>
        <w:t>transfected with anti-miR-con or anti-miR-216a</w:t>
      </w:r>
      <w:bookmarkEnd w:id="1"/>
      <w:r w:rsidRPr="00FD1D9F">
        <w:rPr>
          <w:rFonts w:ascii="Times New Roman" w:eastAsia="SimSun" w:hAnsi="Times New Roman" w:cs="Times New Roman"/>
          <w:sz w:val="24"/>
          <w:szCs w:val="24"/>
        </w:rPr>
        <w:t>, followed by determination of miR-216a expression by qRT-PCR analysis (A), cell viability by CCK-8 assay (B and C), migration and invasion by Transwell migration and invasion assays (D and E), and cell apoptosis by flow cytometry analysis (F and G). *</w:t>
      </w:r>
      <w:r w:rsidRPr="00FD1D9F">
        <w:rPr>
          <w:rFonts w:ascii="Times New Roman" w:eastAsia="SimSun" w:hAnsi="Times New Roman" w:cs="Times New Roman"/>
          <w:i/>
          <w:sz w:val="24"/>
          <w:szCs w:val="24"/>
        </w:rPr>
        <w:t>P</w:t>
      </w:r>
      <w:r w:rsidRPr="00FD1D9F">
        <w:rPr>
          <w:rFonts w:ascii="Times New Roman" w:eastAsia="SimSun" w:hAnsi="Times New Roman" w:cs="Times New Roman"/>
          <w:sz w:val="24"/>
          <w:szCs w:val="24"/>
        </w:rPr>
        <w:t xml:space="preserve"> &lt; 0.05.</w:t>
      </w:r>
    </w:p>
    <w:p w14:paraId="43AF0E7F" w14:textId="068A5CBA" w:rsidR="00B339C0" w:rsidRPr="00FD1D9F" w:rsidRDefault="00B339C0" w:rsidP="00B339C0">
      <w:pPr>
        <w:spacing w:line="480" w:lineRule="auto"/>
        <w:jc w:val="center"/>
        <w:rPr>
          <w:rFonts w:ascii="Times New Roman" w:eastAsia="SimSun" w:hAnsi="Times New Roman" w:cs="Times New Roman"/>
          <w:sz w:val="24"/>
          <w:szCs w:val="24"/>
        </w:rPr>
      </w:pPr>
      <w:r w:rsidRPr="00FD1D9F">
        <w:rPr>
          <w:rFonts w:ascii="Times New Roman" w:eastAsia="SimSun" w:hAnsi="Times New Roman" w:cs="Times New Roman"/>
          <w:noProof/>
          <w:sz w:val="24"/>
          <w:szCs w:val="24"/>
        </w:rPr>
        <w:drawing>
          <wp:inline distT="0" distB="0" distL="0" distR="0" wp14:anchorId="0513F0F7" wp14:editId="69ABB0B6">
            <wp:extent cx="4312920" cy="2359152"/>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2920" cy="2359152"/>
                    </a:xfrm>
                    <a:prstGeom prst="rect">
                      <a:avLst/>
                    </a:prstGeom>
                  </pic:spPr>
                </pic:pic>
              </a:graphicData>
            </a:graphic>
          </wp:inline>
        </w:drawing>
      </w:r>
    </w:p>
    <w:p w14:paraId="078423BA" w14:textId="77777777" w:rsidR="00F3472E" w:rsidRPr="00FD1D9F" w:rsidRDefault="00F3472E" w:rsidP="00F3472E">
      <w:pPr>
        <w:widowControl/>
        <w:spacing w:line="480" w:lineRule="auto"/>
        <w:jc w:val="left"/>
        <w:rPr>
          <w:rFonts w:ascii="Times New Roman" w:eastAsia="SimSun" w:hAnsi="Times New Roman" w:cs="Times New Roman"/>
          <w:sz w:val="24"/>
          <w:szCs w:val="24"/>
        </w:rPr>
      </w:pPr>
      <w:r w:rsidRPr="00FD1D9F">
        <w:rPr>
          <w:rFonts w:ascii="Times New Roman" w:eastAsia="SimSun" w:hAnsi="Times New Roman" w:cs="Times New Roman" w:hint="eastAsia"/>
          <w:b/>
          <w:bCs/>
          <w:sz w:val="24"/>
          <w:szCs w:val="24"/>
        </w:rPr>
        <w:t>S</w:t>
      </w:r>
      <w:r w:rsidRPr="00FD1D9F">
        <w:rPr>
          <w:rFonts w:ascii="Times New Roman" w:eastAsia="SimSun" w:hAnsi="Times New Roman" w:cs="Times New Roman"/>
          <w:b/>
          <w:bCs/>
          <w:sz w:val="24"/>
          <w:szCs w:val="24"/>
        </w:rPr>
        <w:t>upplement Figure 3. miR-216a inhibition increased ZEB1 expression in NSCLC cells.</w:t>
      </w:r>
      <w:r w:rsidRPr="00FD1D9F">
        <w:rPr>
          <w:rFonts w:ascii="Times New Roman" w:eastAsia="SimSun" w:hAnsi="Times New Roman" w:cs="Times New Roman"/>
          <w:sz w:val="24"/>
          <w:szCs w:val="24"/>
        </w:rPr>
        <w:t xml:space="preserve"> (A and B) The expression of ZEB1 in A549 and H1299 cells transfected with anti-miR-con or anti-miR-216a.</w:t>
      </w:r>
    </w:p>
    <w:p w14:paraId="67A1BAFE" w14:textId="77777777" w:rsidR="00A641DA" w:rsidRPr="00FD1D9F" w:rsidRDefault="00A641DA"/>
    <w:sectPr w:rsidR="00A641DA" w:rsidRPr="00FD1D9F">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53416" w14:textId="77777777" w:rsidR="00AF6C67" w:rsidRDefault="00AF6C67">
      <w:r>
        <w:separator/>
      </w:r>
    </w:p>
  </w:endnote>
  <w:endnote w:type="continuationSeparator" w:id="0">
    <w:p w14:paraId="0FDB4FB5" w14:textId="77777777" w:rsidR="00AF6C67" w:rsidRDefault="00AF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5DF02" w14:textId="77777777" w:rsidR="006049B9" w:rsidRDefault="00B339C0">
    <w:pPr>
      <w:pStyle w:val="Footer"/>
      <w:jc w:val="center"/>
    </w:pPr>
    <w:r>
      <w:fldChar w:fldCharType="begin"/>
    </w:r>
    <w:r>
      <w:instrText xml:space="preserve"> PAGE   \* MERGEFORMAT </w:instrText>
    </w:r>
    <w:r>
      <w:fldChar w:fldCharType="separate"/>
    </w:r>
    <w:r>
      <w:rPr>
        <w:lang w:val="zh-CN"/>
      </w:rPr>
      <w:t>20</w:t>
    </w:r>
    <w:r>
      <w:fldChar w:fldCharType="end"/>
    </w:r>
  </w:p>
  <w:p w14:paraId="7C292DAF" w14:textId="77777777" w:rsidR="006049B9" w:rsidRDefault="00AF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2B4CF" w14:textId="77777777" w:rsidR="00AF6C67" w:rsidRDefault="00AF6C67">
      <w:r>
        <w:separator/>
      </w:r>
    </w:p>
  </w:footnote>
  <w:footnote w:type="continuationSeparator" w:id="0">
    <w:p w14:paraId="6625787C" w14:textId="77777777" w:rsidR="00AF6C67" w:rsidRDefault="00AF6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B4420" w14:textId="77777777" w:rsidR="006049B9" w:rsidRDefault="00AF6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08"/>
    <w:rsid w:val="008F1708"/>
    <w:rsid w:val="00A641DA"/>
    <w:rsid w:val="00AF6C67"/>
    <w:rsid w:val="00B339C0"/>
    <w:rsid w:val="00F3472E"/>
    <w:rsid w:val="00FD1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17FE"/>
  <w15:chartTrackingRefBased/>
  <w15:docId w15:val="{86B82474-D64E-410F-BE0F-809A6EFC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F3472E"/>
    <w:pPr>
      <w:tabs>
        <w:tab w:val="center" w:pos="4153"/>
        <w:tab w:val="right" w:pos="8306"/>
      </w:tabs>
      <w:snapToGrid w:val="0"/>
      <w:jc w:val="left"/>
    </w:pPr>
    <w:rPr>
      <w:rFonts w:ascii="DengXian" w:eastAsia="DengXian" w:hAnsi="DengXian" w:cs="Times New Roman"/>
      <w:sz w:val="18"/>
      <w:szCs w:val="18"/>
    </w:rPr>
  </w:style>
  <w:style w:type="character" w:customStyle="1" w:styleId="FooterChar">
    <w:name w:val="Footer Char"/>
    <w:basedOn w:val="DefaultParagraphFont"/>
    <w:link w:val="Footer"/>
    <w:uiPriority w:val="99"/>
    <w:rsid w:val="00F3472E"/>
    <w:rPr>
      <w:rFonts w:ascii="DengXian" w:eastAsia="DengXian" w:hAnsi="DengXian" w:cs="Times New Roman"/>
      <w:sz w:val="18"/>
      <w:szCs w:val="18"/>
    </w:rPr>
  </w:style>
  <w:style w:type="paragraph" w:styleId="Header">
    <w:name w:val="header"/>
    <w:basedOn w:val="Normal"/>
    <w:link w:val="HeaderChar"/>
    <w:uiPriority w:val="99"/>
    <w:qFormat/>
    <w:rsid w:val="00F3472E"/>
    <w:pPr>
      <w:pBdr>
        <w:bottom w:val="single" w:sz="6" w:space="1" w:color="auto"/>
      </w:pBdr>
      <w:tabs>
        <w:tab w:val="center" w:pos="4153"/>
        <w:tab w:val="right" w:pos="8306"/>
      </w:tabs>
      <w:snapToGrid w:val="0"/>
      <w:jc w:val="center"/>
    </w:pPr>
    <w:rPr>
      <w:rFonts w:ascii="DengXian" w:eastAsia="DengXian" w:hAnsi="DengXian" w:cs="Times New Roman"/>
      <w:sz w:val="18"/>
      <w:szCs w:val="18"/>
    </w:rPr>
  </w:style>
  <w:style w:type="character" w:customStyle="1" w:styleId="HeaderChar">
    <w:name w:val="Header Char"/>
    <w:basedOn w:val="DefaultParagraphFont"/>
    <w:link w:val="Header"/>
    <w:uiPriority w:val="99"/>
    <w:qFormat/>
    <w:rsid w:val="00F3472E"/>
    <w:rPr>
      <w:rFonts w:ascii="DengXian" w:eastAsia="DengXian" w:hAnsi="DengXi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yyzhang</dc:creator>
  <cp:keywords/>
  <dc:description/>
  <cp:lastModifiedBy>Claudia Bartle</cp:lastModifiedBy>
  <cp:revision>4</cp:revision>
  <dcterms:created xsi:type="dcterms:W3CDTF">2020-08-17T04:00:00Z</dcterms:created>
  <dcterms:modified xsi:type="dcterms:W3CDTF">2020-08-17T20:29:00Z</dcterms:modified>
</cp:coreProperties>
</file>