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F4EAA" w14:textId="77777777" w:rsidR="00CD1A19" w:rsidRDefault="00CD1A19" w:rsidP="00CD1A19">
      <w:pPr>
        <w:pStyle w:val="a5"/>
        <w:rPr>
          <w:rFonts w:ascii="Times New Roman" w:hAnsi="Times New Roman"/>
          <w:b/>
          <w:bCs/>
        </w:rPr>
      </w:pPr>
      <w:r w:rsidRPr="00070471">
        <w:rPr>
          <w:rFonts w:ascii="Times New Roman" w:hAnsi="Times New Roman"/>
          <w:b/>
          <w:bCs/>
        </w:rPr>
        <w:t>Serum miR-503 is a candidate biomarker for differentiating metabolic healthy obesity from metabolic unhealthy obesity</w:t>
      </w:r>
    </w:p>
    <w:p w14:paraId="4C99C2FF" w14:textId="77777777" w:rsidR="00CD1A19" w:rsidRDefault="00CD1A19" w:rsidP="00CD1A19">
      <w:pPr>
        <w:pStyle w:val="a5"/>
        <w:rPr>
          <w:rFonts w:ascii="Times New Roman" w:hAnsi="Times New Roman"/>
          <w:b/>
          <w:bCs/>
        </w:rPr>
      </w:pPr>
    </w:p>
    <w:p w14:paraId="41DA9890" w14:textId="77777777" w:rsidR="00CD1A19" w:rsidRDefault="00CD1A19" w:rsidP="00CD1A19">
      <w:pPr>
        <w:pStyle w:val="a5"/>
        <w:rPr>
          <w:rFonts w:ascii="Times New Roman" w:eastAsia="MS Mincho" w:hAnsi="Times New Roman"/>
          <w:bCs/>
          <w:sz w:val="20"/>
          <w:szCs w:val="20"/>
          <w:vertAlign w:val="superscript"/>
        </w:rPr>
      </w:pPr>
      <w:r w:rsidRPr="005D3AA9">
        <w:rPr>
          <w:rFonts w:ascii="Times New Roman" w:eastAsia="MS Mincho" w:hAnsi="Times New Roman"/>
          <w:bCs/>
          <w:sz w:val="20"/>
          <w:szCs w:val="20"/>
        </w:rPr>
        <w:t>Hai-QingYue</w:t>
      </w:r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5D3AA9">
        <w:rPr>
          <w:rFonts w:ascii="Times New Roman" w:eastAsia="MS Mincho" w:hAnsi="Times New Roman"/>
          <w:bCs/>
          <w:sz w:val="20"/>
          <w:szCs w:val="20"/>
        </w:rPr>
        <w:t>, Ying-Hui Zhou</w:t>
      </w:r>
      <w:r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5D3AA9">
        <w:rPr>
          <w:rFonts w:ascii="Times New Roman" w:eastAsia="MS Mincho" w:hAnsi="Times New Roman"/>
          <w:bCs/>
          <w:sz w:val="20"/>
          <w:szCs w:val="20"/>
        </w:rPr>
        <w:t>, Yue Guo</w:t>
      </w:r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proofErr w:type="gramStart"/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,2</w:t>
      </w:r>
      <w:proofErr w:type="gramEnd"/>
      <w:r w:rsidRPr="005D3AA9">
        <w:rPr>
          <w:rFonts w:ascii="Times New Roman" w:eastAsia="MS Mincho" w:hAnsi="Times New Roman"/>
          <w:bCs/>
          <w:sz w:val="20"/>
          <w:szCs w:val="20"/>
        </w:rPr>
        <w:t>,</w:t>
      </w:r>
      <w:r>
        <w:rPr>
          <w:rFonts w:ascii="Times New Roman" w:eastAsia="MS Mincho" w:hAnsi="Times New Roman"/>
          <w:bCs/>
          <w:sz w:val="20"/>
          <w:szCs w:val="20"/>
        </w:rPr>
        <w:t xml:space="preserve"> </w:t>
      </w:r>
      <w:r w:rsidRPr="005D3AA9">
        <w:rPr>
          <w:rFonts w:ascii="Times New Roman" w:eastAsia="MS Mincho" w:hAnsi="Times New Roman"/>
          <w:bCs/>
          <w:sz w:val="20"/>
          <w:szCs w:val="20"/>
        </w:rPr>
        <w:t>Y</w:t>
      </w:r>
      <w:r w:rsidRPr="005D3AA9">
        <w:rPr>
          <w:rFonts w:ascii="Times New Roman" w:eastAsia="等线" w:hAnsi="Times New Roman"/>
          <w:bCs/>
          <w:sz w:val="20"/>
          <w:szCs w:val="20"/>
          <w:lang w:eastAsia="zh-CN"/>
        </w:rPr>
        <w:t>i</w:t>
      </w:r>
      <w:r w:rsidRPr="005D3AA9">
        <w:rPr>
          <w:rFonts w:ascii="Times New Roman" w:eastAsia="MS Mincho" w:hAnsi="Times New Roman"/>
          <w:bCs/>
          <w:sz w:val="20"/>
          <w:szCs w:val="20"/>
        </w:rPr>
        <w:t>-Chen Tang</w:t>
      </w:r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5D3AA9">
        <w:rPr>
          <w:rFonts w:ascii="Times New Roman" w:eastAsia="MS Mincho" w:hAnsi="Times New Roman"/>
          <w:bCs/>
          <w:sz w:val="20"/>
          <w:szCs w:val="20"/>
        </w:rPr>
        <w:t>, Fang Wang</w:t>
      </w:r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5D3AA9">
        <w:rPr>
          <w:rFonts w:ascii="Times New Roman" w:eastAsia="MS Mincho" w:hAnsi="Times New Roman"/>
          <w:bCs/>
          <w:sz w:val="20"/>
          <w:szCs w:val="20"/>
        </w:rPr>
        <w:t xml:space="preserve">, </w:t>
      </w:r>
      <w:proofErr w:type="spellStart"/>
      <w:r w:rsidRPr="005D3AA9">
        <w:rPr>
          <w:rFonts w:ascii="Times New Roman" w:eastAsia="MS Mincho" w:hAnsi="Times New Roman"/>
          <w:bCs/>
          <w:sz w:val="20"/>
          <w:szCs w:val="20"/>
        </w:rPr>
        <w:t>Hou</w:t>
      </w:r>
      <w:proofErr w:type="spellEnd"/>
      <w:r w:rsidRPr="005D3AA9">
        <w:rPr>
          <w:rFonts w:ascii="Times New Roman" w:eastAsia="MS Mincho" w:hAnsi="Times New Roman"/>
          <w:bCs/>
          <w:sz w:val="20"/>
          <w:szCs w:val="20"/>
        </w:rPr>
        <w:t>-De Zhou</w:t>
      </w:r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1*</w:t>
      </w:r>
    </w:p>
    <w:p w14:paraId="7A1BA3AD" w14:textId="77777777" w:rsidR="00CD1A19" w:rsidRDefault="00CD1A19" w:rsidP="00CD1A19">
      <w:pPr>
        <w:pStyle w:val="a5"/>
        <w:rPr>
          <w:rFonts w:ascii="Times New Roman" w:hAnsi="Times New Roman"/>
          <w:b/>
          <w:bCs/>
        </w:rPr>
      </w:pPr>
    </w:p>
    <w:p w14:paraId="11631C1C" w14:textId="77777777" w:rsidR="00CD1A19" w:rsidRPr="00BF6191" w:rsidRDefault="00CD1A19" w:rsidP="00CD1A19">
      <w:pPr>
        <w:spacing w:line="360" w:lineRule="auto"/>
        <w:rPr>
          <w:rFonts w:ascii="Times New Roman" w:hAnsi="Times New Roman"/>
          <w:sz w:val="20"/>
          <w:szCs w:val="20"/>
        </w:rPr>
      </w:pPr>
      <w:r w:rsidRPr="00BF6191">
        <w:rPr>
          <w:rFonts w:ascii="Times New Roman" w:hAnsi="Times New Roman"/>
          <w:sz w:val="20"/>
          <w:szCs w:val="20"/>
          <w:vertAlign w:val="superscript"/>
        </w:rPr>
        <w:t>1</w:t>
      </w:r>
      <w:r w:rsidRPr="00BF6191">
        <w:rPr>
          <w:rFonts w:ascii="Times New Roman" w:hAnsi="Times New Roman"/>
          <w:sz w:val="20"/>
          <w:szCs w:val="20"/>
        </w:rPr>
        <w:t xml:space="preserve">National Clinical Research Center for Metabolic Diseases, Hunan Provincial Key Laboratory for Metabolic Bone Diseases, and Department of Metabolism and Endocrinology, </w:t>
      </w:r>
      <w:proofErr w:type="gramStart"/>
      <w:r w:rsidRPr="00BF6191">
        <w:rPr>
          <w:rFonts w:ascii="Times New Roman" w:hAnsi="Times New Roman"/>
          <w:sz w:val="20"/>
          <w:szCs w:val="20"/>
        </w:rPr>
        <w:t>The</w:t>
      </w:r>
      <w:proofErr w:type="gramEnd"/>
      <w:r w:rsidRPr="00BF6191">
        <w:rPr>
          <w:rFonts w:ascii="Times New Roman" w:hAnsi="Times New Roman"/>
          <w:sz w:val="20"/>
          <w:szCs w:val="20"/>
        </w:rPr>
        <w:t xml:space="preserve"> Second </w:t>
      </w:r>
      <w:proofErr w:type="spellStart"/>
      <w:r w:rsidRPr="00BF6191">
        <w:rPr>
          <w:rFonts w:ascii="Times New Roman" w:hAnsi="Times New Roman"/>
          <w:sz w:val="20"/>
          <w:szCs w:val="20"/>
        </w:rPr>
        <w:t>Xiangya</w:t>
      </w:r>
      <w:proofErr w:type="spellEnd"/>
      <w:r w:rsidRPr="00BF6191">
        <w:rPr>
          <w:rFonts w:ascii="Times New Roman" w:hAnsi="Times New Roman"/>
          <w:sz w:val="20"/>
          <w:szCs w:val="20"/>
        </w:rPr>
        <w:t xml:space="preserve"> Hospital of Central South University, Changsha 410011, Hunan, China. </w:t>
      </w:r>
    </w:p>
    <w:p w14:paraId="223A262E" w14:textId="77777777" w:rsidR="00CD1A19" w:rsidRDefault="00CD1A19" w:rsidP="00CD1A19">
      <w:pPr>
        <w:spacing w:line="360" w:lineRule="auto"/>
        <w:rPr>
          <w:rFonts w:ascii="Times New Roman" w:eastAsia="MS Mincho" w:hAnsi="Times New Roman"/>
          <w:bCs/>
          <w:sz w:val="20"/>
          <w:szCs w:val="20"/>
        </w:rPr>
      </w:pPr>
      <w:r w:rsidRPr="00BF6191">
        <w:rPr>
          <w:rFonts w:ascii="Times New Roman" w:hAnsi="Times New Roman"/>
          <w:sz w:val="20"/>
          <w:szCs w:val="20"/>
          <w:vertAlign w:val="superscript"/>
        </w:rPr>
        <w:t>2</w:t>
      </w:r>
      <w:r w:rsidRPr="00BF6191">
        <w:rPr>
          <w:rFonts w:ascii="Times New Roman" w:hAnsi="Times New Roman"/>
          <w:sz w:val="20"/>
          <w:szCs w:val="20"/>
        </w:rPr>
        <w:t xml:space="preserve">Department of Stomatology, the Second </w:t>
      </w:r>
      <w:proofErr w:type="spellStart"/>
      <w:r w:rsidRPr="00BF6191">
        <w:rPr>
          <w:rFonts w:ascii="Times New Roman" w:hAnsi="Times New Roman"/>
          <w:sz w:val="20"/>
          <w:szCs w:val="20"/>
        </w:rPr>
        <w:t>Xiangya</w:t>
      </w:r>
      <w:proofErr w:type="spellEnd"/>
      <w:r w:rsidRPr="00BF6191">
        <w:rPr>
          <w:rFonts w:ascii="Times New Roman" w:hAnsi="Times New Roman"/>
          <w:sz w:val="20"/>
          <w:szCs w:val="20"/>
        </w:rPr>
        <w:t xml:space="preserve"> Hospital, Central South University, Changsha, </w:t>
      </w:r>
      <w:r w:rsidRPr="005D3AA9">
        <w:rPr>
          <w:rFonts w:ascii="Times New Roman" w:eastAsia="MS Mincho" w:hAnsi="Times New Roman"/>
          <w:bCs/>
          <w:sz w:val="20"/>
          <w:szCs w:val="20"/>
        </w:rPr>
        <w:t>Hunan, China.</w:t>
      </w:r>
    </w:p>
    <w:p w14:paraId="61FCC314" w14:textId="77777777" w:rsidR="00CD1A19" w:rsidRDefault="00CD1A19" w:rsidP="00C3067A">
      <w:pPr>
        <w:widowControl/>
        <w:spacing w:line="360" w:lineRule="auto"/>
        <w:rPr>
          <w:rFonts w:ascii="Times New Roman" w:eastAsia="宋体" w:hAnsi="Times New Roman" w:cs="Calibri"/>
          <w:noProof/>
          <w:sz w:val="20"/>
          <w:szCs w:val="20"/>
          <w:lang w:eastAsia="en-US"/>
        </w:rPr>
      </w:pPr>
    </w:p>
    <w:p w14:paraId="04AB4C41" w14:textId="77777777" w:rsidR="00CD1A19" w:rsidRDefault="00CD1A19" w:rsidP="00CD1A19">
      <w:pPr>
        <w:widowControl/>
        <w:spacing w:line="360" w:lineRule="auto"/>
        <w:rPr>
          <w:rFonts w:ascii="Times New Roman" w:eastAsia="MS Mincho" w:hAnsi="Times New Roman"/>
          <w:bCs/>
          <w:sz w:val="20"/>
          <w:szCs w:val="20"/>
        </w:rPr>
      </w:pPr>
      <w:r w:rsidRPr="00BF6191">
        <w:rPr>
          <w:rFonts w:ascii="Times New Roman" w:hAnsi="Times New Roman"/>
          <w:b/>
          <w:bCs/>
          <w:sz w:val="20"/>
          <w:szCs w:val="20"/>
        </w:rPr>
        <w:t>Contact information: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D3AA9">
        <w:rPr>
          <w:rFonts w:ascii="Times New Roman" w:eastAsia="MS Mincho" w:hAnsi="Times New Roman"/>
          <w:bCs/>
          <w:sz w:val="20"/>
          <w:szCs w:val="20"/>
          <w:vertAlign w:val="superscript"/>
        </w:rPr>
        <w:t>*</w:t>
      </w:r>
      <w:r w:rsidRPr="005D3AA9">
        <w:rPr>
          <w:rFonts w:ascii="Times New Roman" w:eastAsia="MS Mincho" w:hAnsi="Times New Roman"/>
          <w:bCs/>
          <w:sz w:val="20"/>
          <w:szCs w:val="20"/>
        </w:rPr>
        <w:t xml:space="preserve">Correspondence: </w:t>
      </w:r>
      <w:hyperlink r:id="rId6" w:history="1">
        <w:r w:rsidRPr="005D3AA9">
          <w:rPr>
            <w:rFonts w:ascii="Times New Roman" w:eastAsia="MS Mincho" w:hAnsi="Times New Roman"/>
            <w:color w:val="0000FF"/>
            <w:sz w:val="20"/>
            <w:szCs w:val="20"/>
            <w:u w:val="single"/>
          </w:rPr>
          <w:t>houdezhou@csu.edu.cn</w:t>
        </w:r>
      </w:hyperlink>
      <w:r>
        <w:rPr>
          <w:rFonts w:ascii="Times New Roman" w:eastAsia="MS Mincho" w:hAnsi="Times New Roman"/>
          <w:color w:val="0000FF"/>
          <w:sz w:val="20"/>
          <w:szCs w:val="20"/>
          <w:u w:val="single"/>
        </w:rPr>
        <w:t xml:space="preserve">, </w:t>
      </w:r>
      <w:r w:rsidRPr="00AA0AD9">
        <w:rPr>
          <w:rFonts w:ascii="Times New Roman" w:eastAsia="微软雅黑" w:hAnsi="Times New Roman"/>
          <w:sz w:val="20"/>
          <w:szCs w:val="20"/>
        </w:rPr>
        <w:t xml:space="preserve">National Clinical Research Center for Metabolic Diseases, </w:t>
      </w:r>
      <w:r w:rsidRPr="005D3AA9">
        <w:rPr>
          <w:rFonts w:ascii="Times New Roman" w:eastAsia="MS Mincho" w:hAnsi="Times New Roman"/>
          <w:bCs/>
          <w:sz w:val="20"/>
          <w:szCs w:val="20"/>
        </w:rPr>
        <w:t>Hu</w:t>
      </w:r>
      <w:r>
        <w:rPr>
          <w:rFonts w:ascii="Times New Roman" w:eastAsia="MS Mincho" w:hAnsi="Times New Roman"/>
          <w:bCs/>
          <w:sz w:val="20"/>
          <w:szCs w:val="20"/>
        </w:rPr>
        <w:t>nan Provincial Key Laboratory for</w:t>
      </w:r>
      <w:r w:rsidRPr="005D3AA9">
        <w:rPr>
          <w:rFonts w:ascii="Times New Roman" w:eastAsia="MS Mincho" w:hAnsi="Times New Roman"/>
          <w:bCs/>
          <w:sz w:val="20"/>
          <w:szCs w:val="20"/>
        </w:rPr>
        <w:t xml:space="preserve"> Metabolic Bone Diseases</w:t>
      </w:r>
      <w:r w:rsidRPr="005D3AA9">
        <w:rPr>
          <w:rFonts w:ascii="Times New Roman" w:hAnsi="Times New Roman"/>
          <w:bCs/>
          <w:sz w:val="20"/>
          <w:szCs w:val="20"/>
        </w:rPr>
        <w:t>,</w:t>
      </w:r>
      <w:r w:rsidRPr="00AA0AD9">
        <w:rPr>
          <w:rFonts w:ascii="Times New Roman" w:eastAsia="微软雅黑" w:hAnsi="Times New Roman"/>
          <w:sz w:val="20"/>
          <w:szCs w:val="20"/>
        </w:rPr>
        <w:t xml:space="preserve"> and Department of Metabolism and Endocrinology, The Second </w:t>
      </w:r>
      <w:proofErr w:type="spellStart"/>
      <w:r w:rsidRPr="00AA0AD9">
        <w:rPr>
          <w:rFonts w:ascii="Times New Roman" w:eastAsia="微软雅黑" w:hAnsi="Times New Roman"/>
          <w:sz w:val="20"/>
          <w:szCs w:val="20"/>
        </w:rPr>
        <w:t>Xiangya</w:t>
      </w:r>
      <w:proofErr w:type="spellEnd"/>
      <w:r w:rsidRPr="00AA0AD9">
        <w:rPr>
          <w:rFonts w:ascii="Times New Roman" w:eastAsia="微软雅黑" w:hAnsi="Times New Roman"/>
          <w:sz w:val="20"/>
          <w:szCs w:val="20"/>
        </w:rPr>
        <w:t xml:space="preserve"> Hospital of Central South University, Changsha 410011, Hunan, China.</w:t>
      </w:r>
      <w:r>
        <w:rPr>
          <w:rFonts w:ascii="Times New Roman" w:eastAsia="微软雅黑" w:hAnsi="Times New Roman"/>
          <w:sz w:val="20"/>
          <w:szCs w:val="20"/>
        </w:rPr>
        <w:t xml:space="preserve"> </w:t>
      </w:r>
      <w:r w:rsidRPr="005D3AA9">
        <w:rPr>
          <w:rFonts w:ascii="Times New Roman" w:eastAsia="MS Mincho" w:hAnsi="Times New Roman"/>
          <w:bCs/>
          <w:sz w:val="20"/>
          <w:szCs w:val="20"/>
        </w:rPr>
        <w:t>Phone: +86-0731-85292</w:t>
      </w:r>
      <w:r>
        <w:rPr>
          <w:rFonts w:ascii="Times New Roman" w:eastAsia="MS Mincho" w:hAnsi="Times New Roman"/>
          <w:bCs/>
          <w:sz w:val="20"/>
          <w:szCs w:val="20"/>
        </w:rPr>
        <w:t xml:space="preserve">223; </w:t>
      </w:r>
      <w:r w:rsidRPr="005D3AA9">
        <w:rPr>
          <w:rFonts w:ascii="Times New Roman" w:eastAsia="MS Mincho" w:hAnsi="Times New Roman"/>
          <w:bCs/>
          <w:sz w:val="20"/>
          <w:szCs w:val="20"/>
        </w:rPr>
        <w:t>Fax: +86-0731-8</w:t>
      </w:r>
      <w:r>
        <w:rPr>
          <w:rFonts w:ascii="Times New Roman" w:eastAsia="MS Mincho" w:hAnsi="Times New Roman"/>
          <w:bCs/>
          <w:sz w:val="20"/>
          <w:szCs w:val="20"/>
        </w:rPr>
        <w:t>5533525</w:t>
      </w:r>
    </w:p>
    <w:p w14:paraId="38D4CA7B" w14:textId="77777777" w:rsidR="00CD1A19" w:rsidRDefault="00CD1A19" w:rsidP="00C3067A">
      <w:pPr>
        <w:widowControl/>
        <w:spacing w:line="360" w:lineRule="auto"/>
        <w:rPr>
          <w:rFonts w:ascii="Times New Roman" w:eastAsia="宋体" w:hAnsi="Times New Roman" w:cs="Calibri"/>
          <w:noProof/>
          <w:sz w:val="20"/>
          <w:szCs w:val="20"/>
          <w:lang w:eastAsia="en-US"/>
        </w:rPr>
      </w:pPr>
    </w:p>
    <w:p w14:paraId="56689FF5" w14:textId="77777777" w:rsidR="00CD1A19" w:rsidRDefault="00CD1A19" w:rsidP="00C3067A">
      <w:pPr>
        <w:widowControl/>
        <w:spacing w:line="360" w:lineRule="auto"/>
        <w:rPr>
          <w:rFonts w:ascii="Times New Roman" w:eastAsia="宋体" w:hAnsi="Times New Roman" w:cs="Calibri"/>
          <w:noProof/>
          <w:sz w:val="20"/>
          <w:szCs w:val="20"/>
          <w:lang w:eastAsia="en-US"/>
        </w:rPr>
      </w:pPr>
    </w:p>
    <w:p w14:paraId="3BC8B98E" w14:textId="77777777" w:rsidR="00CD1A19" w:rsidRDefault="00CD1A19" w:rsidP="00C3067A">
      <w:pPr>
        <w:widowControl/>
        <w:spacing w:line="360" w:lineRule="auto"/>
        <w:rPr>
          <w:rFonts w:ascii="Times New Roman" w:eastAsia="宋体" w:hAnsi="Times New Roman" w:cs="Calibri"/>
          <w:noProof/>
          <w:sz w:val="20"/>
          <w:szCs w:val="20"/>
          <w:lang w:eastAsia="en-US"/>
        </w:rPr>
      </w:pPr>
    </w:p>
    <w:p w14:paraId="1E83463E" w14:textId="77777777" w:rsidR="00CD1A19" w:rsidRDefault="00CD1A19" w:rsidP="00C3067A">
      <w:pPr>
        <w:widowControl/>
        <w:spacing w:line="360" w:lineRule="auto"/>
        <w:rPr>
          <w:rFonts w:ascii="Times New Roman" w:eastAsia="宋体" w:hAnsi="Times New Roman" w:cs="Calibri"/>
          <w:noProof/>
          <w:sz w:val="20"/>
          <w:szCs w:val="20"/>
          <w:lang w:eastAsia="en-US"/>
        </w:rPr>
      </w:pPr>
    </w:p>
    <w:p w14:paraId="2D2A8135" w14:textId="77777777" w:rsidR="00CD1A19" w:rsidRDefault="00CD1A19" w:rsidP="00C3067A">
      <w:pPr>
        <w:widowControl/>
        <w:spacing w:line="360" w:lineRule="auto"/>
        <w:rPr>
          <w:rFonts w:ascii="Times New Roman" w:eastAsia="宋体" w:hAnsi="Times New Roman" w:cs="Calibri"/>
          <w:noProof/>
          <w:sz w:val="20"/>
          <w:szCs w:val="20"/>
          <w:lang w:eastAsia="en-US"/>
        </w:rPr>
      </w:pPr>
    </w:p>
    <w:p w14:paraId="277E89CF" w14:textId="2EDC01F2" w:rsidR="00540AFA" w:rsidRPr="00540AFA" w:rsidRDefault="00540AFA" w:rsidP="00C3067A">
      <w:pPr>
        <w:widowControl/>
        <w:spacing w:line="360" w:lineRule="auto"/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</w:pPr>
      <w:r w:rsidRPr="00540AFA">
        <w:rPr>
          <w:rFonts w:ascii="Times New Roman" w:eastAsia="宋体" w:hAnsi="Times New Roman" w:cs="Calibri"/>
          <w:noProof/>
          <w:sz w:val="20"/>
          <w:szCs w:val="20"/>
          <w:lang w:eastAsia="en-US"/>
        </w:rPr>
        <w:fldChar w:fldCharType="begin"/>
      </w:r>
      <w:r w:rsidRPr="00540AFA">
        <w:rPr>
          <w:rFonts w:ascii="Times New Roman" w:eastAsia="宋体" w:hAnsi="Times New Roman" w:cs="Calibri"/>
          <w:noProof/>
          <w:sz w:val="20"/>
          <w:szCs w:val="20"/>
          <w:lang w:eastAsia="en-US"/>
        </w:rPr>
        <w:instrText xml:space="preserve"> ADDIN EN.REFLIST </w:instrText>
      </w:r>
      <w:r w:rsidRPr="00540AFA">
        <w:rPr>
          <w:rFonts w:ascii="Times New Roman" w:eastAsia="宋体" w:hAnsi="Times New Roman" w:cs="Calibri"/>
          <w:noProof/>
          <w:sz w:val="20"/>
          <w:szCs w:val="20"/>
          <w:lang w:eastAsia="en-US"/>
        </w:rPr>
        <w:fldChar w:fldCharType="separate"/>
      </w:r>
      <w:bookmarkStart w:id="0" w:name="_Hlk35067336"/>
      <w:r w:rsidRPr="00540AFA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 xml:space="preserve"> Table </w:t>
      </w:r>
      <w:r w:rsidR="00CD1A19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>S</w:t>
      </w:r>
      <w:r w:rsidRPr="00540AFA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>1</w:t>
      </w:r>
      <w:r w:rsidRPr="00540AFA"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  <w:t xml:space="preserve"> The correlation between BMPR1A and miR-503 after adjustment for age and sex.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65"/>
        <w:gridCol w:w="2765"/>
        <w:gridCol w:w="2766"/>
      </w:tblGrid>
      <w:tr w:rsidR="00540AFA" w:rsidRPr="00540AFA" w14:paraId="3506B7B0" w14:textId="77777777" w:rsidTr="00DA442D">
        <w:trPr>
          <w:jc w:val="center"/>
        </w:trPr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0"/>
          <w:p w14:paraId="3C79A10B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Groups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EA7B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72F18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  <w:t>P</w:t>
            </w: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 xml:space="preserve"> value</w:t>
            </w:r>
          </w:p>
        </w:tc>
      </w:tr>
      <w:tr w:rsidR="00540AFA" w:rsidRPr="00540AFA" w14:paraId="3E16B34D" w14:textId="77777777" w:rsidTr="00DA442D">
        <w:trPr>
          <w:jc w:val="center"/>
        </w:trPr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19A1A" w14:textId="013306D3" w:rsidR="00540AFA" w:rsidRPr="00540AFA" w:rsidRDefault="00540AFA" w:rsidP="00A90E03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MHN</w:t>
            </w:r>
            <w:r w:rsidR="00A90E03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W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1B601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0.118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0270B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0.476</w:t>
            </w:r>
          </w:p>
        </w:tc>
      </w:tr>
      <w:tr w:rsidR="00540AFA" w:rsidRPr="00540AFA" w14:paraId="3250F21B" w14:textId="77777777" w:rsidTr="00DA442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7E976CE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MHO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27F6A8B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-0.099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D2728B2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0.623</w:t>
            </w:r>
          </w:p>
        </w:tc>
      </w:tr>
      <w:tr w:rsidR="00540AFA" w:rsidRPr="00540AFA" w14:paraId="29D8342B" w14:textId="77777777" w:rsidTr="00DA442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664CD8C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MUO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42E6899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0.028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36F8F45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0.910</w:t>
            </w:r>
          </w:p>
        </w:tc>
      </w:tr>
      <w:tr w:rsidR="00540AFA" w:rsidRPr="00540AFA" w14:paraId="0F92862E" w14:textId="77777777" w:rsidTr="00DA442D">
        <w:trPr>
          <w:jc w:val="center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610E3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 xml:space="preserve">Total 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2C84F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0.013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B2B22" w14:textId="77777777" w:rsidR="00540AFA" w:rsidRPr="00540AFA" w:rsidRDefault="00540AFA" w:rsidP="00540AFA">
            <w:pPr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0.901</w:t>
            </w:r>
          </w:p>
        </w:tc>
      </w:tr>
    </w:tbl>
    <w:p w14:paraId="0332497D" w14:textId="3DCAAF99" w:rsidR="00540AFA" w:rsidRPr="00540AFA" w:rsidRDefault="00540AFA" w:rsidP="00540AFA">
      <w:pPr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</w:pPr>
      <w:r w:rsidRPr="00540AFA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>BMPR1A: bone morphogenetic protein receptor type 1A; miR-503, microRNA-503; r: Pearson’s correlation coefficient.</w:t>
      </w:r>
      <w:r w:rsidR="00BA6F58" w:rsidRPr="00A90E03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 xml:space="preserve"> </w:t>
      </w:r>
      <w:r w:rsidR="00A90E03" w:rsidRPr="00A90E03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>MHNW, metabolically healthy normal weight; MHO, metabolically healthy overweight/obese; MUO, metabolically unhealthy overweight/obese;</w:t>
      </w:r>
    </w:p>
    <w:p w14:paraId="3B39EB6B" w14:textId="77777777" w:rsidR="00540AFA" w:rsidRPr="00540AFA" w:rsidRDefault="00540AFA" w:rsidP="00540AFA">
      <w:pPr>
        <w:jc w:val="right"/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</w:pPr>
    </w:p>
    <w:p w14:paraId="38094BC1" w14:textId="77777777" w:rsidR="00540AFA" w:rsidRPr="00540AFA" w:rsidRDefault="00540AFA" w:rsidP="00540AFA">
      <w:pPr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</w:pPr>
    </w:p>
    <w:p w14:paraId="57ABFA76" w14:textId="77777777" w:rsidR="00540AFA" w:rsidRPr="00540AFA" w:rsidRDefault="00540AFA" w:rsidP="00540AFA">
      <w:pPr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sectPr w:rsidR="00540AFA" w:rsidRPr="00540AFA">
          <w:headerReference w:type="even" r:id="rId7"/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B4686A" w14:textId="007AD586" w:rsidR="00540AFA" w:rsidRPr="00540AFA" w:rsidRDefault="00540AFA" w:rsidP="00540AFA">
      <w:pPr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</w:pPr>
      <w:r w:rsidRPr="00540AFA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lastRenderedPageBreak/>
        <w:t xml:space="preserve">Table </w:t>
      </w:r>
      <w:r w:rsidR="00CD1A19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>S</w:t>
      </w:r>
      <w:r w:rsidRPr="00540AFA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 xml:space="preserve">2 </w:t>
      </w:r>
      <w:r w:rsidRPr="00540AFA"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  <w:t>Logistic regression analysis for determination of subjects with MHN</w:t>
      </w:r>
      <w:r w:rsidR="005341E0"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  <w:t>W</w:t>
      </w:r>
      <w:r w:rsidRPr="00540AFA"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  <w:t xml:space="preserve"> and MHO phenotypes.</w: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352"/>
        <w:gridCol w:w="1327"/>
        <w:gridCol w:w="1364"/>
        <w:gridCol w:w="1393"/>
        <w:gridCol w:w="1385"/>
      </w:tblGrid>
      <w:tr w:rsidR="00540AFA" w:rsidRPr="00540AFA" w14:paraId="28A2278F" w14:textId="77777777" w:rsidTr="00DA442D">
        <w:trPr>
          <w:cantSplit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6ABC2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Variables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8180E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F9E1D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OR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18DE3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95%CI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CFEA7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  <w:t>P</w:t>
            </w:r>
          </w:p>
        </w:tc>
      </w:tr>
      <w:tr w:rsidR="00540AFA" w:rsidRPr="00540AFA" w14:paraId="6D9BC05C" w14:textId="77777777" w:rsidTr="00DA442D">
        <w:trPr>
          <w:cantSplit/>
          <w:jc w:val="center"/>
        </w:trPr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45916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A8D6A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FEF0D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B3DE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Lower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B25F0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Upper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B3D4F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</w:pPr>
          </w:p>
        </w:tc>
      </w:tr>
      <w:tr w:rsidR="00540AFA" w:rsidRPr="00540AFA" w14:paraId="5B142B60" w14:textId="77777777" w:rsidTr="00DA442D">
        <w:trPr>
          <w:jc w:val="center"/>
        </w:trPr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F8043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Age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8411D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-0.302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6C6E9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0.884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99629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0.445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2819B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1.755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2E18F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0.724</w:t>
            </w:r>
          </w:p>
        </w:tc>
      </w:tr>
      <w:tr w:rsidR="00540AFA" w:rsidRPr="00540AFA" w14:paraId="390D97E3" w14:textId="77777777" w:rsidTr="00DA442D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FD0E89A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Sex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C7836E8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0.375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ADF4FC1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10.746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4036120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3.102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20B1E371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37.232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36F1F38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&lt;0.001</w:t>
            </w:r>
          </w:p>
        </w:tc>
      </w:tr>
      <w:tr w:rsidR="00540AFA" w:rsidRPr="00540AFA" w14:paraId="2C43432A" w14:textId="77777777" w:rsidTr="00DA442D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988B28F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BMPR1A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C3702A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0.313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56D66F6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1.376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211397F4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0.570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7B9220B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3.280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45BAE86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0.484</w:t>
            </w:r>
          </w:p>
        </w:tc>
      </w:tr>
      <w:tr w:rsidR="00540AFA" w:rsidRPr="00540AFA" w14:paraId="2F427CDE" w14:textId="77777777" w:rsidTr="00DA442D">
        <w:trPr>
          <w:jc w:val="center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47F18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Mir-503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C979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-0.124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FFD21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0.739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EB833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0.335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D54DE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1.630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DA869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0.454</w:t>
            </w:r>
          </w:p>
        </w:tc>
      </w:tr>
    </w:tbl>
    <w:p w14:paraId="24BD1762" w14:textId="6BF2970C" w:rsidR="00540AFA" w:rsidRPr="00540AFA" w:rsidRDefault="005341E0" w:rsidP="00540AFA">
      <w:pPr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</w:pPr>
      <w:r w:rsidRPr="005341E0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>MHNW, metabolically healthy normal weight; MHO, metabolically healthy overweight/obese;</w:t>
      </w:r>
      <w:r w:rsidR="00BA6F58" w:rsidRPr="005341E0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 xml:space="preserve"> </w:t>
      </w:r>
      <w:r w:rsidR="00540AFA" w:rsidRPr="00540AFA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 xml:space="preserve">BMPR1A: bone morphogenetic protein receptor type 1A; miR-503, microRNA-503; OR: odds ratio; CI: </w:t>
      </w:r>
      <w:bookmarkStart w:id="1" w:name="_Hlk20750316"/>
      <w:r w:rsidR="00540AFA" w:rsidRPr="00540AFA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>confidence interval.</w:t>
      </w:r>
    </w:p>
    <w:bookmarkEnd w:id="1"/>
    <w:p w14:paraId="0536D010" w14:textId="77777777" w:rsidR="00540AFA" w:rsidRPr="00540AFA" w:rsidRDefault="00540AFA" w:rsidP="00540AFA">
      <w:pPr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sectPr w:rsidR="00540AFA" w:rsidRPr="00540A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2D8B7E7" w14:textId="4D882AF4" w:rsidR="00540AFA" w:rsidRPr="00540AFA" w:rsidRDefault="00540AFA" w:rsidP="00540AFA">
      <w:pPr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</w:pPr>
      <w:r w:rsidRPr="00540AFA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lastRenderedPageBreak/>
        <w:t xml:space="preserve">Table </w:t>
      </w:r>
      <w:r w:rsidR="00CD1A19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>S</w:t>
      </w:r>
      <w:r w:rsidRPr="00540AFA">
        <w:rPr>
          <w:rFonts w:ascii="Times New Roman" w:eastAsia="宋体" w:hAnsi="Times New Roman" w:cs="Times New Roman"/>
          <w:b/>
          <w:bCs/>
          <w:noProof/>
          <w:sz w:val="20"/>
          <w:szCs w:val="20"/>
          <w:lang w:eastAsia="en-US"/>
        </w:rPr>
        <w:t xml:space="preserve">3 </w:t>
      </w:r>
      <w:r w:rsidRPr="00540AFA">
        <w:rPr>
          <w:rFonts w:ascii="Times New Roman" w:eastAsia="宋体" w:hAnsi="Times New Roman" w:cs="Times New Roman"/>
          <w:noProof/>
          <w:sz w:val="20"/>
          <w:szCs w:val="20"/>
          <w:lang w:eastAsia="en-US"/>
        </w:rPr>
        <w:t>Logistic regression analysis for risk factors associated with MHO and MUO subjects.</w: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352"/>
        <w:gridCol w:w="1327"/>
        <w:gridCol w:w="1364"/>
        <w:gridCol w:w="1393"/>
        <w:gridCol w:w="1385"/>
      </w:tblGrid>
      <w:tr w:rsidR="00540AFA" w:rsidRPr="00540AFA" w14:paraId="48C80E97" w14:textId="77777777" w:rsidTr="00DA442D">
        <w:trPr>
          <w:cantSplit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3D45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Variable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5C2A7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97196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OR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5712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95%CI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FD4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  <w:t>P</w:t>
            </w:r>
          </w:p>
        </w:tc>
      </w:tr>
      <w:tr w:rsidR="00540AFA" w:rsidRPr="00540AFA" w14:paraId="6819E60C" w14:textId="77777777" w:rsidTr="00DA442D">
        <w:trPr>
          <w:cantSplit/>
          <w:jc w:val="center"/>
        </w:trPr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9E7B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0B68B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7AE83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EC463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Lower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0D9EB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Upper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4B89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i/>
                <w:iCs/>
                <w:noProof/>
                <w:sz w:val="16"/>
                <w:szCs w:val="16"/>
                <w:lang w:eastAsia="en-US"/>
              </w:rPr>
            </w:pPr>
          </w:p>
        </w:tc>
      </w:tr>
      <w:tr w:rsidR="00540AFA" w:rsidRPr="00540AFA" w14:paraId="609287C3" w14:textId="77777777" w:rsidTr="00DA442D">
        <w:trPr>
          <w:jc w:val="center"/>
        </w:trPr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4F5C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Age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05B49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0.823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AB158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2.277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27528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0.848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5407F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6.116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80E1F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0.103</w:t>
            </w:r>
          </w:p>
        </w:tc>
      </w:tr>
      <w:tr w:rsidR="00540AFA" w:rsidRPr="00540AFA" w14:paraId="1206199E" w14:textId="77777777" w:rsidTr="00DA442D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706F2F22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Sex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4702FBF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2.791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0EE4B118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16.305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66A9F30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3.850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369DA7D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69.055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EEFD689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&lt;0.001</w:t>
            </w:r>
          </w:p>
        </w:tc>
      </w:tr>
      <w:tr w:rsidR="00540AFA" w:rsidRPr="00540AFA" w14:paraId="0D4BDF5C" w14:textId="77777777" w:rsidTr="00DA442D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0F117FB1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BMPR1A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2D5C731B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-0.047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4EB8A96D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0.954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D48938A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0.384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450DFEA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2.370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DAAD220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0.920</w:t>
            </w:r>
          </w:p>
        </w:tc>
      </w:tr>
      <w:tr w:rsidR="00540AFA" w:rsidRPr="00540AFA" w14:paraId="206650B4" w14:textId="77777777" w:rsidTr="00DA442D">
        <w:trPr>
          <w:jc w:val="center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475B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Mir-503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47DD1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-1.47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B8555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0.230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6CF84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0.073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3D94A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0.722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3B9A9" w14:textId="77777777" w:rsidR="00540AFA" w:rsidRPr="00540AFA" w:rsidRDefault="00540AFA" w:rsidP="00540AFA">
            <w:pPr>
              <w:jc w:val="center"/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</w:pPr>
            <w:r w:rsidRPr="00540AFA">
              <w:rPr>
                <w:rFonts w:ascii="Times New Roman" w:eastAsia="宋体" w:hAnsi="Times New Roman" w:cs="Times New Roman"/>
                <w:noProof/>
                <w:sz w:val="16"/>
                <w:szCs w:val="16"/>
                <w:lang w:eastAsia="en-US"/>
              </w:rPr>
              <w:t>0.012</w:t>
            </w:r>
          </w:p>
        </w:tc>
      </w:tr>
    </w:tbl>
    <w:p w14:paraId="1032C7BC" w14:textId="325ED3B4" w:rsidR="00540AFA" w:rsidRPr="00540AFA" w:rsidRDefault="000627EA" w:rsidP="00540AFA">
      <w:pPr>
        <w:ind w:left="720" w:hanging="720"/>
        <w:rPr>
          <w:rFonts w:ascii="Times New Roman" w:eastAsia="宋体" w:hAnsi="Times New Roman" w:cs="Calibri"/>
          <w:noProof/>
          <w:sz w:val="16"/>
          <w:szCs w:val="16"/>
          <w:lang w:eastAsia="en-US"/>
        </w:rPr>
      </w:pPr>
      <w:r w:rsidRPr="005341E0">
        <w:rPr>
          <w:rFonts w:ascii="Times New Roman" w:eastAsia="宋体" w:hAnsi="Times New Roman" w:cs="Times New Roman"/>
          <w:noProof/>
          <w:sz w:val="16"/>
          <w:szCs w:val="16"/>
          <w:lang w:eastAsia="en-US"/>
        </w:rPr>
        <w:t>MHO, metabolically healthy overweight/obese</w:t>
      </w:r>
      <w:r w:rsidR="00BA6F58">
        <w:rPr>
          <w:rFonts w:ascii="Times New Roman" w:hAnsi="Times New Roman"/>
          <w:sz w:val="16"/>
          <w:szCs w:val="16"/>
        </w:rPr>
        <w:t xml:space="preserve">; </w:t>
      </w:r>
      <w:r w:rsidR="00BA6F58" w:rsidRPr="00326F92">
        <w:rPr>
          <w:rFonts w:ascii="Times New Roman" w:hAnsi="Times New Roman"/>
          <w:sz w:val="16"/>
          <w:szCs w:val="16"/>
        </w:rPr>
        <w:t>MUO, metabolically unhealthy overweight/obese subjects;</w:t>
      </w:r>
      <w:r w:rsidR="00BA6F58">
        <w:rPr>
          <w:rFonts w:ascii="Times New Roman" w:hAnsi="Times New Roman"/>
          <w:sz w:val="16"/>
          <w:szCs w:val="16"/>
        </w:rPr>
        <w:t xml:space="preserve"> </w:t>
      </w:r>
      <w:r w:rsidR="00540AFA" w:rsidRPr="00540AFA">
        <w:rPr>
          <w:rFonts w:ascii="Times New Roman" w:eastAsia="宋体" w:hAnsi="Times New Roman" w:cs="Calibri"/>
          <w:noProof/>
          <w:sz w:val="16"/>
          <w:szCs w:val="16"/>
          <w:lang w:eastAsia="en-US"/>
        </w:rPr>
        <w:t>BMPR1A: bone morphogenetic protein receptor type 1A; miR-503, microRNA-503; OR: odds ratio; CI:</w:t>
      </w:r>
      <w:r w:rsidR="00540AFA" w:rsidRPr="00540AFA">
        <w:rPr>
          <w:rFonts w:ascii="Calibri" w:eastAsia="宋体" w:hAnsi="Calibri" w:cs="Calibri"/>
          <w:noProof/>
          <w:sz w:val="16"/>
          <w:szCs w:val="16"/>
          <w:lang w:eastAsia="en-US"/>
        </w:rPr>
        <w:t xml:space="preserve"> </w:t>
      </w:r>
      <w:r w:rsidR="00540AFA" w:rsidRPr="00540AFA">
        <w:rPr>
          <w:rFonts w:ascii="Times New Roman" w:eastAsia="宋体" w:hAnsi="Times New Roman" w:cs="Calibri"/>
          <w:noProof/>
          <w:sz w:val="16"/>
          <w:szCs w:val="16"/>
          <w:lang w:eastAsia="en-US"/>
        </w:rPr>
        <w:t>confidence interval.</w:t>
      </w:r>
    </w:p>
    <w:p w14:paraId="07252F92" w14:textId="77777777" w:rsidR="00540AFA" w:rsidRPr="00540AFA" w:rsidRDefault="00540AFA" w:rsidP="00540AFA">
      <w:pPr>
        <w:rPr>
          <w:rFonts w:ascii="Times New Roman" w:eastAsia="宋体" w:hAnsi="Times New Roman" w:cs="Times New Roman"/>
          <w:noProof/>
          <w:lang w:eastAsia="en-US"/>
        </w:rPr>
      </w:pPr>
      <w:r w:rsidRPr="00540AFA">
        <w:rPr>
          <w:rFonts w:ascii="Times New Roman" w:eastAsia="宋体" w:hAnsi="Times New Roman" w:cs="Times New Roman"/>
          <w:noProof/>
          <w:szCs w:val="20"/>
          <w:lang w:eastAsia="en-US"/>
        </w:rPr>
        <w:fldChar w:fldCharType="end"/>
      </w:r>
    </w:p>
    <w:p w14:paraId="389EB753" w14:textId="77777777" w:rsidR="00842303" w:rsidRPr="000627EA" w:rsidRDefault="00842303">
      <w:bookmarkStart w:id="2" w:name="_GoBack"/>
      <w:bookmarkEnd w:id="2"/>
    </w:p>
    <w:sectPr w:rsidR="00842303" w:rsidRPr="0006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8F17B" w14:textId="77777777" w:rsidR="00E81414" w:rsidRDefault="00E81414" w:rsidP="00AB7A92">
      <w:r>
        <w:separator/>
      </w:r>
    </w:p>
  </w:endnote>
  <w:endnote w:type="continuationSeparator" w:id="0">
    <w:p w14:paraId="5EF0475A" w14:textId="77777777" w:rsidR="00E81414" w:rsidRDefault="00E81414" w:rsidP="00AB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8C8BC" w14:textId="77777777" w:rsidR="00C50B34" w:rsidRDefault="00A45F8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627EA" w:rsidRPr="000627EA">
      <w:rPr>
        <w:lang w:val="zh-CN"/>
      </w:rPr>
      <w:t>3</w:t>
    </w:r>
    <w:r>
      <w:fldChar w:fldCharType="end"/>
    </w:r>
  </w:p>
  <w:p w14:paraId="28D9B568" w14:textId="77777777" w:rsidR="00C50B34" w:rsidRDefault="00E814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A231D" w14:textId="77777777" w:rsidR="00E81414" w:rsidRDefault="00E81414" w:rsidP="00AB7A92">
      <w:r>
        <w:separator/>
      </w:r>
    </w:p>
  </w:footnote>
  <w:footnote w:type="continuationSeparator" w:id="0">
    <w:p w14:paraId="445717D9" w14:textId="77777777" w:rsidR="00E81414" w:rsidRDefault="00E81414" w:rsidP="00AB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20871" w14:textId="77777777" w:rsidR="00C50B34" w:rsidRDefault="00E8141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65B60" w14:textId="77777777" w:rsidR="00C50B34" w:rsidRDefault="00E8141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FA"/>
    <w:rsid w:val="000627EA"/>
    <w:rsid w:val="001A6738"/>
    <w:rsid w:val="001B6361"/>
    <w:rsid w:val="003232B8"/>
    <w:rsid w:val="004A7FA8"/>
    <w:rsid w:val="005341E0"/>
    <w:rsid w:val="00540AFA"/>
    <w:rsid w:val="0057701C"/>
    <w:rsid w:val="006C5855"/>
    <w:rsid w:val="00814446"/>
    <w:rsid w:val="00842303"/>
    <w:rsid w:val="00A45F8F"/>
    <w:rsid w:val="00A460B7"/>
    <w:rsid w:val="00A90E03"/>
    <w:rsid w:val="00AB7A92"/>
    <w:rsid w:val="00B45277"/>
    <w:rsid w:val="00BA6F58"/>
    <w:rsid w:val="00C3067A"/>
    <w:rsid w:val="00C823E3"/>
    <w:rsid w:val="00CD1A19"/>
    <w:rsid w:val="00E81414"/>
    <w:rsid w:val="00F6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D2911"/>
  <w15:chartTrackingRefBased/>
  <w15:docId w15:val="{590A0D82-85D3-4D84-A771-7B576515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540AF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noProof/>
      <w:sz w:val="18"/>
      <w:szCs w:val="18"/>
      <w:lang w:eastAsia="en-US"/>
    </w:rPr>
  </w:style>
  <w:style w:type="character" w:customStyle="1" w:styleId="Char">
    <w:name w:val="页脚 Char"/>
    <w:basedOn w:val="a0"/>
    <w:link w:val="a3"/>
    <w:rsid w:val="00540AFA"/>
    <w:rPr>
      <w:rFonts w:ascii="Calibri" w:eastAsia="宋体" w:hAnsi="Calibri" w:cs="Times New Roman"/>
      <w:noProof/>
      <w:sz w:val="18"/>
      <w:szCs w:val="18"/>
      <w:lang w:eastAsia="en-US"/>
    </w:rPr>
  </w:style>
  <w:style w:type="paragraph" w:styleId="a4">
    <w:name w:val="header"/>
    <w:basedOn w:val="a"/>
    <w:link w:val="Char0"/>
    <w:unhideWhenUsed/>
    <w:qFormat/>
    <w:rsid w:val="00540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noProof/>
      <w:sz w:val="18"/>
      <w:szCs w:val="18"/>
      <w:lang w:eastAsia="en-US"/>
    </w:rPr>
  </w:style>
  <w:style w:type="character" w:customStyle="1" w:styleId="Char0">
    <w:name w:val="页眉 Char"/>
    <w:basedOn w:val="a0"/>
    <w:link w:val="a4"/>
    <w:rsid w:val="00540AFA"/>
    <w:rPr>
      <w:rFonts w:ascii="Calibri" w:eastAsia="宋体" w:hAnsi="Calibri" w:cs="Times New Roman"/>
      <w:noProof/>
      <w:sz w:val="18"/>
      <w:szCs w:val="18"/>
      <w:lang w:eastAsia="en-US"/>
    </w:rPr>
  </w:style>
  <w:style w:type="paragraph" w:styleId="a5">
    <w:name w:val="annotation text"/>
    <w:basedOn w:val="a"/>
    <w:link w:val="Char1"/>
    <w:uiPriority w:val="99"/>
    <w:unhideWhenUsed/>
    <w:rsid w:val="00CD1A19"/>
    <w:rPr>
      <w:rFonts w:ascii="Calibri" w:eastAsia="宋体" w:hAnsi="Calibri" w:cs="Times New Roman"/>
      <w:sz w:val="24"/>
      <w:szCs w:val="24"/>
      <w:lang w:eastAsia="en-US"/>
    </w:rPr>
  </w:style>
  <w:style w:type="character" w:customStyle="1" w:styleId="Char1">
    <w:name w:val="批注文字 Char"/>
    <w:basedOn w:val="a0"/>
    <w:link w:val="a5"/>
    <w:uiPriority w:val="99"/>
    <w:rsid w:val="00CD1A19"/>
    <w:rPr>
      <w:rFonts w:ascii="Calibri" w:eastAsia="宋体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dezhou@cs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hiking yue</dc:creator>
  <cp:keywords/>
  <dc:description/>
  <cp:lastModifiedBy>zhd</cp:lastModifiedBy>
  <cp:revision>3</cp:revision>
  <dcterms:created xsi:type="dcterms:W3CDTF">2020-06-30T14:45:00Z</dcterms:created>
  <dcterms:modified xsi:type="dcterms:W3CDTF">2020-06-30T15:27:00Z</dcterms:modified>
</cp:coreProperties>
</file>