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FB005" w14:textId="67B93A1A" w:rsidR="00AC0B59" w:rsidRPr="008142BA" w:rsidRDefault="008142BA" w:rsidP="00AC0B59">
      <w:pPr>
        <w:pStyle w:val="Heading2"/>
        <w:rPr>
          <w:i w:val="0"/>
          <w:noProof/>
        </w:rPr>
      </w:pPr>
      <w:r>
        <w:rPr>
          <w:i w:val="0"/>
          <w:noProof/>
        </w:rPr>
        <w:t>Supplementary M</w:t>
      </w:r>
      <w:r w:rsidR="00AC0B59" w:rsidRPr="008142BA">
        <w:rPr>
          <w:i w:val="0"/>
          <w:noProof/>
        </w:rPr>
        <w:t>aterial</w:t>
      </w:r>
      <w:r w:rsidR="00AC0B59" w:rsidRPr="008142BA">
        <w:rPr>
          <w:i w:val="0"/>
          <w:noProof/>
        </w:rPr>
        <w:t xml:space="preserve"> 2</w:t>
      </w:r>
    </w:p>
    <w:p w14:paraId="48B07846" w14:textId="1ACFE4CC" w:rsidR="00AC0B59" w:rsidRPr="008142BA" w:rsidRDefault="00AC0B59" w:rsidP="00AC0B59">
      <w:pPr>
        <w:pStyle w:val="Caption"/>
        <w:keepNext/>
        <w:jc w:val="left"/>
        <w:rPr>
          <w:rFonts w:ascii="Arial" w:hAnsi="Arial" w:cs="Arial"/>
          <w:color w:val="auto"/>
        </w:rPr>
      </w:pPr>
      <w:r w:rsidRPr="008142BA">
        <w:rPr>
          <w:rFonts w:ascii="Arial" w:hAnsi="Arial" w:cs="Arial"/>
          <w:color w:val="auto"/>
        </w:rPr>
        <w:t xml:space="preserve">Figure </w:t>
      </w:r>
      <w:r w:rsidR="008142BA" w:rsidRPr="008142BA">
        <w:rPr>
          <w:rFonts w:ascii="Arial" w:hAnsi="Arial" w:cs="Arial"/>
          <w:color w:val="auto"/>
        </w:rPr>
        <w:t>S2-1</w:t>
      </w:r>
      <w:r w:rsidRPr="008142BA">
        <w:rPr>
          <w:rFonts w:ascii="Arial" w:hAnsi="Arial" w:cs="Arial"/>
          <w:color w:val="auto"/>
        </w:rPr>
        <w:t>. Person-item distribution of the SGRQ 'Activity' domain without item 11 and 17 (Baseline visits, pooled data from 5 trials, subjects with GOLD stage 2 only, N=2,983)</w:t>
      </w:r>
    </w:p>
    <w:p w14:paraId="3502E1B5" w14:textId="77777777" w:rsidR="00AC0B59" w:rsidRDefault="00AC0B59" w:rsidP="00AC0B59">
      <w:r>
        <w:rPr>
          <w:noProof/>
        </w:rPr>
        <w:drawing>
          <wp:inline distT="0" distB="0" distL="0" distR="0" wp14:anchorId="4BFE6D90" wp14:editId="7ABE062D">
            <wp:extent cx="5181599" cy="2446020"/>
            <wp:effectExtent l="0" t="0" r="63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599" cy="244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9B325" w14:textId="77777777" w:rsidR="00AC0B59" w:rsidRDefault="00AC0B59" w:rsidP="00AC0B59"/>
    <w:p w14:paraId="057A7CD8" w14:textId="18D80783" w:rsidR="00AC0B59" w:rsidRPr="008142BA" w:rsidRDefault="008142BA" w:rsidP="00AC0B59">
      <w:pPr>
        <w:pStyle w:val="Caption"/>
        <w:keepNext/>
        <w:jc w:val="left"/>
        <w:rPr>
          <w:rFonts w:ascii="Arial" w:hAnsi="Arial" w:cs="Arial"/>
          <w:color w:val="auto"/>
        </w:rPr>
      </w:pPr>
      <w:r w:rsidRPr="008142BA">
        <w:rPr>
          <w:rFonts w:ascii="Arial" w:hAnsi="Arial" w:cs="Arial"/>
          <w:color w:val="auto"/>
        </w:rPr>
        <w:t>Figure S</w:t>
      </w:r>
      <w:r w:rsidRPr="008142BA">
        <w:rPr>
          <w:rFonts w:ascii="Arial" w:hAnsi="Arial" w:cs="Arial"/>
          <w:color w:val="auto"/>
        </w:rPr>
        <w:t>2-2</w:t>
      </w:r>
      <w:r w:rsidR="00AC0B59" w:rsidRPr="008142BA">
        <w:rPr>
          <w:rFonts w:ascii="Arial" w:hAnsi="Arial" w:cs="Arial"/>
          <w:color w:val="auto"/>
        </w:rPr>
        <w:t>. Person-item distribution of the SGRQ 'Activity' domain without item 11 and 17 (Baseline visits, pooled data from 5 trials, subjects with GOLD stage 3 only, N=3,648)</w:t>
      </w:r>
    </w:p>
    <w:p w14:paraId="47141B3F" w14:textId="77777777" w:rsidR="00AC0B59" w:rsidRDefault="00AC0B59" w:rsidP="00AC0B59">
      <w:r>
        <w:rPr>
          <w:noProof/>
        </w:rPr>
        <w:drawing>
          <wp:inline distT="0" distB="0" distL="0" distR="0" wp14:anchorId="66FFD685" wp14:editId="7FD594FD">
            <wp:extent cx="5181599" cy="2324100"/>
            <wp:effectExtent l="0" t="0" r="635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599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6233D" w14:textId="77777777" w:rsidR="00AC0B59" w:rsidRDefault="00AC0B59" w:rsidP="00AC0B59"/>
    <w:p w14:paraId="0E62D5D2" w14:textId="23C94D80" w:rsidR="00AC0B59" w:rsidRPr="008142BA" w:rsidRDefault="008142BA" w:rsidP="00AC0B59">
      <w:pPr>
        <w:pStyle w:val="Caption"/>
        <w:keepNext/>
        <w:jc w:val="left"/>
        <w:rPr>
          <w:rFonts w:ascii="Arial" w:hAnsi="Arial" w:cs="Arial"/>
          <w:color w:val="auto"/>
        </w:rPr>
      </w:pPr>
      <w:r w:rsidRPr="008142BA">
        <w:rPr>
          <w:rFonts w:ascii="Arial" w:hAnsi="Arial" w:cs="Arial"/>
          <w:color w:val="auto"/>
        </w:rPr>
        <w:lastRenderedPageBreak/>
        <w:t>Figure S</w:t>
      </w:r>
      <w:r w:rsidRPr="008142BA">
        <w:rPr>
          <w:rFonts w:ascii="Arial" w:hAnsi="Arial" w:cs="Arial"/>
          <w:color w:val="auto"/>
        </w:rPr>
        <w:t>2-3</w:t>
      </w:r>
      <w:r w:rsidR="00AC0B59" w:rsidRPr="008142BA">
        <w:rPr>
          <w:rFonts w:ascii="Arial" w:hAnsi="Arial" w:cs="Arial"/>
          <w:color w:val="auto"/>
        </w:rPr>
        <w:t>. Person-item distribution of the SGRQ 'Activity' domain without item 11 and 17 (Baseline visits, pooled data from 5 trials, subjects with GOLD stage 4 only, N=459)</w:t>
      </w:r>
    </w:p>
    <w:p w14:paraId="00B19A08" w14:textId="77777777" w:rsidR="00AC0B59" w:rsidRDefault="00AC0B59" w:rsidP="00AC0B59">
      <w:r>
        <w:rPr>
          <w:noProof/>
        </w:rPr>
        <w:drawing>
          <wp:inline distT="0" distB="0" distL="0" distR="0" wp14:anchorId="3FC1A499" wp14:editId="02D450A3">
            <wp:extent cx="5181599" cy="2446020"/>
            <wp:effectExtent l="0" t="0" r="635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599" cy="244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ED5FC" w14:textId="77777777" w:rsidR="00AC0B59" w:rsidRDefault="00AC0B59" w:rsidP="00AC0B59"/>
    <w:p w14:paraId="0F13FD6B" w14:textId="4E1C72DB" w:rsidR="00AC0B59" w:rsidRPr="008142BA" w:rsidRDefault="008142BA" w:rsidP="00AC0B59">
      <w:pPr>
        <w:pStyle w:val="Caption"/>
        <w:keepNext/>
        <w:jc w:val="left"/>
        <w:rPr>
          <w:rFonts w:ascii="Arial" w:hAnsi="Arial" w:cs="Arial"/>
          <w:color w:val="auto"/>
        </w:rPr>
      </w:pPr>
      <w:r w:rsidRPr="008142BA">
        <w:rPr>
          <w:rFonts w:ascii="Arial" w:hAnsi="Arial" w:cs="Arial"/>
          <w:color w:val="auto"/>
        </w:rPr>
        <w:t>Figure S</w:t>
      </w:r>
      <w:r w:rsidRPr="008142BA">
        <w:rPr>
          <w:rFonts w:ascii="Arial" w:hAnsi="Arial" w:cs="Arial"/>
          <w:color w:val="auto"/>
        </w:rPr>
        <w:t>2-4</w:t>
      </w:r>
      <w:r w:rsidR="00AC0B59" w:rsidRPr="008142BA">
        <w:rPr>
          <w:rFonts w:ascii="Arial" w:hAnsi="Arial" w:cs="Arial"/>
          <w:color w:val="auto"/>
        </w:rPr>
        <w:t>. Person-threshold distribution of the SGRQ 'Symptoms' domain after item recoding (Baseline visits from 5 trials, subjects with GOLD stage 2 only, N=2,983)</w:t>
      </w:r>
    </w:p>
    <w:p w14:paraId="0CED9AC9" w14:textId="77777777" w:rsidR="00AC0B59" w:rsidRDefault="00AC0B59" w:rsidP="00AC0B59">
      <w:r>
        <w:rPr>
          <w:noProof/>
        </w:rPr>
        <w:drawing>
          <wp:inline distT="0" distB="0" distL="0" distR="0" wp14:anchorId="26262288" wp14:editId="2007806B">
            <wp:extent cx="5181599" cy="2880359"/>
            <wp:effectExtent l="0" t="0" r="635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599" cy="2880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7CB3E" w14:textId="77777777" w:rsidR="00AC0B59" w:rsidRDefault="00AC0B59" w:rsidP="00AC0B59"/>
    <w:p w14:paraId="4D1CC22B" w14:textId="1CC3EEED" w:rsidR="00AC0B59" w:rsidRPr="008142BA" w:rsidRDefault="008142BA" w:rsidP="00AC0B59">
      <w:pPr>
        <w:pStyle w:val="Caption"/>
        <w:keepNext/>
        <w:jc w:val="left"/>
        <w:rPr>
          <w:rFonts w:ascii="Arial" w:hAnsi="Arial" w:cs="Arial"/>
          <w:color w:val="auto"/>
        </w:rPr>
      </w:pPr>
      <w:r w:rsidRPr="008142BA">
        <w:rPr>
          <w:rFonts w:ascii="Arial" w:hAnsi="Arial" w:cs="Arial"/>
          <w:color w:val="auto"/>
        </w:rPr>
        <w:t>Figure S</w:t>
      </w:r>
      <w:r w:rsidRPr="008142BA">
        <w:rPr>
          <w:rFonts w:ascii="Arial" w:hAnsi="Arial" w:cs="Arial"/>
          <w:color w:val="auto"/>
        </w:rPr>
        <w:t>2-5</w:t>
      </w:r>
      <w:r w:rsidR="00AC0B59" w:rsidRPr="008142BA">
        <w:rPr>
          <w:rFonts w:ascii="Arial" w:hAnsi="Arial" w:cs="Arial"/>
          <w:color w:val="auto"/>
        </w:rPr>
        <w:t>. Person-threshold distribution of the SGRQ 'Symptoms' domain after item recoding (Baseline visits from 5 trials, subjects with GOLD stage 3 only, N=3,648)</w:t>
      </w:r>
    </w:p>
    <w:p w14:paraId="6351D1BF" w14:textId="77777777" w:rsidR="00AC0B59" w:rsidRDefault="00AC0B59" w:rsidP="00AC0B59">
      <w:r>
        <w:rPr>
          <w:noProof/>
        </w:rPr>
        <w:drawing>
          <wp:inline distT="0" distB="0" distL="0" distR="0" wp14:anchorId="5AD65E83" wp14:editId="6CF4B907">
            <wp:extent cx="5943598" cy="3303942"/>
            <wp:effectExtent l="0" t="0" r="635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598" cy="3303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E87C54" w14:textId="77777777" w:rsidR="00AC0B59" w:rsidRDefault="00AC0B59" w:rsidP="00AC0B59"/>
    <w:p w14:paraId="75F68A97" w14:textId="218AD576" w:rsidR="00AC0B59" w:rsidRPr="008142BA" w:rsidRDefault="008142BA" w:rsidP="00AC0B59">
      <w:pPr>
        <w:pStyle w:val="Caption"/>
        <w:keepNext/>
        <w:jc w:val="left"/>
        <w:rPr>
          <w:rFonts w:ascii="Arial" w:hAnsi="Arial" w:cs="Arial"/>
          <w:color w:val="auto"/>
        </w:rPr>
      </w:pPr>
      <w:r w:rsidRPr="008142BA">
        <w:rPr>
          <w:rFonts w:ascii="Arial" w:hAnsi="Arial" w:cs="Arial"/>
          <w:color w:val="auto"/>
        </w:rPr>
        <w:t>Figure S</w:t>
      </w:r>
      <w:r w:rsidRPr="008142BA">
        <w:rPr>
          <w:rFonts w:ascii="Arial" w:hAnsi="Arial" w:cs="Arial"/>
          <w:color w:val="auto"/>
        </w:rPr>
        <w:t>2-6</w:t>
      </w:r>
      <w:r w:rsidR="00AC0B59" w:rsidRPr="008142BA">
        <w:rPr>
          <w:rFonts w:ascii="Arial" w:hAnsi="Arial" w:cs="Arial"/>
          <w:color w:val="auto"/>
        </w:rPr>
        <w:t>. Person-threshold distribution of the SGRQ 'Symptoms' domain after item recoding (Baseline visits from 5 trials, subjects with GOLD stage 4 only, N=459)</w:t>
      </w:r>
      <w:bookmarkStart w:id="0" w:name="_GoBack"/>
      <w:bookmarkEnd w:id="0"/>
    </w:p>
    <w:p w14:paraId="0E2FA829" w14:textId="77777777" w:rsidR="00AC0B59" w:rsidRDefault="00AC0B59" w:rsidP="00AC0B59">
      <w:r>
        <w:rPr>
          <w:noProof/>
        </w:rPr>
        <w:drawing>
          <wp:inline distT="0" distB="0" distL="0" distR="0" wp14:anchorId="036B41E6" wp14:editId="44CBCDE0">
            <wp:extent cx="5943600" cy="2866912"/>
            <wp:effectExtent l="0" t="0" r="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66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2F68C" w14:textId="77777777" w:rsidR="00FF5FC9" w:rsidRPr="00F31F85" w:rsidRDefault="00FF5FC9"/>
    <w:sectPr w:rsidR="00FF5FC9" w:rsidRPr="00F31F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B59"/>
    <w:rsid w:val="004D0E76"/>
    <w:rsid w:val="008142BA"/>
    <w:rsid w:val="00AC0B59"/>
    <w:rsid w:val="00F31F85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EC6A0"/>
  <w15:chartTrackingRefBased/>
  <w15:docId w15:val="{67A6EDBE-6CD0-454C-B5C8-703AB1B73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0B59"/>
    <w:pPr>
      <w:spacing w:after="0" w:line="480" w:lineRule="auto"/>
    </w:pPr>
    <w:rPr>
      <w:rFonts w:eastAsia="Times New Roman" w:cs="Times New Roman"/>
      <w:szCs w:val="24"/>
    </w:rPr>
  </w:style>
  <w:style w:type="paragraph" w:styleId="Heading2">
    <w:name w:val="heading 2"/>
    <w:basedOn w:val="Normal"/>
    <w:next w:val="Normal"/>
    <w:link w:val="Heading2Char"/>
    <w:qFormat/>
    <w:rsid w:val="00AC0B5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nhideWhenUsed/>
    <w:qFormat/>
    <w:rsid w:val="00AC0B59"/>
    <w:pPr>
      <w:spacing w:after="200" w:line="240" w:lineRule="auto"/>
      <w:jc w:val="both"/>
    </w:pPr>
    <w:rPr>
      <w:rFonts w:ascii="Calibri" w:eastAsia="Calibri" w:hAnsi="Calibri"/>
      <w:i/>
      <w:iCs/>
      <w:color w:val="7E6990"/>
      <w:szCs w:val="18"/>
      <w:lang w:val="en-GB" w:eastAsia="en-GB"/>
    </w:rPr>
  </w:style>
  <w:style w:type="character" w:customStyle="1" w:styleId="CaptionChar">
    <w:name w:val="Caption Char"/>
    <w:link w:val="Caption"/>
    <w:locked/>
    <w:rsid w:val="00AC0B59"/>
    <w:rPr>
      <w:rFonts w:ascii="Calibri" w:eastAsia="Calibri" w:hAnsi="Calibri" w:cs="Times New Roman"/>
      <w:i/>
      <w:iCs/>
      <w:color w:val="7E6990"/>
      <w:szCs w:val="18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C0B59"/>
    <w:rPr>
      <w:rFonts w:eastAsia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86FA9F896B6745B5A79EE517807004" ma:contentTypeVersion="12" ma:contentTypeDescription="Create a new document." ma:contentTypeScope="" ma:versionID="04ad8c0e40239830f8bbbae4ee5b0f18">
  <xsd:schema xmlns:xsd="http://www.w3.org/2001/XMLSchema" xmlns:xs="http://www.w3.org/2001/XMLSchema" xmlns:p="http://schemas.microsoft.com/office/2006/metadata/properties" xmlns:ns3="487fab8e-e7d7-48e0-8f04-e80277290539" xmlns:ns4="8fcb48af-ad6b-4039-b0f4-533ebe4ec6c2" targetNamespace="http://schemas.microsoft.com/office/2006/metadata/properties" ma:root="true" ma:fieldsID="ce6319bd1a1951b431673abed4c58053" ns3:_="" ns4:_="">
    <xsd:import namespace="487fab8e-e7d7-48e0-8f04-e80277290539"/>
    <xsd:import namespace="8fcb48af-ad6b-4039-b0f4-533ebe4ec6c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fab8e-e7d7-48e0-8f04-e802772905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b48af-ad6b-4039-b0f4-533ebe4ec6c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6BBF12-25A3-4FAF-8EB5-C43E4938DF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fab8e-e7d7-48e0-8f04-e80277290539"/>
    <ds:schemaRef ds:uri="8fcb48af-ad6b-4039-b0f4-533ebe4ec6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23444A-36B7-4335-8185-45D2C92260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167F0D-D3B5-4F50-8A2F-2120E6DA085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8fcb48af-ad6b-4039-b0f4-533ebe4ec6c2"/>
    <ds:schemaRef ds:uri="http://purl.org/dc/terms/"/>
    <ds:schemaRef ds:uri="487fab8e-e7d7-48e0-8f04-e8027729053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160</Words>
  <Characters>914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Supplementary material 2</vt:lpstr>
    </vt:vector>
  </TitlesOfParts>
  <Company>Novartis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Anand, Maninder</dc:creator>
  <cp:keywords/>
  <dc:description/>
  <cp:lastModifiedBy>Anand, Maninder</cp:lastModifiedBy>
  <cp:revision>2</cp:revision>
  <dcterms:created xsi:type="dcterms:W3CDTF">2020-07-16T05:50:00Z</dcterms:created>
  <dcterms:modified xsi:type="dcterms:W3CDTF">2020-07-16T07:26:00Z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0x0101004586FA9F896B6745B5A79EE517807004</vt:lpwstr>
  </property>
</Properties>
</file>