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20156" w14:textId="77777777" w:rsidR="00FB6C69" w:rsidRDefault="00DB5011">
      <w:pPr>
        <w:rPr>
          <w:b/>
          <w:noProof/>
          <w:sz w:val="24"/>
        </w:rPr>
      </w:pPr>
      <w:r w:rsidRPr="00DB5011">
        <w:rPr>
          <w:b/>
          <w:noProof/>
          <w:sz w:val="24"/>
        </w:rPr>
        <w:t xml:space="preserve">Supplementary Information: </w:t>
      </w:r>
    </w:p>
    <w:p w14:paraId="1782B141" w14:textId="2BEC42A6" w:rsidR="00FB6C69" w:rsidRDefault="00010C74">
      <w:pPr>
        <w:rPr>
          <w:noProof/>
          <w:sz w:val="24"/>
        </w:rPr>
      </w:pPr>
      <w:r w:rsidRPr="00344F17">
        <w:rPr>
          <w:b/>
          <w:noProof/>
          <w:sz w:val="24"/>
        </w:rPr>
        <w:t>Appendix 1</w:t>
      </w:r>
      <w:r>
        <w:rPr>
          <w:noProof/>
          <w:sz w:val="24"/>
        </w:rPr>
        <w:t xml:space="preserve">: </w:t>
      </w:r>
      <w:r w:rsidR="00DB5011" w:rsidRPr="00DB5011">
        <w:rPr>
          <w:noProof/>
          <w:sz w:val="24"/>
        </w:rPr>
        <w:t>List of Independant Ethics Commmittees</w:t>
      </w:r>
      <w:r w:rsidR="00FB6C69">
        <w:rPr>
          <w:noProof/>
          <w:sz w:val="24"/>
        </w:rPr>
        <w:t xml:space="preserve"> (IEC)</w:t>
      </w:r>
      <w:r w:rsidR="00DB5011" w:rsidRPr="00DB5011">
        <w:rPr>
          <w:noProof/>
          <w:sz w:val="24"/>
        </w:rPr>
        <w:t xml:space="preserve"> or Institutional Review Boards</w:t>
      </w:r>
      <w:r w:rsidR="00FB6C69">
        <w:rPr>
          <w:noProof/>
          <w:sz w:val="24"/>
        </w:rPr>
        <w:t xml:space="preserve"> (IRB) by study center</w:t>
      </w:r>
    </w:p>
    <w:p w14:paraId="36F42E4E" w14:textId="77777777" w:rsidR="00FB6C69" w:rsidRPr="00FB6C69" w:rsidRDefault="00FB6C69" w:rsidP="00FB6C69">
      <w:pPr>
        <w:kinsoku w:val="0"/>
        <w:overflowPunct w:val="0"/>
        <w:autoSpaceDE w:val="0"/>
        <w:autoSpaceDN w:val="0"/>
        <w:adjustRightInd w:val="0"/>
        <w:spacing w:before="10" w:after="1" w:line="240" w:lineRule="auto"/>
        <w:rPr>
          <w:rFonts w:ascii="Times New Roman" w:hAnsi="Times New Roman" w:cs="Times New Roman"/>
        </w:rPr>
      </w:pPr>
    </w:p>
    <w:tbl>
      <w:tblPr>
        <w:tblW w:w="0" w:type="auto"/>
        <w:tblInd w:w="601" w:type="dxa"/>
        <w:tblLayout w:type="fixed"/>
        <w:tblCellMar>
          <w:left w:w="0" w:type="dxa"/>
          <w:right w:w="0" w:type="dxa"/>
        </w:tblCellMar>
        <w:tblLook w:val="0000" w:firstRow="0" w:lastRow="0" w:firstColumn="0" w:lastColumn="0" w:noHBand="0" w:noVBand="0"/>
      </w:tblPr>
      <w:tblGrid>
        <w:gridCol w:w="702"/>
        <w:gridCol w:w="2594"/>
        <w:gridCol w:w="2286"/>
        <w:gridCol w:w="2283"/>
      </w:tblGrid>
      <w:tr w:rsidR="00FB6C69" w:rsidRPr="00FB6C69" w14:paraId="4C90D2AC" w14:textId="77777777">
        <w:trPr>
          <w:trHeight w:hRule="exact" w:val="564"/>
        </w:trPr>
        <w:tc>
          <w:tcPr>
            <w:tcW w:w="702" w:type="dxa"/>
            <w:tcBorders>
              <w:top w:val="single" w:sz="3" w:space="0" w:color="000000"/>
              <w:left w:val="none" w:sz="6" w:space="0" w:color="auto"/>
              <w:bottom w:val="single" w:sz="3" w:space="0" w:color="000000"/>
              <w:right w:val="none" w:sz="6" w:space="0" w:color="auto"/>
            </w:tcBorders>
          </w:tcPr>
          <w:p w14:paraId="50A14379" w14:textId="77777777" w:rsidR="00FB6C69" w:rsidRPr="00FB6C69" w:rsidRDefault="00FB6C69" w:rsidP="00FB6C69">
            <w:pPr>
              <w:kinsoku w:val="0"/>
              <w:overflowPunct w:val="0"/>
              <w:autoSpaceDE w:val="0"/>
              <w:autoSpaceDN w:val="0"/>
              <w:adjustRightInd w:val="0"/>
              <w:spacing w:after="0" w:line="240" w:lineRule="auto"/>
              <w:ind w:left="96" w:right="79"/>
              <w:rPr>
                <w:rFonts w:ascii="Times New Roman" w:hAnsi="Times New Roman" w:cs="Times New Roman"/>
                <w:sz w:val="24"/>
                <w:szCs w:val="24"/>
              </w:rPr>
            </w:pPr>
            <w:bookmarkStart w:id="0" w:name="Section_16.1.3"/>
            <w:bookmarkStart w:id="1" w:name="DMGD0012401_16.1.03_List_of_ECs"/>
            <w:bookmarkStart w:id="2" w:name="Appendix_16.1.3_List_of_Independent_Ethi"/>
            <w:bookmarkStart w:id="3" w:name="1_List_of_Independent_Ethics_Committees_"/>
            <w:bookmarkStart w:id="4" w:name="Table_1-1_List_of_Independent_Ethics_Com"/>
            <w:bookmarkEnd w:id="0"/>
            <w:bookmarkEnd w:id="1"/>
            <w:bookmarkEnd w:id="2"/>
            <w:bookmarkEnd w:id="3"/>
            <w:bookmarkEnd w:id="4"/>
            <w:r w:rsidRPr="00FB6C69">
              <w:rPr>
                <w:b/>
                <w:bCs/>
                <w:sz w:val="16"/>
                <w:szCs w:val="16"/>
              </w:rPr>
              <w:t>Center No.</w:t>
            </w:r>
          </w:p>
        </w:tc>
        <w:tc>
          <w:tcPr>
            <w:tcW w:w="2594" w:type="dxa"/>
            <w:tcBorders>
              <w:top w:val="single" w:sz="3" w:space="0" w:color="000000"/>
              <w:left w:val="none" w:sz="6" w:space="0" w:color="auto"/>
              <w:bottom w:val="single" w:sz="3" w:space="0" w:color="000000"/>
              <w:right w:val="none" w:sz="6" w:space="0" w:color="auto"/>
            </w:tcBorders>
          </w:tcPr>
          <w:p w14:paraId="55A64A54" w14:textId="77777777" w:rsidR="00FB6C69" w:rsidRPr="00FB6C69" w:rsidRDefault="00FB6C69" w:rsidP="00FB6C69">
            <w:pPr>
              <w:kinsoku w:val="0"/>
              <w:overflowPunct w:val="0"/>
              <w:autoSpaceDE w:val="0"/>
              <w:autoSpaceDN w:val="0"/>
              <w:adjustRightInd w:val="0"/>
              <w:spacing w:after="0" w:line="240" w:lineRule="auto"/>
              <w:ind w:left="97" w:right="467"/>
              <w:rPr>
                <w:rFonts w:ascii="Times New Roman" w:hAnsi="Times New Roman" w:cs="Times New Roman"/>
                <w:sz w:val="24"/>
                <w:szCs w:val="24"/>
              </w:rPr>
            </w:pPr>
            <w:r w:rsidRPr="00FB6C69">
              <w:rPr>
                <w:b/>
                <w:bCs/>
                <w:sz w:val="16"/>
                <w:szCs w:val="16"/>
              </w:rPr>
              <w:t>Ethics Committee or Institutional Review Board</w:t>
            </w:r>
          </w:p>
        </w:tc>
        <w:tc>
          <w:tcPr>
            <w:tcW w:w="2286" w:type="dxa"/>
            <w:tcBorders>
              <w:top w:val="single" w:sz="3" w:space="0" w:color="000000"/>
              <w:left w:val="none" w:sz="6" w:space="0" w:color="auto"/>
              <w:bottom w:val="single" w:sz="3" w:space="0" w:color="000000"/>
              <w:right w:val="none" w:sz="6" w:space="0" w:color="auto"/>
            </w:tcBorders>
          </w:tcPr>
          <w:p w14:paraId="677E5C65" w14:textId="77777777" w:rsidR="00FB6C69" w:rsidRPr="00FB6C69" w:rsidRDefault="00FB6C69" w:rsidP="00FB6C69">
            <w:pPr>
              <w:kinsoku w:val="0"/>
              <w:overflowPunct w:val="0"/>
              <w:autoSpaceDE w:val="0"/>
              <w:autoSpaceDN w:val="0"/>
              <w:adjustRightInd w:val="0"/>
              <w:spacing w:after="0" w:line="180" w:lineRule="exact"/>
              <w:ind w:left="144"/>
              <w:rPr>
                <w:rFonts w:ascii="Times New Roman" w:hAnsi="Times New Roman" w:cs="Times New Roman"/>
                <w:sz w:val="24"/>
                <w:szCs w:val="24"/>
              </w:rPr>
            </w:pPr>
            <w:r w:rsidRPr="00FB6C69">
              <w:rPr>
                <w:b/>
                <w:bCs/>
                <w:sz w:val="16"/>
                <w:szCs w:val="16"/>
              </w:rPr>
              <w:t>Department / Organization</w:t>
            </w:r>
          </w:p>
        </w:tc>
        <w:tc>
          <w:tcPr>
            <w:tcW w:w="2283" w:type="dxa"/>
            <w:tcBorders>
              <w:top w:val="single" w:sz="3" w:space="0" w:color="000000"/>
              <w:left w:val="none" w:sz="6" w:space="0" w:color="auto"/>
              <w:bottom w:val="single" w:sz="3" w:space="0" w:color="000000"/>
              <w:right w:val="none" w:sz="6" w:space="0" w:color="auto"/>
            </w:tcBorders>
          </w:tcPr>
          <w:p w14:paraId="75AB6D66" w14:textId="77777777" w:rsidR="00FB6C69" w:rsidRPr="00FB6C69" w:rsidRDefault="00FB6C69" w:rsidP="00FB6C69">
            <w:pPr>
              <w:kinsoku w:val="0"/>
              <w:overflowPunct w:val="0"/>
              <w:autoSpaceDE w:val="0"/>
              <w:autoSpaceDN w:val="0"/>
              <w:adjustRightInd w:val="0"/>
              <w:spacing w:after="0" w:line="240" w:lineRule="auto"/>
              <w:ind w:left="127" w:right="589"/>
              <w:rPr>
                <w:rFonts w:ascii="Times New Roman" w:hAnsi="Times New Roman" w:cs="Times New Roman"/>
                <w:sz w:val="24"/>
                <w:szCs w:val="24"/>
              </w:rPr>
            </w:pPr>
            <w:r w:rsidRPr="00FB6C69">
              <w:rPr>
                <w:b/>
                <w:bCs/>
                <w:sz w:val="16"/>
                <w:szCs w:val="16"/>
              </w:rPr>
              <w:t>City, State/Province, Postal  Code Country</w:t>
            </w:r>
          </w:p>
        </w:tc>
      </w:tr>
      <w:tr w:rsidR="00FB6C69" w:rsidRPr="00FB6C69" w14:paraId="163F09B6" w14:textId="77777777">
        <w:trPr>
          <w:trHeight w:hRule="exact" w:val="652"/>
        </w:trPr>
        <w:tc>
          <w:tcPr>
            <w:tcW w:w="702" w:type="dxa"/>
            <w:tcBorders>
              <w:top w:val="single" w:sz="3" w:space="0" w:color="000000"/>
              <w:left w:val="none" w:sz="6" w:space="0" w:color="auto"/>
              <w:bottom w:val="single" w:sz="3" w:space="0" w:color="000000"/>
              <w:right w:val="none" w:sz="6" w:space="0" w:color="auto"/>
            </w:tcBorders>
          </w:tcPr>
          <w:p w14:paraId="6AEEEA9F" w14:textId="77777777" w:rsidR="00FB6C69" w:rsidRPr="00FB6C69" w:rsidRDefault="00FB6C69" w:rsidP="00FB6C69">
            <w:pPr>
              <w:kinsoku w:val="0"/>
              <w:overflowPunct w:val="0"/>
              <w:autoSpaceDE w:val="0"/>
              <w:autoSpaceDN w:val="0"/>
              <w:adjustRightInd w:val="0"/>
              <w:spacing w:after="0" w:line="240" w:lineRule="auto"/>
              <w:ind w:left="96"/>
              <w:rPr>
                <w:rFonts w:ascii="Times New Roman" w:hAnsi="Times New Roman" w:cs="Times New Roman"/>
                <w:sz w:val="24"/>
                <w:szCs w:val="24"/>
              </w:rPr>
            </w:pPr>
            <w:r w:rsidRPr="00FB6C69">
              <w:rPr>
                <w:sz w:val="16"/>
                <w:szCs w:val="16"/>
              </w:rPr>
              <w:t>0101</w:t>
            </w:r>
          </w:p>
        </w:tc>
        <w:tc>
          <w:tcPr>
            <w:tcW w:w="2594" w:type="dxa"/>
            <w:tcBorders>
              <w:top w:val="single" w:sz="3" w:space="0" w:color="000000"/>
              <w:left w:val="none" w:sz="6" w:space="0" w:color="auto"/>
              <w:bottom w:val="single" w:sz="3" w:space="0" w:color="000000"/>
              <w:right w:val="none" w:sz="6" w:space="0" w:color="auto"/>
            </w:tcBorders>
          </w:tcPr>
          <w:p w14:paraId="6AABC34E" w14:textId="77777777" w:rsidR="00FB6C69" w:rsidRPr="00FB6C69" w:rsidRDefault="00FB6C69" w:rsidP="00FB6C69">
            <w:pPr>
              <w:kinsoku w:val="0"/>
              <w:overflowPunct w:val="0"/>
              <w:autoSpaceDE w:val="0"/>
              <w:autoSpaceDN w:val="0"/>
              <w:adjustRightInd w:val="0"/>
              <w:spacing w:after="0" w:line="240" w:lineRule="auto"/>
              <w:ind w:left="97" w:right="460" w:hanging="2"/>
              <w:rPr>
                <w:rFonts w:ascii="Times New Roman" w:hAnsi="Times New Roman" w:cs="Times New Roman"/>
                <w:sz w:val="24"/>
                <w:szCs w:val="24"/>
              </w:rPr>
            </w:pPr>
            <w:r w:rsidRPr="00FB6C69">
              <w:rPr>
                <w:sz w:val="16"/>
                <w:szCs w:val="16"/>
              </w:rPr>
              <w:t>Western Institutional Review Board (WIRB)</w:t>
            </w:r>
          </w:p>
        </w:tc>
        <w:tc>
          <w:tcPr>
            <w:tcW w:w="2286" w:type="dxa"/>
            <w:tcBorders>
              <w:top w:val="single" w:sz="3" w:space="0" w:color="000000"/>
              <w:left w:val="none" w:sz="6" w:space="0" w:color="auto"/>
              <w:bottom w:val="single" w:sz="3" w:space="0" w:color="000000"/>
              <w:right w:val="none" w:sz="6" w:space="0" w:color="auto"/>
            </w:tcBorders>
          </w:tcPr>
          <w:p w14:paraId="5A7076C1" w14:textId="77777777" w:rsidR="00FB6C69" w:rsidRPr="00FB6C69" w:rsidRDefault="00FB6C69" w:rsidP="00FB6C69">
            <w:pPr>
              <w:kinsoku w:val="0"/>
              <w:overflowPunct w:val="0"/>
              <w:autoSpaceDE w:val="0"/>
              <w:autoSpaceDN w:val="0"/>
              <w:adjustRightInd w:val="0"/>
              <w:spacing w:after="0" w:line="240" w:lineRule="auto"/>
              <w:ind w:left="144"/>
              <w:rPr>
                <w:rFonts w:ascii="Times New Roman" w:hAnsi="Times New Roman" w:cs="Times New Roman"/>
                <w:sz w:val="24"/>
                <w:szCs w:val="24"/>
              </w:rPr>
            </w:pPr>
            <w:r w:rsidRPr="00FB6C69">
              <w:rPr>
                <w:sz w:val="16"/>
                <w:szCs w:val="16"/>
              </w:rPr>
              <w:t>NA</w:t>
            </w:r>
          </w:p>
        </w:tc>
        <w:tc>
          <w:tcPr>
            <w:tcW w:w="2283" w:type="dxa"/>
            <w:tcBorders>
              <w:top w:val="single" w:sz="3" w:space="0" w:color="000000"/>
              <w:left w:val="none" w:sz="6" w:space="0" w:color="auto"/>
              <w:bottom w:val="single" w:sz="3" w:space="0" w:color="000000"/>
              <w:right w:val="none" w:sz="6" w:space="0" w:color="auto"/>
            </w:tcBorders>
          </w:tcPr>
          <w:p w14:paraId="2788A7C7" w14:textId="77777777" w:rsidR="00FB6C69" w:rsidRPr="00FB6C69" w:rsidRDefault="00FB6C69" w:rsidP="00FB6C69">
            <w:pPr>
              <w:kinsoku w:val="0"/>
              <w:overflowPunct w:val="0"/>
              <w:autoSpaceDE w:val="0"/>
              <w:autoSpaceDN w:val="0"/>
              <w:adjustRightInd w:val="0"/>
              <w:spacing w:after="0" w:line="240" w:lineRule="auto"/>
              <w:ind w:left="128"/>
              <w:rPr>
                <w:sz w:val="16"/>
                <w:szCs w:val="16"/>
              </w:rPr>
            </w:pPr>
            <w:r w:rsidRPr="00FB6C69">
              <w:rPr>
                <w:sz w:val="16"/>
                <w:szCs w:val="16"/>
              </w:rPr>
              <w:t>Puyallup Washington 98374-</w:t>
            </w:r>
          </w:p>
          <w:p w14:paraId="409932B8" w14:textId="77777777" w:rsidR="00FB6C69" w:rsidRPr="00FB6C69" w:rsidRDefault="00FB6C69" w:rsidP="00FB6C69">
            <w:pPr>
              <w:kinsoku w:val="0"/>
              <w:overflowPunct w:val="0"/>
              <w:autoSpaceDE w:val="0"/>
              <w:autoSpaceDN w:val="0"/>
              <w:adjustRightInd w:val="0"/>
              <w:spacing w:after="0" w:line="240" w:lineRule="auto"/>
              <w:ind w:left="127"/>
              <w:rPr>
                <w:sz w:val="16"/>
                <w:szCs w:val="16"/>
              </w:rPr>
            </w:pPr>
            <w:r w:rsidRPr="00FB6C69">
              <w:rPr>
                <w:sz w:val="16"/>
                <w:szCs w:val="16"/>
              </w:rPr>
              <w:t>2115</w:t>
            </w:r>
          </w:p>
          <w:p w14:paraId="503B83E0" w14:textId="77777777" w:rsidR="00FB6C69" w:rsidRPr="00FB6C69" w:rsidRDefault="00FB6C69" w:rsidP="00FB6C69">
            <w:pPr>
              <w:kinsoku w:val="0"/>
              <w:overflowPunct w:val="0"/>
              <w:autoSpaceDE w:val="0"/>
              <w:autoSpaceDN w:val="0"/>
              <w:adjustRightInd w:val="0"/>
              <w:spacing w:after="0" w:line="240" w:lineRule="auto"/>
              <w:ind w:left="127"/>
              <w:rPr>
                <w:rFonts w:ascii="Times New Roman" w:hAnsi="Times New Roman" w:cs="Times New Roman"/>
                <w:sz w:val="24"/>
                <w:szCs w:val="24"/>
              </w:rPr>
            </w:pPr>
            <w:r w:rsidRPr="00FB6C69">
              <w:rPr>
                <w:sz w:val="16"/>
                <w:szCs w:val="16"/>
              </w:rPr>
              <w:t>United States</w:t>
            </w:r>
          </w:p>
        </w:tc>
      </w:tr>
      <w:tr w:rsidR="00FB6C69" w:rsidRPr="00FB6C69" w14:paraId="5B69E14D" w14:textId="77777777">
        <w:trPr>
          <w:trHeight w:hRule="exact" w:val="652"/>
        </w:trPr>
        <w:tc>
          <w:tcPr>
            <w:tcW w:w="702" w:type="dxa"/>
            <w:tcBorders>
              <w:top w:val="single" w:sz="3" w:space="0" w:color="000000"/>
              <w:left w:val="none" w:sz="6" w:space="0" w:color="auto"/>
              <w:bottom w:val="single" w:sz="3" w:space="0" w:color="000000"/>
              <w:right w:val="none" w:sz="6" w:space="0" w:color="auto"/>
            </w:tcBorders>
          </w:tcPr>
          <w:p w14:paraId="0B643CB9" w14:textId="77777777" w:rsidR="00FB6C69" w:rsidRPr="00FB6C69" w:rsidRDefault="00FB6C69" w:rsidP="00FB6C69">
            <w:pPr>
              <w:kinsoku w:val="0"/>
              <w:overflowPunct w:val="0"/>
              <w:autoSpaceDE w:val="0"/>
              <w:autoSpaceDN w:val="0"/>
              <w:adjustRightInd w:val="0"/>
              <w:spacing w:after="0" w:line="240" w:lineRule="auto"/>
              <w:ind w:left="96"/>
              <w:rPr>
                <w:rFonts w:ascii="Times New Roman" w:hAnsi="Times New Roman" w:cs="Times New Roman"/>
                <w:sz w:val="24"/>
                <w:szCs w:val="24"/>
              </w:rPr>
            </w:pPr>
            <w:r w:rsidRPr="00FB6C69">
              <w:rPr>
                <w:sz w:val="16"/>
                <w:szCs w:val="16"/>
              </w:rPr>
              <w:t>0102</w:t>
            </w:r>
          </w:p>
        </w:tc>
        <w:tc>
          <w:tcPr>
            <w:tcW w:w="2594" w:type="dxa"/>
            <w:tcBorders>
              <w:top w:val="single" w:sz="3" w:space="0" w:color="000000"/>
              <w:left w:val="none" w:sz="6" w:space="0" w:color="auto"/>
              <w:bottom w:val="single" w:sz="3" w:space="0" w:color="000000"/>
              <w:right w:val="none" w:sz="6" w:space="0" w:color="auto"/>
            </w:tcBorders>
          </w:tcPr>
          <w:p w14:paraId="1F7A4220" w14:textId="77777777" w:rsidR="00FB6C69" w:rsidRPr="00FB6C69" w:rsidRDefault="00FB6C69" w:rsidP="00FB6C69">
            <w:pPr>
              <w:kinsoku w:val="0"/>
              <w:overflowPunct w:val="0"/>
              <w:autoSpaceDE w:val="0"/>
              <w:autoSpaceDN w:val="0"/>
              <w:adjustRightInd w:val="0"/>
              <w:spacing w:after="0" w:line="240" w:lineRule="auto"/>
              <w:ind w:left="97" w:right="460" w:hanging="2"/>
              <w:rPr>
                <w:rFonts w:ascii="Times New Roman" w:hAnsi="Times New Roman" w:cs="Times New Roman"/>
                <w:sz w:val="24"/>
                <w:szCs w:val="24"/>
              </w:rPr>
            </w:pPr>
            <w:r w:rsidRPr="00FB6C69">
              <w:rPr>
                <w:sz w:val="16"/>
                <w:szCs w:val="16"/>
              </w:rPr>
              <w:t>Western Institutional Review Board (WIRB)</w:t>
            </w:r>
          </w:p>
        </w:tc>
        <w:tc>
          <w:tcPr>
            <w:tcW w:w="2286" w:type="dxa"/>
            <w:tcBorders>
              <w:top w:val="single" w:sz="3" w:space="0" w:color="000000"/>
              <w:left w:val="none" w:sz="6" w:space="0" w:color="auto"/>
              <w:bottom w:val="single" w:sz="3" w:space="0" w:color="000000"/>
              <w:right w:val="none" w:sz="6" w:space="0" w:color="auto"/>
            </w:tcBorders>
          </w:tcPr>
          <w:p w14:paraId="304792F4" w14:textId="77777777" w:rsidR="00FB6C69" w:rsidRPr="00FB6C69" w:rsidRDefault="00FB6C69" w:rsidP="00FB6C69">
            <w:pPr>
              <w:kinsoku w:val="0"/>
              <w:overflowPunct w:val="0"/>
              <w:autoSpaceDE w:val="0"/>
              <w:autoSpaceDN w:val="0"/>
              <w:adjustRightInd w:val="0"/>
              <w:spacing w:after="0" w:line="240" w:lineRule="auto"/>
              <w:ind w:left="144"/>
              <w:rPr>
                <w:rFonts w:ascii="Times New Roman" w:hAnsi="Times New Roman" w:cs="Times New Roman"/>
                <w:sz w:val="24"/>
                <w:szCs w:val="24"/>
              </w:rPr>
            </w:pPr>
            <w:r w:rsidRPr="00FB6C69">
              <w:rPr>
                <w:sz w:val="16"/>
                <w:szCs w:val="16"/>
              </w:rPr>
              <w:t>NA</w:t>
            </w:r>
          </w:p>
        </w:tc>
        <w:tc>
          <w:tcPr>
            <w:tcW w:w="2283" w:type="dxa"/>
            <w:tcBorders>
              <w:top w:val="single" w:sz="3" w:space="0" w:color="000000"/>
              <w:left w:val="none" w:sz="6" w:space="0" w:color="auto"/>
              <w:bottom w:val="single" w:sz="3" w:space="0" w:color="000000"/>
              <w:right w:val="none" w:sz="6" w:space="0" w:color="auto"/>
            </w:tcBorders>
          </w:tcPr>
          <w:p w14:paraId="44DD5F80" w14:textId="77777777" w:rsidR="00FB6C69" w:rsidRPr="00FB6C69" w:rsidRDefault="00FB6C69" w:rsidP="00FB6C69">
            <w:pPr>
              <w:kinsoku w:val="0"/>
              <w:overflowPunct w:val="0"/>
              <w:autoSpaceDE w:val="0"/>
              <w:autoSpaceDN w:val="0"/>
              <w:adjustRightInd w:val="0"/>
              <w:spacing w:after="0" w:line="240" w:lineRule="auto"/>
              <w:ind w:left="128"/>
              <w:rPr>
                <w:sz w:val="16"/>
                <w:szCs w:val="16"/>
              </w:rPr>
            </w:pPr>
            <w:r w:rsidRPr="00FB6C69">
              <w:rPr>
                <w:sz w:val="16"/>
                <w:szCs w:val="16"/>
              </w:rPr>
              <w:t>Puyallup Washington 98374-</w:t>
            </w:r>
          </w:p>
          <w:p w14:paraId="7BA58890" w14:textId="77777777" w:rsidR="00FB6C69" w:rsidRPr="00FB6C69" w:rsidRDefault="00FB6C69" w:rsidP="00FB6C69">
            <w:pPr>
              <w:kinsoku w:val="0"/>
              <w:overflowPunct w:val="0"/>
              <w:autoSpaceDE w:val="0"/>
              <w:autoSpaceDN w:val="0"/>
              <w:adjustRightInd w:val="0"/>
              <w:spacing w:after="0" w:line="240" w:lineRule="auto"/>
              <w:ind w:left="127"/>
              <w:rPr>
                <w:sz w:val="16"/>
                <w:szCs w:val="16"/>
              </w:rPr>
            </w:pPr>
            <w:r w:rsidRPr="00FB6C69">
              <w:rPr>
                <w:sz w:val="16"/>
                <w:szCs w:val="16"/>
              </w:rPr>
              <w:t>2115</w:t>
            </w:r>
          </w:p>
          <w:p w14:paraId="1874FF11" w14:textId="77777777" w:rsidR="00FB6C69" w:rsidRPr="00FB6C69" w:rsidRDefault="00FB6C69" w:rsidP="00FB6C69">
            <w:pPr>
              <w:kinsoku w:val="0"/>
              <w:overflowPunct w:val="0"/>
              <w:autoSpaceDE w:val="0"/>
              <w:autoSpaceDN w:val="0"/>
              <w:adjustRightInd w:val="0"/>
              <w:spacing w:after="0" w:line="240" w:lineRule="auto"/>
              <w:ind w:left="127"/>
              <w:rPr>
                <w:rFonts w:ascii="Times New Roman" w:hAnsi="Times New Roman" w:cs="Times New Roman"/>
                <w:sz w:val="24"/>
                <w:szCs w:val="24"/>
              </w:rPr>
            </w:pPr>
            <w:r w:rsidRPr="00FB6C69">
              <w:rPr>
                <w:sz w:val="16"/>
                <w:szCs w:val="16"/>
              </w:rPr>
              <w:t>United States</w:t>
            </w:r>
          </w:p>
        </w:tc>
      </w:tr>
      <w:tr w:rsidR="00FB6C69" w:rsidRPr="00FB6C69" w14:paraId="4E9F57C6" w14:textId="77777777">
        <w:trPr>
          <w:trHeight w:hRule="exact" w:val="376"/>
        </w:trPr>
        <w:tc>
          <w:tcPr>
            <w:tcW w:w="702" w:type="dxa"/>
            <w:tcBorders>
              <w:top w:val="single" w:sz="3" w:space="0" w:color="000000"/>
              <w:left w:val="none" w:sz="6" w:space="0" w:color="auto"/>
              <w:bottom w:val="none" w:sz="6" w:space="0" w:color="auto"/>
              <w:right w:val="none" w:sz="6" w:space="0" w:color="auto"/>
            </w:tcBorders>
          </w:tcPr>
          <w:p w14:paraId="07F534AC" w14:textId="77777777" w:rsidR="00FB6C69" w:rsidRPr="00FB6C69" w:rsidRDefault="00FB6C69" w:rsidP="00FB6C69">
            <w:pPr>
              <w:kinsoku w:val="0"/>
              <w:overflowPunct w:val="0"/>
              <w:autoSpaceDE w:val="0"/>
              <w:autoSpaceDN w:val="0"/>
              <w:adjustRightInd w:val="0"/>
              <w:spacing w:after="0" w:line="240" w:lineRule="auto"/>
              <w:ind w:left="96"/>
              <w:rPr>
                <w:rFonts w:ascii="Times New Roman" w:hAnsi="Times New Roman" w:cs="Times New Roman"/>
                <w:sz w:val="24"/>
                <w:szCs w:val="24"/>
              </w:rPr>
            </w:pPr>
            <w:r w:rsidRPr="00FB6C69">
              <w:rPr>
                <w:sz w:val="16"/>
                <w:szCs w:val="16"/>
              </w:rPr>
              <w:t>0104</w:t>
            </w:r>
          </w:p>
        </w:tc>
        <w:tc>
          <w:tcPr>
            <w:tcW w:w="2594" w:type="dxa"/>
            <w:tcBorders>
              <w:top w:val="single" w:sz="3" w:space="0" w:color="000000"/>
              <w:left w:val="none" w:sz="6" w:space="0" w:color="auto"/>
              <w:bottom w:val="none" w:sz="6" w:space="0" w:color="auto"/>
              <w:right w:val="none" w:sz="6" w:space="0" w:color="auto"/>
            </w:tcBorders>
          </w:tcPr>
          <w:p w14:paraId="64F25AF6" w14:textId="77777777" w:rsidR="00FB6C69" w:rsidRPr="00FB6C69" w:rsidRDefault="00FB6C69" w:rsidP="00FB6C69">
            <w:pPr>
              <w:kinsoku w:val="0"/>
              <w:overflowPunct w:val="0"/>
              <w:autoSpaceDE w:val="0"/>
              <w:autoSpaceDN w:val="0"/>
              <w:adjustRightInd w:val="0"/>
              <w:spacing w:after="0" w:line="240" w:lineRule="auto"/>
              <w:ind w:left="97" w:right="460" w:hanging="2"/>
              <w:rPr>
                <w:rFonts w:ascii="Times New Roman" w:hAnsi="Times New Roman" w:cs="Times New Roman"/>
                <w:sz w:val="24"/>
                <w:szCs w:val="24"/>
              </w:rPr>
            </w:pPr>
            <w:r w:rsidRPr="00FB6C69">
              <w:rPr>
                <w:sz w:val="16"/>
                <w:szCs w:val="16"/>
              </w:rPr>
              <w:t>Western Institutional Review Board (WIRB)</w:t>
            </w:r>
          </w:p>
        </w:tc>
        <w:tc>
          <w:tcPr>
            <w:tcW w:w="2286" w:type="dxa"/>
            <w:tcBorders>
              <w:top w:val="single" w:sz="3" w:space="0" w:color="000000"/>
              <w:left w:val="none" w:sz="6" w:space="0" w:color="auto"/>
              <w:bottom w:val="none" w:sz="6" w:space="0" w:color="auto"/>
              <w:right w:val="none" w:sz="6" w:space="0" w:color="auto"/>
            </w:tcBorders>
          </w:tcPr>
          <w:p w14:paraId="40987D36" w14:textId="77777777" w:rsidR="00FB6C69" w:rsidRPr="00FB6C69" w:rsidRDefault="00FB6C69" w:rsidP="00FB6C69">
            <w:pPr>
              <w:kinsoku w:val="0"/>
              <w:overflowPunct w:val="0"/>
              <w:autoSpaceDE w:val="0"/>
              <w:autoSpaceDN w:val="0"/>
              <w:adjustRightInd w:val="0"/>
              <w:spacing w:after="0" w:line="240" w:lineRule="auto"/>
              <w:ind w:left="144"/>
              <w:rPr>
                <w:rFonts w:ascii="Times New Roman" w:hAnsi="Times New Roman" w:cs="Times New Roman"/>
                <w:sz w:val="24"/>
                <w:szCs w:val="24"/>
              </w:rPr>
            </w:pPr>
            <w:r w:rsidRPr="00FB6C69">
              <w:rPr>
                <w:sz w:val="16"/>
                <w:szCs w:val="16"/>
              </w:rPr>
              <w:t>NA</w:t>
            </w:r>
          </w:p>
        </w:tc>
        <w:tc>
          <w:tcPr>
            <w:tcW w:w="2283" w:type="dxa"/>
            <w:tcBorders>
              <w:top w:val="single" w:sz="3" w:space="0" w:color="000000"/>
              <w:left w:val="none" w:sz="6" w:space="0" w:color="auto"/>
              <w:bottom w:val="none" w:sz="6" w:space="0" w:color="auto"/>
              <w:right w:val="none" w:sz="6" w:space="0" w:color="auto"/>
            </w:tcBorders>
          </w:tcPr>
          <w:p w14:paraId="35086566" w14:textId="77777777" w:rsidR="00FB6C69" w:rsidRPr="00FB6C69" w:rsidRDefault="00FB6C69" w:rsidP="00FB6C69">
            <w:pPr>
              <w:kinsoku w:val="0"/>
              <w:overflowPunct w:val="0"/>
              <w:autoSpaceDE w:val="0"/>
              <w:autoSpaceDN w:val="0"/>
              <w:adjustRightInd w:val="0"/>
              <w:spacing w:after="0" w:line="240" w:lineRule="auto"/>
              <w:ind w:left="128"/>
              <w:rPr>
                <w:sz w:val="16"/>
                <w:szCs w:val="16"/>
              </w:rPr>
            </w:pPr>
            <w:r w:rsidRPr="00FB6C69">
              <w:rPr>
                <w:sz w:val="16"/>
                <w:szCs w:val="16"/>
              </w:rPr>
              <w:t>Puyallup Washington 98374-</w:t>
            </w:r>
          </w:p>
          <w:p w14:paraId="1E26B94C" w14:textId="77777777" w:rsidR="00FB6C69" w:rsidRPr="00FB6C69" w:rsidRDefault="00FB6C69" w:rsidP="00FB6C69">
            <w:pPr>
              <w:kinsoku w:val="0"/>
              <w:overflowPunct w:val="0"/>
              <w:autoSpaceDE w:val="0"/>
              <w:autoSpaceDN w:val="0"/>
              <w:adjustRightInd w:val="0"/>
              <w:spacing w:after="0" w:line="240" w:lineRule="auto"/>
              <w:ind w:left="127"/>
              <w:rPr>
                <w:rFonts w:ascii="Times New Roman" w:hAnsi="Times New Roman" w:cs="Times New Roman"/>
                <w:sz w:val="24"/>
                <w:szCs w:val="24"/>
              </w:rPr>
            </w:pPr>
            <w:r w:rsidRPr="00FB6C69">
              <w:rPr>
                <w:sz w:val="16"/>
                <w:szCs w:val="16"/>
              </w:rPr>
              <w:t>2115</w:t>
            </w:r>
          </w:p>
        </w:tc>
      </w:tr>
      <w:tr w:rsidR="00FB6C69" w:rsidRPr="00FB6C69" w14:paraId="0DFA52C8" w14:textId="77777777">
        <w:trPr>
          <w:trHeight w:hRule="exact" w:val="276"/>
        </w:trPr>
        <w:tc>
          <w:tcPr>
            <w:tcW w:w="702" w:type="dxa"/>
            <w:tcBorders>
              <w:top w:val="none" w:sz="6" w:space="0" w:color="auto"/>
              <w:left w:val="none" w:sz="6" w:space="0" w:color="auto"/>
              <w:bottom w:val="single" w:sz="3" w:space="0" w:color="000000"/>
              <w:right w:val="none" w:sz="6" w:space="0" w:color="auto"/>
            </w:tcBorders>
          </w:tcPr>
          <w:p w14:paraId="51F7257D"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594" w:type="dxa"/>
            <w:tcBorders>
              <w:top w:val="none" w:sz="6" w:space="0" w:color="auto"/>
              <w:left w:val="none" w:sz="6" w:space="0" w:color="auto"/>
              <w:bottom w:val="single" w:sz="3" w:space="0" w:color="000000"/>
              <w:right w:val="none" w:sz="6" w:space="0" w:color="auto"/>
            </w:tcBorders>
          </w:tcPr>
          <w:p w14:paraId="11660F18"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286" w:type="dxa"/>
            <w:tcBorders>
              <w:top w:val="none" w:sz="6" w:space="0" w:color="auto"/>
              <w:left w:val="none" w:sz="6" w:space="0" w:color="auto"/>
              <w:bottom w:val="single" w:sz="3" w:space="0" w:color="000000"/>
              <w:right w:val="none" w:sz="6" w:space="0" w:color="auto"/>
            </w:tcBorders>
          </w:tcPr>
          <w:p w14:paraId="135DC7AA"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283" w:type="dxa"/>
            <w:tcBorders>
              <w:top w:val="none" w:sz="6" w:space="0" w:color="auto"/>
              <w:left w:val="none" w:sz="6" w:space="0" w:color="auto"/>
              <w:bottom w:val="single" w:sz="3" w:space="0" w:color="000000"/>
              <w:right w:val="none" w:sz="6" w:space="0" w:color="auto"/>
            </w:tcBorders>
          </w:tcPr>
          <w:p w14:paraId="0FC1843A" w14:textId="77777777" w:rsidR="00FB6C69" w:rsidRPr="00FB6C69" w:rsidRDefault="00FB6C69" w:rsidP="00FB6C69">
            <w:pPr>
              <w:kinsoku w:val="0"/>
              <w:overflowPunct w:val="0"/>
              <w:autoSpaceDE w:val="0"/>
              <w:autoSpaceDN w:val="0"/>
              <w:adjustRightInd w:val="0"/>
              <w:spacing w:after="0" w:line="183" w:lineRule="exact"/>
              <w:ind w:left="127"/>
              <w:rPr>
                <w:rFonts w:ascii="Times New Roman" w:hAnsi="Times New Roman" w:cs="Times New Roman"/>
                <w:sz w:val="24"/>
                <w:szCs w:val="24"/>
              </w:rPr>
            </w:pPr>
            <w:r w:rsidRPr="00FB6C69">
              <w:rPr>
                <w:sz w:val="16"/>
                <w:szCs w:val="16"/>
              </w:rPr>
              <w:t>United States</w:t>
            </w:r>
          </w:p>
        </w:tc>
      </w:tr>
      <w:tr w:rsidR="00FB6C69" w:rsidRPr="00FB6C69" w14:paraId="1B8C9ED2" w14:textId="77777777">
        <w:trPr>
          <w:trHeight w:hRule="exact" w:val="192"/>
        </w:trPr>
        <w:tc>
          <w:tcPr>
            <w:tcW w:w="702" w:type="dxa"/>
            <w:tcBorders>
              <w:top w:val="single" w:sz="3" w:space="0" w:color="000000"/>
              <w:left w:val="none" w:sz="6" w:space="0" w:color="auto"/>
              <w:bottom w:val="none" w:sz="6" w:space="0" w:color="auto"/>
              <w:right w:val="none" w:sz="6" w:space="0" w:color="auto"/>
            </w:tcBorders>
          </w:tcPr>
          <w:p w14:paraId="57466E7D" w14:textId="77777777" w:rsidR="00FB6C69" w:rsidRPr="00FB6C69" w:rsidRDefault="00FB6C69" w:rsidP="00FB6C69">
            <w:pPr>
              <w:kinsoku w:val="0"/>
              <w:overflowPunct w:val="0"/>
              <w:autoSpaceDE w:val="0"/>
              <w:autoSpaceDN w:val="0"/>
              <w:adjustRightInd w:val="0"/>
              <w:spacing w:after="0" w:line="240" w:lineRule="auto"/>
              <w:ind w:left="96"/>
              <w:rPr>
                <w:rFonts w:ascii="Times New Roman" w:hAnsi="Times New Roman" w:cs="Times New Roman"/>
                <w:sz w:val="24"/>
                <w:szCs w:val="24"/>
              </w:rPr>
            </w:pPr>
            <w:r w:rsidRPr="00FB6C69">
              <w:rPr>
                <w:sz w:val="16"/>
                <w:szCs w:val="16"/>
              </w:rPr>
              <w:t>0201</w:t>
            </w:r>
          </w:p>
        </w:tc>
        <w:tc>
          <w:tcPr>
            <w:tcW w:w="2594" w:type="dxa"/>
            <w:tcBorders>
              <w:top w:val="single" w:sz="3" w:space="0" w:color="000000"/>
              <w:left w:val="none" w:sz="6" w:space="0" w:color="auto"/>
              <w:bottom w:val="none" w:sz="6" w:space="0" w:color="auto"/>
              <w:right w:val="none" w:sz="6" w:space="0" w:color="auto"/>
            </w:tcBorders>
          </w:tcPr>
          <w:p w14:paraId="44099537" w14:textId="77777777" w:rsidR="00FB6C69" w:rsidRPr="00FB6C69" w:rsidRDefault="00FB6C69" w:rsidP="00FB6C69">
            <w:pPr>
              <w:kinsoku w:val="0"/>
              <w:overflowPunct w:val="0"/>
              <w:autoSpaceDE w:val="0"/>
              <w:autoSpaceDN w:val="0"/>
              <w:adjustRightInd w:val="0"/>
              <w:spacing w:after="0" w:line="240" w:lineRule="auto"/>
              <w:ind w:left="95"/>
              <w:rPr>
                <w:rFonts w:ascii="Times New Roman" w:hAnsi="Times New Roman" w:cs="Times New Roman"/>
                <w:sz w:val="24"/>
                <w:szCs w:val="24"/>
              </w:rPr>
            </w:pPr>
            <w:r w:rsidRPr="00FB6C69">
              <w:rPr>
                <w:sz w:val="16"/>
                <w:szCs w:val="16"/>
              </w:rPr>
              <w:t>University of Waterloo</w:t>
            </w:r>
          </w:p>
        </w:tc>
        <w:tc>
          <w:tcPr>
            <w:tcW w:w="2286" w:type="dxa"/>
            <w:tcBorders>
              <w:top w:val="single" w:sz="3" w:space="0" w:color="000000"/>
              <w:left w:val="none" w:sz="6" w:space="0" w:color="auto"/>
              <w:bottom w:val="none" w:sz="6" w:space="0" w:color="auto"/>
              <w:right w:val="none" w:sz="6" w:space="0" w:color="auto"/>
            </w:tcBorders>
          </w:tcPr>
          <w:p w14:paraId="3EAE36B9" w14:textId="77777777" w:rsidR="00FB6C69" w:rsidRPr="00FB6C69" w:rsidRDefault="00FB6C69" w:rsidP="00FB6C69">
            <w:pPr>
              <w:kinsoku w:val="0"/>
              <w:overflowPunct w:val="0"/>
              <w:autoSpaceDE w:val="0"/>
              <w:autoSpaceDN w:val="0"/>
              <w:adjustRightInd w:val="0"/>
              <w:spacing w:after="0" w:line="240" w:lineRule="auto"/>
              <w:ind w:left="145"/>
              <w:rPr>
                <w:rFonts w:ascii="Times New Roman" w:hAnsi="Times New Roman" w:cs="Times New Roman"/>
                <w:sz w:val="24"/>
                <w:szCs w:val="24"/>
              </w:rPr>
            </w:pPr>
            <w:r w:rsidRPr="00FB6C69">
              <w:rPr>
                <w:sz w:val="16"/>
                <w:szCs w:val="16"/>
              </w:rPr>
              <w:t>NA</w:t>
            </w:r>
          </w:p>
        </w:tc>
        <w:tc>
          <w:tcPr>
            <w:tcW w:w="2283" w:type="dxa"/>
            <w:tcBorders>
              <w:top w:val="single" w:sz="3" w:space="0" w:color="000000"/>
              <w:left w:val="none" w:sz="6" w:space="0" w:color="auto"/>
              <w:bottom w:val="none" w:sz="6" w:space="0" w:color="auto"/>
              <w:right w:val="none" w:sz="6" w:space="0" w:color="auto"/>
            </w:tcBorders>
          </w:tcPr>
          <w:p w14:paraId="3C762595" w14:textId="77777777" w:rsidR="00FB6C69" w:rsidRPr="00FB6C69" w:rsidRDefault="00FB6C69" w:rsidP="00FB6C69">
            <w:pPr>
              <w:kinsoku w:val="0"/>
              <w:overflowPunct w:val="0"/>
              <w:autoSpaceDE w:val="0"/>
              <w:autoSpaceDN w:val="0"/>
              <w:adjustRightInd w:val="0"/>
              <w:spacing w:after="0" w:line="240" w:lineRule="auto"/>
              <w:ind w:left="170"/>
              <w:rPr>
                <w:rFonts w:ascii="Times New Roman" w:hAnsi="Times New Roman" w:cs="Times New Roman"/>
                <w:sz w:val="24"/>
                <w:szCs w:val="24"/>
              </w:rPr>
            </w:pPr>
            <w:r w:rsidRPr="00FB6C69">
              <w:rPr>
                <w:sz w:val="16"/>
                <w:szCs w:val="16"/>
              </w:rPr>
              <w:t>Waterloo Ontario N2L 3G1</w:t>
            </w:r>
          </w:p>
        </w:tc>
      </w:tr>
      <w:tr w:rsidR="00FB6C69" w:rsidRPr="00FB6C69" w14:paraId="055324AE" w14:textId="77777777">
        <w:trPr>
          <w:trHeight w:hRule="exact" w:val="246"/>
        </w:trPr>
        <w:tc>
          <w:tcPr>
            <w:tcW w:w="702" w:type="dxa"/>
            <w:tcBorders>
              <w:top w:val="none" w:sz="6" w:space="0" w:color="auto"/>
              <w:left w:val="none" w:sz="6" w:space="0" w:color="auto"/>
              <w:bottom w:val="single" w:sz="3" w:space="0" w:color="000000"/>
              <w:right w:val="none" w:sz="6" w:space="0" w:color="auto"/>
            </w:tcBorders>
          </w:tcPr>
          <w:p w14:paraId="7CB5A205"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594" w:type="dxa"/>
            <w:tcBorders>
              <w:top w:val="none" w:sz="6" w:space="0" w:color="auto"/>
              <w:left w:val="none" w:sz="6" w:space="0" w:color="auto"/>
              <w:bottom w:val="single" w:sz="3" w:space="0" w:color="000000"/>
              <w:right w:val="none" w:sz="6" w:space="0" w:color="auto"/>
            </w:tcBorders>
          </w:tcPr>
          <w:p w14:paraId="5F15A1CF"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286" w:type="dxa"/>
            <w:tcBorders>
              <w:top w:val="none" w:sz="6" w:space="0" w:color="auto"/>
              <w:left w:val="none" w:sz="6" w:space="0" w:color="auto"/>
              <w:bottom w:val="single" w:sz="3" w:space="0" w:color="000000"/>
              <w:right w:val="none" w:sz="6" w:space="0" w:color="auto"/>
            </w:tcBorders>
          </w:tcPr>
          <w:p w14:paraId="5BED761D"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283" w:type="dxa"/>
            <w:tcBorders>
              <w:top w:val="none" w:sz="6" w:space="0" w:color="auto"/>
              <w:left w:val="none" w:sz="6" w:space="0" w:color="auto"/>
              <w:bottom w:val="single" w:sz="3" w:space="0" w:color="000000"/>
              <w:right w:val="none" w:sz="6" w:space="0" w:color="auto"/>
            </w:tcBorders>
          </w:tcPr>
          <w:p w14:paraId="3FD9104D" w14:textId="77777777" w:rsidR="00FB6C69" w:rsidRPr="00FB6C69" w:rsidRDefault="00FB6C69" w:rsidP="00FB6C69">
            <w:pPr>
              <w:kinsoku w:val="0"/>
              <w:overflowPunct w:val="0"/>
              <w:autoSpaceDE w:val="0"/>
              <w:autoSpaceDN w:val="0"/>
              <w:adjustRightInd w:val="0"/>
              <w:spacing w:after="0" w:line="183" w:lineRule="exact"/>
              <w:ind w:left="127"/>
              <w:rPr>
                <w:rFonts w:ascii="Times New Roman" w:hAnsi="Times New Roman" w:cs="Times New Roman"/>
                <w:sz w:val="24"/>
                <w:szCs w:val="24"/>
              </w:rPr>
            </w:pPr>
            <w:r w:rsidRPr="00FB6C69">
              <w:rPr>
                <w:sz w:val="16"/>
                <w:szCs w:val="16"/>
              </w:rPr>
              <w:t>Canada</w:t>
            </w:r>
          </w:p>
        </w:tc>
      </w:tr>
      <w:tr w:rsidR="00FB6C69" w:rsidRPr="00FB6C69" w14:paraId="4C1EE177" w14:textId="77777777">
        <w:trPr>
          <w:trHeight w:hRule="exact" w:val="192"/>
        </w:trPr>
        <w:tc>
          <w:tcPr>
            <w:tcW w:w="702" w:type="dxa"/>
            <w:tcBorders>
              <w:top w:val="single" w:sz="3" w:space="0" w:color="000000"/>
              <w:left w:val="none" w:sz="6" w:space="0" w:color="auto"/>
              <w:bottom w:val="none" w:sz="6" w:space="0" w:color="auto"/>
              <w:right w:val="none" w:sz="6" w:space="0" w:color="auto"/>
            </w:tcBorders>
          </w:tcPr>
          <w:p w14:paraId="61B2DE5B" w14:textId="77777777" w:rsidR="00FB6C69" w:rsidRPr="00FB6C69" w:rsidRDefault="00FB6C69" w:rsidP="00FB6C69">
            <w:pPr>
              <w:kinsoku w:val="0"/>
              <w:overflowPunct w:val="0"/>
              <w:autoSpaceDE w:val="0"/>
              <w:autoSpaceDN w:val="0"/>
              <w:adjustRightInd w:val="0"/>
              <w:spacing w:after="0" w:line="240" w:lineRule="auto"/>
              <w:ind w:left="96"/>
              <w:rPr>
                <w:rFonts w:ascii="Times New Roman" w:hAnsi="Times New Roman" w:cs="Times New Roman"/>
                <w:sz w:val="24"/>
                <w:szCs w:val="24"/>
              </w:rPr>
            </w:pPr>
            <w:r w:rsidRPr="00FB6C69">
              <w:rPr>
                <w:sz w:val="16"/>
                <w:szCs w:val="16"/>
              </w:rPr>
              <w:t>0301</w:t>
            </w:r>
          </w:p>
        </w:tc>
        <w:tc>
          <w:tcPr>
            <w:tcW w:w="2594" w:type="dxa"/>
            <w:tcBorders>
              <w:top w:val="single" w:sz="3" w:space="0" w:color="000000"/>
              <w:left w:val="none" w:sz="6" w:space="0" w:color="auto"/>
              <w:bottom w:val="none" w:sz="6" w:space="0" w:color="auto"/>
              <w:right w:val="none" w:sz="6" w:space="0" w:color="auto"/>
            </w:tcBorders>
          </w:tcPr>
          <w:p w14:paraId="26093D46" w14:textId="77777777" w:rsidR="00FB6C69" w:rsidRPr="00FB6C69" w:rsidRDefault="00FB6C69" w:rsidP="00FB6C69">
            <w:pPr>
              <w:kinsoku w:val="0"/>
              <w:overflowPunct w:val="0"/>
              <w:autoSpaceDE w:val="0"/>
              <w:autoSpaceDN w:val="0"/>
              <w:adjustRightInd w:val="0"/>
              <w:spacing w:after="0" w:line="240" w:lineRule="auto"/>
              <w:ind w:left="96"/>
              <w:rPr>
                <w:rFonts w:ascii="Times New Roman" w:hAnsi="Times New Roman" w:cs="Times New Roman"/>
                <w:sz w:val="24"/>
                <w:szCs w:val="24"/>
              </w:rPr>
            </w:pPr>
            <w:r w:rsidRPr="00FB6C69">
              <w:rPr>
                <w:sz w:val="16"/>
                <w:szCs w:val="16"/>
              </w:rPr>
              <w:t>Yorkshire &amp; The Humber -</w:t>
            </w:r>
          </w:p>
        </w:tc>
        <w:tc>
          <w:tcPr>
            <w:tcW w:w="2286" w:type="dxa"/>
            <w:tcBorders>
              <w:top w:val="single" w:sz="3" w:space="0" w:color="000000"/>
              <w:left w:val="none" w:sz="6" w:space="0" w:color="auto"/>
              <w:bottom w:val="none" w:sz="6" w:space="0" w:color="auto"/>
              <w:right w:val="none" w:sz="6" w:space="0" w:color="auto"/>
            </w:tcBorders>
          </w:tcPr>
          <w:p w14:paraId="4B8075B4" w14:textId="77777777" w:rsidR="00FB6C69" w:rsidRPr="00FB6C69" w:rsidRDefault="00FB6C69" w:rsidP="00FB6C69">
            <w:pPr>
              <w:kinsoku w:val="0"/>
              <w:overflowPunct w:val="0"/>
              <w:autoSpaceDE w:val="0"/>
              <w:autoSpaceDN w:val="0"/>
              <w:adjustRightInd w:val="0"/>
              <w:spacing w:after="0" w:line="240" w:lineRule="auto"/>
              <w:ind w:left="144"/>
              <w:rPr>
                <w:rFonts w:ascii="Times New Roman" w:hAnsi="Times New Roman" w:cs="Times New Roman"/>
                <w:sz w:val="24"/>
                <w:szCs w:val="24"/>
              </w:rPr>
            </w:pPr>
            <w:r w:rsidRPr="00FB6C69">
              <w:rPr>
                <w:sz w:val="16"/>
                <w:szCs w:val="16"/>
              </w:rPr>
              <w:t>Holland Drive</w:t>
            </w:r>
          </w:p>
        </w:tc>
        <w:tc>
          <w:tcPr>
            <w:tcW w:w="2283" w:type="dxa"/>
            <w:tcBorders>
              <w:top w:val="single" w:sz="3" w:space="0" w:color="000000"/>
              <w:left w:val="none" w:sz="6" w:space="0" w:color="auto"/>
              <w:bottom w:val="none" w:sz="6" w:space="0" w:color="auto"/>
              <w:right w:val="none" w:sz="6" w:space="0" w:color="auto"/>
            </w:tcBorders>
          </w:tcPr>
          <w:p w14:paraId="1A305AFA" w14:textId="77777777" w:rsidR="00FB6C69" w:rsidRPr="00FB6C69" w:rsidRDefault="00FB6C69" w:rsidP="00FB6C69">
            <w:pPr>
              <w:kinsoku w:val="0"/>
              <w:overflowPunct w:val="0"/>
              <w:autoSpaceDE w:val="0"/>
              <w:autoSpaceDN w:val="0"/>
              <w:adjustRightInd w:val="0"/>
              <w:spacing w:after="0" w:line="240" w:lineRule="auto"/>
              <w:ind w:left="127"/>
              <w:rPr>
                <w:rFonts w:ascii="Times New Roman" w:hAnsi="Times New Roman" w:cs="Times New Roman"/>
                <w:sz w:val="24"/>
                <w:szCs w:val="24"/>
              </w:rPr>
            </w:pPr>
            <w:r w:rsidRPr="00FB6C69">
              <w:rPr>
                <w:sz w:val="16"/>
                <w:szCs w:val="16"/>
              </w:rPr>
              <w:t xml:space="preserve">Newcastle upon Tyne </w:t>
            </w:r>
            <w:proofErr w:type="spellStart"/>
            <w:r w:rsidRPr="00FB6C69">
              <w:rPr>
                <w:sz w:val="16"/>
                <w:szCs w:val="16"/>
              </w:rPr>
              <w:t>Tyne</w:t>
            </w:r>
            <w:proofErr w:type="spellEnd"/>
          </w:p>
        </w:tc>
      </w:tr>
      <w:tr w:rsidR="00FB6C69" w:rsidRPr="00FB6C69" w14:paraId="0AF09FDC" w14:textId="77777777">
        <w:trPr>
          <w:trHeight w:hRule="exact" w:val="460"/>
        </w:trPr>
        <w:tc>
          <w:tcPr>
            <w:tcW w:w="702" w:type="dxa"/>
            <w:tcBorders>
              <w:top w:val="none" w:sz="6" w:space="0" w:color="auto"/>
              <w:left w:val="none" w:sz="6" w:space="0" w:color="auto"/>
              <w:bottom w:val="single" w:sz="3" w:space="0" w:color="000000"/>
              <w:right w:val="none" w:sz="6" w:space="0" w:color="auto"/>
            </w:tcBorders>
          </w:tcPr>
          <w:p w14:paraId="57BC785B"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594" w:type="dxa"/>
            <w:tcBorders>
              <w:top w:val="none" w:sz="6" w:space="0" w:color="auto"/>
              <w:left w:val="none" w:sz="6" w:space="0" w:color="auto"/>
              <w:bottom w:val="single" w:sz="3" w:space="0" w:color="000000"/>
              <w:right w:val="none" w:sz="6" w:space="0" w:color="auto"/>
            </w:tcBorders>
          </w:tcPr>
          <w:p w14:paraId="74622B00" w14:textId="77777777" w:rsidR="00FB6C69" w:rsidRPr="00FB6C69" w:rsidRDefault="00FB6C69" w:rsidP="00FB6C69">
            <w:pPr>
              <w:kinsoku w:val="0"/>
              <w:overflowPunct w:val="0"/>
              <w:autoSpaceDE w:val="0"/>
              <w:autoSpaceDN w:val="0"/>
              <w:adjustRightInd w:val="0"/>
              <w:spacing w:after="0" w:line="240" w:lineRule="auto"/>
              <w:ind w:left="97" w:right="644"/>
              <w:rPr>
                <w:rFonts w:ascii="Times New Roman" w:hAnsi="Times New Roman" w:cs="Times New Roman"/>
                <w:sz w:val="24"/>
                <w:szCs w:val="24"/>
              </w:rPr>
            </w:pPr>
            <w:r w:rsidRPr="00FB6C69">
              <w:rPr>
                <w:sz w:val="16"/>
                <w:szCs w:val="16"/>
              </w:rPr>
              <w:t>Sheffield Research Ethics Committee</w:t>
            </w:r>
          </w:p>
        </w:tc>
        <w:tc>
          <w:tcPr>
            <w:tcW w:w="2286" w:type="dxa"/>
            <w:tcBorders>
              <w:top w:val="none" w:sz="6" w:space="0" w:color="auto"/>
              <w:left w:val="none" w:sz="6" w:space="0" w:color="auto"/>
              <w:bottom w:val="single" w:sz="3" w:space="0" w:color="000000"/>
              <w:right w:val="none" w:sz="6" w:space="0" w:color="auto"/>
            </w:tcBorders>
          </w:tcPr>
          <w:p w14:paraId="75188713"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283" w:type="dxa"/>
            <w:tcBorders>
              <w:top w:val="none" w:sz="6" w:space="0" w:color="auto"/>
              <w:left w:val="none" w:sz="6" w:space="0" w:color="auto"/>
              <w:bottom w:val="single" w:sz="3" w:space="0" w:color="000000"/>
              <w:right w:val="none" w:sz="6" w:space="0" w:color="auto"/>
            </w:tcBorders>
          </w:tcPr>
          <w:p w14:paraId="4902C948" w14:textId="77777777" w:rsidR="00FB6C69" w:rsidRPr="00FB6C69" w:rsidRDefault="00FB6C69" w:rsidP="00FB6C69">
            <w:pPr>
              <w:kinsoku w:val="0"/>
              <w:overflowPunct w:val="0"/>
              <w:autoSpaceDE w:val="0"/>
              <w:autoSpaceDN w:val="0"/>
              <w:adjustRightInd w:val="0"/>
              <w:spacing w:after="0" w:line="240" w:lineRule="auto"/>
              <w:ind w:left="127" w:right="713"/>
              <w:rPr>
                <w:rFonts w:ascii="Times New Roman" w:hAnsi="Times New Roman" w:cs="Times New Roman"/>
                <w:sz w:val="24"/>
                <w:szCs w:val="24"/>
              </w:rPr>
            </w:pPr>
            <w:r w:rsidRPr="00FB6C69">
              <w:rPr>
                <w:sz w:val="16"/>
                <w:szCs w:val="16"/>
              </w:rPr>
              <w:t>and Wear NE2 4NQ United Kingdom</w:t>
            </w:r>
          </w:p>
        </w:tc>
      </w:tr>
      <w:tr w:rsidR="00FB6C69" w:rsidRPr="00FB6C69" w14:paraId="1F3A264E" w14:textId="77777777">
        <w:trPr>
          <w:trHeight w:hRule="exact" w:val="748"/>
        </w:trPr>
        <w:tc>
          <w:tcPr>
            <w:tcW w:w="702" w:type="dxa"/>
            <w:tcBorders>
              <w:top w:val="single" w:sz="3" w:space="0" w:color="000000"/>
              <w:left w:val="none" w:sz="6" w:space="0" w:color="auto"/>
              <w:bottom w:val="none" w:sz="6" w:space="0" w:color="auto"/>
              <w:right w:val="none" w:sz="6" w:space="0" w:color="auto"/>
            </w:tcBorders>
          </w:tcPr>
          <w:p w14:paraId="4C316016" w14:textId="77777777" w:rsidR="00FB6C69" w:rsidRPr="00FB6C69" w:rsidRDefault="00FB6C69" w:rsidP="00FB6C69">
            <w:pPr>
              <w:kinsoku w:val="0"/>
              <w:overflowPunct w:val="0"/>
              <w:autoSpaceDE w:val="0"/>
              <w:autoSpaceDN w:val="0"/>
              <w:adjustRightInd w:val="0"/>
              <w:spacing w:before="2" w:after="0" w:line="240" w:lineRule="auto"/>
              <w:ind w:left="96"/>
              <w:rPr>
                <w:rFonts w:ascii="Times New Roman" w:hAnsi="Times New Roman" w:cs="Times New Roman"/>
                <w:sz w:val="24"/>
                <w:szCs w:val="24"/>
              </w:rPr>
            </w:pPr>
            <w:r w:rsidRPr="00FB6C69">
              <w:rPr>
                <w:sz w:val="16"/>
                <w:szCs w:val="16"/>
              </w:rPr>
              <w:t>0401</w:t>
            </w:r>
          </w:p>
        </w:tc>
        <w:tc>
          <w:tcPr>
            <w:tcW w:w="2594" w:type="dxa"/>
            <w:tcBorders>
              <w:top w:val="single" w:sz="3" w:space="0" w:color="000000"/>
              <w:left w:val="none" w:sz="6" w:space="0" w:color="auto"/>
              <w:bottom w:val="none" w:sz="6" w:space="0" w:color="auto"/>
              <w:right w:val="none" w:sz="6" w:space="0" w:color="auto"/>
            </w:tcBorders>
          </w:tcPr>
          <w:p w14:paraId="1D40096E" w14:textId="77777777" w:rsidR="00FB6C69" w:rsidRPr="00FB6C69" w:rsidRDefault="00FB6C69" w:rsidP="00FB6C69">
            <w:pPr>
              <w:kinsoku w:val="0"/>
              <w:overflowPunct w:val="0"/>
              <w:autoSpaceDE w:val="0"/>
              <w:autoSpaceDN w:val="0"/>
              <w:adjustRightInd w:val="0"/>
              <w:spacing w:before="2" w:after="0" w:line="240" w:lineRule="auto"/>
              <w:ind w:left="97" w:right="299" w:hanging="2"/>
              <w:rPr>
                <w:rFonts w:ascii="Times New Roman" w:hAnsi="Times New Roman" w:cs="Times New Roman"/>
                <w:sz w:val="24"/>
                <w:szCs w:val="24"/>
              </w:rPr>
            </w:pPr>
            <w:r w:rsidRPr="00FB6C69">
              <w:rPr>
                <w:sz w:val="16"/>
                <w:szCs w:val="16"/>
              </w:rPr>
              <w:t xml:space="preserve">CEIC </w:t>
            </w:r>
            <w:proofErr w:type="spellStart"/>
            <w:r w:rsidRPr="00FB6C69">
              <w:rPr>
                <w:sz w:val="16"/>
                <w:szCs w:val="16"/>
              </w:rPr>
              <w:t>Área</w:t>
            </w:r>
            <w:proofErr w:type="spellEnd"/>
            <w:r w:rsidRPr="00FB6C69">
              <w:rPr>
                <w:sz w:val="16"/>
                <w:szCs w:val="16"/>
              </w:rPr>
              <w:t xml:space="preserve"> de </w:t>
            </w:r>
            <w:proofErr w:type="spellStart"/>
            <w:r w:rsidRPr="00FB6C69">
              <w:rPr>
                <w:sz w:val="16"/>
                <w:szCs w:val="16"/>
              </w:rPr>
              <w:t>Salud</w:t>
            </w:r>
            <w:proofErr w:type="spellEnd"/>
            <w:r w:rsidRPr="00FB6C69">
              <w:rPr>
                <w:sz w:val="16"/>
                <w:szCs w:val="16"/>
              </w:rPr>
              <w:t xml:space="preserve"> Valladolid Este, Hospital </w:t>
            </w:r>
            <w:proofErr w:type="spellStart"/>
            <w:r w:rsidRPr="00FB6C69">
              <w:rPr>
                <w:sz w:val="16"/>
                <w:szCs w:val="16"/>
              </w:rPr>
              <w:t>Clínico</w:t>
            </w:r>
            <w:proofErr w:type="spellEnd"/>
            <w:r w:rsidRPr="00FB6C69">
              <w:rPr>
                <w:sz w:val="16"/>
                <w:szCs w:val="16"/>
              </w:rPr>
              <w:t xml:space="preserve"> </w:t>
            </w:r>
            <w:proofErr w:type="spellStart"/>
            <w:r w:rsidRPr="00FB6C69">
              <w:rPr>
                <w:sz w:val="16"/>
                <w:szCs w:val="16"/>
              </w:rPr>
              <w:t>Universitario</w:t>
            </w:r>
            <w:proofErr w:type="spellEnd"/>
            <w:r w:rsidRPr="00FB6C69">
              <w:rPr>
                <w:sz w:val="16"/>
                <w:szCs w:val="16"/>
              </w:rPr>
              <w:t xml:space="preserve"> de Valladolid </w:t>
            </w:r>
            <w:proofErr w:type="spellStart"/>
            <w:r w:rsidRPr="00FB6C69">
              <w:rPr>
                <w:sz w:val="16"/>
                <w:szCs w:val="16"/>
              </w:rPr>
              <w:t>Farmacología</w:t>
            </w:r>
            <w:proofErr w:type="spellEnd"/>
            <w:r w:rsidRPr="00FB6C69">
              <w:rPr>
                <w:sz w:val="16"/>
                <w:szCs w:val="16"/>
              </w:rPr>
              <w:t xml:space="preserve">, </w:t>
            </w:r>
            <w:proofErr w:type="spellStart"/>
            <w:r w:rsidRPr="00FB6C69">
              <w:rPr>
                <w:sz w:val="16"/>
                <w:szCs w:val="16"/>
              </w:rPr>
              <w:t>Facultad</w:t>
            </w:r>
            <w:proofErr w:type="spellEnd"/>
            <w:r w:rsidRPr="00FB6C69">
              <w:rPr>
                <w:sz w:val="16"/>
                <w:szCs w:val="16"/>
              </w:rPr>
              <w:t xml:space="preserve"> de</w:t>
            </w:r>
          </w:p>
        </w:tc>
        <w:tc>
          <w:tcPr>
            <w:tcW w:w="2286" w:type="dxa"/>
            <w:tcBorders>
              <w:top w:val="single" w:sz="3" w:space="0" w:color="000000"/>
              <w:left w:val="none" w:sz="6" w:space="0" w:color="auto"/>
              <w:bottom w:val="none" w:sz="6" w:space="0" w:color="auto"/>
              <w:right w:val="none" w:sz="6" w:space="0" w:color="auto"/>
            </w:tcBorders>
          </w:tcPr>
          <w:p w14:paraId="3CB687D8" w14:textId="77777777" w:rsidR="00FB6C69" w:rsidRPr="00FB6C69" w:rsidRDefault="00FB6C69" w:rsidP="00FB6C69">
            <w:pPr>
              <w:kinsoku w:val="0"/>
              <w:overflowPunct w:val="0"/>
              <w:autoSpaceDE w:val="0"/>
              <w:autoSpaceDN w:val="0"/>
              <w:adjustRightInd w:val="0"/>
              <w:spacing w:before="2" w:after="0" w:line="240" w:lineRule="auto"/>
              <w:ind w:left="144"/>
              <w:rPr>
                <w:rFonts w:ascii="Times New Roman" w:hAnsi="Times New Roman" w:cs="Times New Roman"/>
                <w:sz w:val="24"/>
                <w:szCs w:val="24"/>
              </w:rPr>
            </w:pPr>
            <w:r w:rsidRPr="00FB6C69">
              <w:rPr>
                <w:sz w:val="16"/>
                <w:szCs w:val="16"/>
              </w:rPr>
              <w:t>N/A</w:t>
            </w:r>
          </w:p>
        </w:tc>
        <w:tc>
          <w:tcPr>
            <w:tcW w:w="2283" w:type="dxa"/>
            <w:tcBorders>
              <w:top w:val="single" w:sz="3" w:space="0" w:color="000000"/>
              <w:left w:val="none" w:sz="6" w:space="0" w:color="auto"/>
              <w:bottom w:val="none" w:sz="6" w:space="0" w:color="auto"/>
              <w:right w:val="none" w:sz="6" w:space="0" w:color="auto"/>
            </w:tcBorders>
          </w:tcPr>
          <w:p w14:paraId="41863CDD" w14:textId="77777777" w:rsidR="00FB6C69" w:rsidRPr="00FB6C69" w:rsidRDefault="00FB6C69" w:rsidP="00FB6C69">
            <w:pPr>
              <w:kinsoku w:val="0"/>
              <w:overflowPunct w:val="0"/>
              <w:autoSpaceDE w:val="0"/>
              <w:autoSpaceDN w:val="0"/>
              <w:adjustRightInd w:val="0"/>
              <w:spacing w:before="2" w:after="0" w:line="240" w:lineRule="auto"/>
              <w:ind w:left="172"/>
              <w:rPr>
                <w:sz w:val="16"/>
                <w:szCs w:val="16"/>
              </w:rPr>
            </w:pPr>
            <w:r w:rsidRPr="00FB6C69">
              <w:rPr>
                <w:sz w:val="16"/>
                <w:szCs w:val="16"/>
              </w:rPr>
              <w:t xml:space="preserve">Valladolid </w:t>
            </w:r>
            <w:proofErr w:type="spellStart"/>
            <w:r w:rsidRPr="00FB6C69">
              <w:rPr>
                <w:sz w:val="16"/>
                <w:szCs w:val="16"/>
              </w:rPr>
              <w:t>Castilla</w:t>
            </w:r>
            <w:proofErr w:type="spellEnd"/>
          </w:p>
          <w:p w14:paraId="55D9CA7E" w14:textId="77777777" w:rsidR="00FB6C69" w:rsidRPr="00FB6C69" w:rsidRDefault="00FB6C69" w:rsidP="00FB6C69">
            <w:pPr>
              <w:kinsoku w:val="0"/>
              <w:overflowPunct w:val="0"/>
              <w:autoSpaceDE w:val="0"/>
              <w:autoSpaceDN w:val="0"/>
              <w:adjustRightInd w:val="0"/>
              <w:spacing w:after="0" w:line="240" w:lineRule="auto"/>
              <w:ind w:left="172" w:right="878" w:hanging="46"/>
              <w:rPr>
                <w:rFonts w:ascii="Times New Roman" w:hAnsi="Times New Roman" w:cs="Times New Roman"/>
                <w:sz w:val="24"/>
                <w:szCs w:val="24"/>
              </w:rPr>
            </w:pPr>
            <w:r w:rsidRPr="00FB6C69">
              <w:rPr>
                <w:sz w:val="16"/>
                <w:szCs w:val="16"/>
              </w:rPr>
              <w:t>León 47005 Spain.</w:t>
            </w:r>
          </w:p>
        </w:tc>
      </w:tr>
      <w:tr w:rsidR="00FB6C69" w:rsidRPr="00FB6C69" w14:paraId="34878E7F" w14:textId="77777777">
        <w:trPr>
          <w:trHeight w:hRule="exact" w:val="844"/>
        </w:trPr>
        <w:tc>
          <w:tcPr>
            <w:tcW w:w="702" w:type="dxa"/>
            <w:tcBorders>
              <w:top w:val="none" w:sz="6" w:space="0" w:color="auto"/>
              <w:left w:val="none" w:sz="6" w:space="0" w:color="auto"/>
              <w:bottom w:val="single" w:sz="3" w:space="0" w:color="000000"/>
              <w:right w:val="none" w:sz="6" w:space="0" w:color="auto"/>
            </w:tcBorders>
          </w:tcPr>
          <w:p w14:paraId="14DC52B5"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594" w:type="dxa"/>
            <w:tcBorders>
              <w:top w:val="none" w:sz="6" w:space="0" w:color="auto"/>
              <w:left w:val="none" w:sz="6" w:space="0" w:color="auto"/>
              <w:bottom w:val="single" w:sz="3" w:space="0" w:color="000000"/>
              <w:right w:val="none" w:sz="6" w:space="0" w:color="auto"/>
            </w:tcBorders>
          </w:tcPr>
          <w:p w14:paraId="635DB175" w14:textId="77777777" w:rsidR="00FB6C69" w:rsidRPr="00FB6C69" w:rsidRDefault="00FB6C69" w:rsidP="00FB6C69">
            <w:pPr>
              <w:kinsoku w:val="0"/>
              <w:overflowPunct w:val="0"/>
              <w:autoSpaceDE w:val="0"/>
              <w:autoSpaceDN w:val="0"/>
              <w:adjustRightInd w:val="0"/>
              <w:spacing w:after="0" w:line="240" w:lineRule="auto"/>
              <w:ind w:left="97" w:right="680"/>
              <w:rPr>
                <w:sz w:val="16"/>
                <w:szCs w:val="16"/>
              </w:rPr>
            </w:pPr>
            <w:proofErr w:type="spellStart"/>
            <w:r w:rsidRPr="00FB6C69">
              <w:rPr>
                <w:sz w:val="16"/>
                <w:szCs w:val="16"/>
              </w:rPr>
              <w:t>Medicina</w:t>
            </w:r>
            <w:proofErr w:type="spellEnd"/>
            <w:r w:rsidRPr="00FB6C69">
              <w:rPr>
                <w:sz w:val="16"/>
                <w:szCs w:val="16"/>
              </w:rPr>
              <w:t>, Universidad de Valladolid</w:t>
            </w:r>
          </w:p>
          <w:p w14:paraId="1C6DCF31" w14:textId="77777777" w:rsidR="00FB6C69" w:rsidRPr="00FB6C69" w:rsidRDefault="00FB6C69" w:rsidP="00FB6C69">
            <w:pPr>
              <w:kinsoku w:val="0"/>
              <w:overflowPunct w:val="0"/>
              <w:autoSpaceDE w:val="0"/>
              <w:autoSpaceDN w:val="0"/>
              <w:adjustRightInd w:val="0"/>
              <w:spacing w:before="1" w:after="0" w:line="240" w:lineRule="auto"/>
              <w:ind w:left="97" w:right="137"/>
              <w:rPr>
                <w:rFonts w:ascii="Times New Roman" w:hAnsi="Times New Roman" w:cs="Times New Roman"/>
                <w:sz w:val="24"/>
                <w:szCs w:val="24"/>
              </w:rPr>
            </w:pPr>
            <w:r w:rsidRPr="00FB6C69">
              <w:rPr>
                <w:sz w:val="16"/>
                <w:szCs w:val="16"/>
              </w:rPr>
              <w:t xml:space="preserve">C/ Ramón y </w:t>
            </w:r>
            <w:proofErr w:type="spellStart"/>
            <w:r w:rsidRPr="00FB6C69">
              <w:rPr>
                <w:sz w:val="16"/>
                <w:szCs w:val="16"/>
              </w:rPr>
              <w:t>Cajal</w:t>
            </w:r>
            <w:proofErr w:type="spellEnd"/>
            <w:r w:rsidRPr="00FB6C69">
              <w:rPr>
                <w:sz w:val="16"/>
                <w:szCs w:val="16"/>
              </w:rPr>
              <w:t xml:space="preserve"> 7, </w:t>
            </w:r>
            <w:proofErr w:type="spellStart"/>
            <w:r w:rsidRPr="00FB6C69">
              <w:rPr>
                <w:sz w:val="16"/>
                <w:szCs w:val="16"/>
              </w:rPr>
              <w:t>sexta</w:t>
            </w:r>
            <w:proofErr w:type="spellEnd"/>
            <w:r w:rsidRPr="00FB6C69">
              <w:rPr>
                <w:sz w:val="16"/>
                <w:szCs w:val="16"/>
              </w:rPr>
              <w:t xml:space="preserve"> planta 47005 Valladolid. Spain.</w:t>
            </w:r>
          </w:p>
        </w:tc>
        <w:tc>
          <w:tcPr>
            <w:tcW w:w="2286" w:type="dxa"/>
            <w:tcBorders>
              <w:top w:val="none" w:sz="6" w:space="0" w:color="auto"/>
              <w:left w:val="none" w:sz="6" w:space="0" w:color="auto"/>
              <w:bottom w:val="single" w:sz="3" w:space="0" w:color="000000"/>
              <w:right w:val="none" w:sz="6" w:space="0" w:color="auto"/>
            </w:tcBorders>
          </w:tcPr>
          <w:p w14:paraId="3BB23DAD"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c>
          <w:tcPr>
            <w:tcW w:w="2283" w:type="dxa"/>
            <w:tcBorders>
              <w:top w:val="none" w:sz="6" w:space="0" w:color="auto"/>
              <w:left w:val="none" w:sz="6" w:space="0" w:color="auto"/>
              <w:bottom w:val="single" w:sz="3" w:space="0" w:color="000000"/>
              <w:right w:val="none" w:sz="6" w:space="0" w:color="auto"/>
            </w:tcBorders>
          </w:tcPr>
          <w:p w14:paraId="3FF4FC80" w14:textId="77777777" w:rsidR="00FB6C69" w:rsidRPr="00FB6C69" w:rsidRDefault="00FB6C69" w:rsidP="00FB6C69">
            <w:pPr>
              <w:autoSpaceDE w:val="0"/>
              <w:autoSpaceDN w:val="0"/>
              <w:adjustRightInd w:val="0"/>
              <w:spacing w:after="0" w:line="240" w:lineRule="auto"/>
              <w:rPr>
                <w:rFonts w:ascii="Times New Roman" w:hAnsi="Times New Roman" w:cs="Times New Roman"/>
                <w:sz w:val="24"/>
                <w:szCs w:val="24"/>
              </w:rPr>
            </w:pPr>
          </w:p>
        </w:tc>
      </w:tr>
    </w:tbl>
    <w:p w14:paraId="357470CD" w14:textId="088CAAD7" w:rsidR="00DB5011" w:rsidRPr="00DB5011" w:rsidRDefault="00DB5011">
      <w:pPr>
        <w:rPr>
          <w:noProof/>
          <w:sz w:val="24"/>
        </w:rPr>
      </w:pPr>
      <w:r w:rsidRPr="00DB5011">
        <w:rPr>
          <w:noProof/>
          <w:sz w:val="24"/>
        </w:rPr>
        <w:t xml:space="preserve"> </w:t>
      </w:r>
    </w:p>
    <w:p w14:paraId="4F1829CF" w14:textId="501FE9BC" w:rsidR="00DB5011" w:rsidRPr="00010C74" w:rsidRDefault="00010C74">
      <w:pPr>
        <w:rPr>
          <w:b/>
          <w:sz w:val="24"/>
          <w:szCs w:val="24"/>
        </w:rPr>
      </w:pPr>
      <w:r w:rsidRPr="00010C74">
        <w:rPr>
          <w:b/>
          <w:sz w:val="24"/>
          <w:szCs w:val="24"/>
        </w:rPr>
        <w:t xml:space="preserve">Appendix 2: </w:t>
      </w:r>
    </w:p>
    <w:p w14:paraId="3E2279C8" w14:textId="172DF806" w:rsidR="00010C74" w:rsidRPr="00010C74" w:rsidRDefault="00010C74" w:rsidP="00010C74">
      <w:pPr>
        <w:spacing w:before="120" w:after="120"/>
        <w:rPr>
          <w:sz w:val="24"/>
          <w:szCs w:val="24"/>
        </w:rPr>
      </w:pPr>
      <w:r w:rsidRPr="00010C74">
        <w:rPr>
          <w:sz w:val="24"/>
          <w:szCs w:val="24"/>
        </w:rPr>
        <w:t xml:space="preserve">Grading for the quality of the </w:t>
      </w:r>
      <w:proofErr w:type="spellStart"/>
      <w:r w:rsidR="0029326D">
        <w:rPr>
          <w:sz w:val="24"/>
          <w:szCs w:val="24"/>
        </w:rPr>
        <w:t>meibum</w:t>
      </w:r>
      <w:proofErr w:type="spellEnd"/>
      <w:r w:rsidRPr="00010C74">
        <w:rPr>
          <w:sz w:val="24"/>
          <w:szCs w:val="24"/>
        </w:rPr>
        <w:t xml:space="preserve"> secretion (i.e. </w:t>
      </w:r>
      <w:proofErr w:type="spellStart"/>
      <w:r w:rsidRPr="00010C74">
        <w:rPr>
          <w:sz w:val="24"/>
          <w:szCs w:val="24"/>
        </w:rPr>
        <w:t>meibum</w:t>
      </w:r>
      <w:proofErr w:type="spellEnd"/>
      <w:r w:rsidRPr="00010C74">
        <w:rPr>
          <w:sz w:val="24"/>
          <w:szCs w:val="24"/>
        </w:rPr>
        <w:t xml:space="preserve"> quality score):</w:t>
      </w:r>
    </w:p>
    <w:p w14:paraId="4BA6CBB1" w14:textId="4A8CEBC2" w:rsidR="00010C74" w:rsidRPr="00010C74" w:rsidRDefault="00010C74" w:rsidP="00010C74">
      <w:pPr>
        <w:pStyle w:val="ListParagraph"/>
        <w:numPr>
          <w:ilvl w:val="0"/>
          <w:numId w:val="3"/>
        </w:numPr>
        <w:spacing w:before="120" w:after="120"/>
        <w:rPr>
          <w:rFonts w:ascii="Arial" w:hAnsi="Arial" w:cs="Arial"/>
        </w:rPr>
      </w:pPr>
      <w:r w:rsidRPr="00010C74">
        <w:rPr>
          <w:rFonts w:ascii="Arial" w:hAnsi="Arial" w:cs="Arial"/>
        </w:rPr>
        <w:t>Grade 0 = Normal, clear oil expressed</w:t>
      </w:r>
    </w:p>
    <w:p w14:paraId="58E11D91" w14:textId="71DDAAC9" w:rsidR="00010C74" w:rsidRPr="00010C74" w:rsidRDefault="00010C74" w:rsidP="00010C74">
      <w:pPr>
        <w:pStyle w:val="ListParagraph"/>
        <w:numPr>
          <w:ilvl w:val="0"/>
          <w:numId w:val="3"/>
        </w:numPr>
        <w:spacing w:before="120" w:after="120"/>
        <w:rPr>
          <w:rFonts w:ascii="Arial" w:hAnsi="Arial" w:cs="Arial"/>
        </w:rPr>
      </w:pPr>
      <w:r w:rsidRPr="00010C74">
        <w:rPr>
          <w:rFonts w:ascii="Arial" w:hAnsi="Arial" w:cs="Arial"/>
        </w:rPr>
        <w:t>Grade 1 = Opaque, diffusely turbid, normal viscosity</w:t>
      </w:r>
    </w:p>
    <w:p w14:paraId="4F381C77" w14:textId="5B6DA237" w:rsidR="00010C74" w:rsidRPr="00010C74" w:rsidRDefault="00010C74" w:rsidP="00010C74">
      <w:pPr>
        <w:pStyle w:val="ListParagraph"/>
        <w:numPr>
          <w:ilvl w:val="0"/>
          <w:numId w:val="3"/>
        </w:numPr>
        <w:spacing w:before="120" w:after="120"/>
        <w:rPr>
          <w:rFonts w:ascii="Arial" w:hAnsi="Arial" w:cs="Arial"/>
        </w:rPr>
      </w:pPr>
      <w:r w:rsidRPr="00010C74">
        <w:rPr>
          <w:rFonts w:ascii="Arial" w:hAnsi="Arial" w:cs="Arial"/>
        </w:rPr>
        <w:t>Grade 2 = Opaque, increased viscosity</w:t>
      </w:r>
    </w:p>
    <w:p w14:paraId="36A8E470" w14:textId="0A316659" w:rsidR="00010C74" w:rsidRPr="00010C74" w:rsidRDefault="00010C74" w:rsidP="00010C74">
      <w:pPr>
        <w:pStyle w:val="ListParagraph"/>
        <w:numPr>
          <w:ilvl w:val="0"/>
          <w:numId w:val="3"/>
        </w:numPr>
        <w:spacing w:before="120" w:after="120"/>
        <w:rPr>
          <w:rFonts w:ascii="Arial" w:hAnsi="Arial" w:cs="Arial"/>
        </w:rPr>
      </w:pPr>
      <w:r w:rsidRPr="00010C74">
        <w:rPr>
          <w:rFonts w:ascii="Arial" w:hAnsi="Arial" w:cs="Arial"/>
        </w:rPr>
        <w:t xml:space="preserve">Grade 3 = </w:t>
      </w:r>
      <w:proofErr w:type="spellStart"/>
      <w:r w:rsidRPr="00010C74">
        <w:rPr>
          <w:rFonts w:ascii="Arial" w:hAnsi="Arial" w:cs="Arial"/>
        </w:rPr>
        <w:t>Inspissated</w:t>
      </w:r>
      <w:proofErr w:type="spellEnd"/>
      <w:r w:rsidRPr="00010C74">
        <w:rPr>
          <w:rFonts w:ascii="Arial" w:hAnsi="Arial" w:cs="Arial"/>
        </w:rPr>
        <w:t xml:space="preserve"> (i.e. like paste) or no expressed material</w:t>
      </w:r>
    </w:p>
    <w:p w14:paraId="0850630D" w14:textId="77777777" w:rsidR="00010C74" w:rsidRPr="00010C74" w:rsidRDefault="00010C74" w:rsidP="00010C74">
      <w:pPr>
        <w:spacing w:before="120" w:after="120"/>
        <w:rPr>
          <w:sz w:val="24"/>
          <w:szCs w:val="24"/>
        </w:rPr>
      </w:pPr>
      <w:r w:rsidRPr="00010C74">
        <w:rPr>
          <w:sz w:val="24"/>
          <w:szCs w:val="24"/>
        </w:rPr>
        <w:t xml:space="preserve">Grading for </w:t>
      </w:r>
      <w:proofErr w:type="spellStart"/>
      <w:r w:rsidRPr="00010C74">
        <w:rPr>
          <w:sz w:val="24"/>
          <w:szCs w:val="24"/>
        </w:rPr>
        <w:t>expressiblility</w:t>
      </w:r>
      <w:proofErr w:type="spellEnd"/>
      <w:r w:rsidRPr="00010C74">
        <w:rPr>
          <w:sz w:val="24"/>
          <w:szCs w:val="24"/>
        </w:rPr>
        <w:t>:</w:t>
      </w:r>
    </w:p>
    <w:p w14:paraId="0EF48C58" w14:textId="14B3ADE1" w:rsidR="00010C74" w:rsidRPr="00010C74" w:rsidRDefault="00010C74" w:rsidP="00010C74">
      <w:pPr>
        <w:pStyle w:val="ListParagraph"/>
        <w:numPr>
          <w:ilvl w:val="0"/>
          <w:numId w:val="4"/>
        </w:numPr>
        <w:spacing w:before="120" w:after="120"/>
        <w:rPr>
          <w:rFonts w:ascii="Arial" w:hAnsi="Arial" w:cs="Arial"/>
        </w:rPr>
      </w:pPr>
      <w:r w:rsidRPr="00010C74">
        <w:rPr>
          <w:rFonts w:ascii="Arial" w:hAnsi="Arial" w:cs="Arial"/>
        </w:rPr>
        <w:t>0 = all glands expressible</w:t>
      </w:r>
    </w:p>
    <w:p w14:paraId="56B8BC4C" w14:textId="75E04553" w:rsidR="00010C74" w:rsidRPr="00010C74" w:rsidRDefault="00010C74" w:rsidP="00010C74">
      <w:pPr>
        <w:pStyle w:val="ListParagraph"/>
        <w:numPr>
          <w:ilvl w:val="0"/>
          <w:numId w:val="4"/>
        </w:numPr>
        <w:spacing w:before="120" w:after="120"/>
        <w:rPr>
          <w:rFonts w:ascii="Arial" w:hAnsi="Arial" w:cs="Arial"/>
        </w:rPr>
      </w:pPr>
      <w:r w:rsidRPr="00010C74">
        <w:rPr>
          <w:rFonts w:ascii="Arial" w:hAnsi="Arial" w:cs="Arial"/>
        </w:rPr>
        <w:t>1 = 3-4 glands expressible</w:t>
      </w:r>
    </w:p>
    <w:p w14:paraId="081C8F85" w14:textId="5D219908" w:rsidR="00010C74" w:rsidRPr="00010C74" w:rsidRDefault="00010C74" w:rsidP="00010C74">
      <w:pPr>
        <w:pStyle w:val="ListParagraph"/>
        <w:numPr>
          <w:ilvl w:val="0"/>
          <w:numId w:val="4"/>
        </w:numPr>
        <w:spacing w:before="120" w:after="120"/>
        <w:rPr>
          <w:rFonts w:ascii="Arial" w:hAnsi="Arial" w:cs="Arial"/>
        </w:rPr>
      </w:pPr>
      <w:r w:rsidRPr="00010C74">
        <w:rPr>
          <w:rFonts w:ascii="Arial" w:hAnsi="Arial" w:cs="Arial"/>
        </w:rPr>
        <w:t>2 = 1-2 glands expressible</w:t>
      </w:r>
    </w:p>
    <w:p w14:paraId="0C945814" w14:textId="2A173958" w:rsidR="00010C74" w:rsidRDefault="00010C74" w:rsidP="00010C74">
      <w:pPr>
        <w:pStyle w:val="ListParagraph"/>
        <w:numPr>
          <w:ilvl w:val="0"/>
          <w:numId w:val="4"/>
        </w:numPr>
        <w:spacing w:before="120" w:after="120"/>
        <w:rPr>
          <w:rFonts w:ascii="Arial" w:hAnsi="Arial" w:cs="Arial"/>
        </w:rPr>
      </w:pPr>
      <w:r w:rsidRPr="00010C74">
        <w:rPr>
          <w:rFonts w:ascii="Arial" w:hAnsi="Arial" w:cs="Arial"/>
        </w:rPr>
        <w:t>3 = no glands expressible</w:t>
      </w:r>
    </w:p>
    <w:p w14:paraId="57FF9C31" w14:textId="7E30B602" w:rsidR="0029326D" w:rsidRDefault="0029326D" w:rsidP="0029326D">
      <w:pPr>
        <w:spacing w:before="120" w:after="120"/>
      </w:pPr>
    </w:p>
    <w:p w14:paraId="2DC3641D" w14:textId="0F2F8488" w:rsidR="0029326D" w:rsidRDefault="0029326D" w:rsidP="0029326D">
      <w:pPr>
        <w:spacing w:before="120" w:after="120"/>
      </w:pPr>
    </w:p>
    <w:p w14:paraId="2CFC019E" w14:textId="77777777" w:rsidR="00D04D2D" w:rsidRDefault="00D04D2D" w:rsidP="0029326D">
      <w:pPr>
        <w:spacing w:before="120" w:after="120"/>
      </w:pPr>
    </w:p>
    <w:p w14:paraId="4F64ECED" w14:textId="55E6BAFF" w:rsidR="0029326D" w:rsidRDefault="0029326D" w:rsidP="0029326D">
      <w:pPr>
        <w:rPr>
          <w:sz w:val="24"/>
          <w:szCs w:val="24"/>
        </w:rPr>
      </w:pPr>
      <w:r w:rsidRPr="0029326D">
        <w:rPr>
          <w:b/>
          <w:sz w:val="24"/>
          <w:szCs w:val="24"/>
        </w:rPr>
        <w:lastRenderedPageBreak/>
        <w:t xml:space="preserve">Appendix 3: </w:t>
      </w:r>
      <w:r w:rsidRPr="0029326D">
        <w:rPr>
          <w:sz w:val="24"/>
          <w:szCs w:val="24"/>
        </w:rPr>
        <w:t>Assessment of ocular discomfort using VAS scale</w:t>
      </w:r>
    </w:p>
    <w:p w14:paraId="0E858E02" w14:textId="179563B6" w:rsidR="0029326D" w:rsidRPr="0029326D" w:rsidRDefault="0029326D" w:rsidP="0029326D">
      <w:pPr>
        <w:rPr>
          <w:sz w:val="24"/>
          <w:szCs w:val="24"/>
        </w:rPr>
      </w:pPr>
      <w:r w:rsidRPr="0029326D">
        <w:rPr>
          <w:sz w:val="24"/>
          <w:szCs w:val="24"/>
        </w:rPr>
        <w:t xml:space="preserve">VAS questionnaire had two questions based on the frequency and severity of ocular discomfort </w:t>
      </w:r>
    </w:p>
    <w:p w14:paraId="34A5A08B" w14:textId="06650B91" w:rsidR="0029326D" w:rsidRPr="0029326D" w:rsidRDefault="0029326D" w:rsidP="0029326D">
      <w:pPr>
        <w:rPr>
          <w:sz w:val="24"/>
          <w:szCs w:val="24"/>
        </w:rPr>
      </w:pPr>
      <w:r w:rsidRPr="0029326D">
        <w:rPr>
          <w:sz w:val="24"/>
          <w:szCs w:val="24"/>
        </w:rPr>
        <w:t>"How often, on average, your eyes felt uncomfortable over the past week?"  (</w:t>
      </w:r>
      <w:proofErr w:type="gramStart"/>
      <w:r w:rsidRPr="0029326D">
        <w:rPr>
          <w:sz w:val="24"/>
          <w:szCs w:val="24"/>
        </w:rPr>
        <w:t>scale</w:t>
      </w:r>
      <w:proofErr w:type="gramEnd"/>
      <w:r w:rsidRPr="0029326D">
        <w:rPr>
          <w:sz w:val="24"/>
          <w:szCs w:val="24"/>
        </w:rPr>
        <w:t xml:space="preserve"> 0- rarely; 100-all the</w:t>
      </w:r>
      <w:r w:rsidR="00A65064">
        <w:rPr>
          <w:sz w:val="24"/>
          <w:szCs w:val="24"/>
        </w:rPr>
        <w:t xml:space="preserve"> time)</w:t>
      </w:r>
      <w:r w:rsidR="006804DD">
        <w:rPr>
          <w:sz w:val="24"/>
          <w:szCs w:val="24"/>
        </w:rPr>
        <w:t>”</w:t>
      </w:r>
      <w:r w:rsidRPr="0029326D">
        <w:rPr>
          <w:sz w:val="24"/>
          <w:szCs w:val="24"/>
        </w:rPr>
        <w:t xml:space="preserve"> and </w:t>
      </w:r>
    </w:p>
    <w:p w14:paraId="510CC8B7" w14:textId="62A7AD08" w:rsidR="0029326D" w:rsidRPr="0029326D" w:rsidRDefault="0029326D" w:rsidP="0029326D">
      <w:pPr>
        <w:rPr>
          <w:sz w:val="24"/>
          <w:szCs w:val="24"/>
        </w:rPr>
      </w:pPr>
      <w:r w:rsidRPr="0029326D">
        <w:rPr>
          <w:sz w:val="24"/>
          <w:szCs w:val="24"/>
        </w:rPr>
        <w:t>"How uncomfortable, on average, your eye</w:t>
      </w:r>
      <w:r w:rsidR="006804DD">
        <w:rPr>
          <w:sz w:val="24"/>
          <w:szCs w:val="24"/>
        </w:rPr>
        <w:t>s felt over the past week?" (0-very mild; 100-</w:t>
      </w:r>
      <w:r w:rsidRPr="0029326D">
        <w:rPr>
          <w:sz w:val="24"/>
          <w:szCs w:val="24"/>
        </w:rPr>
        <w:t>very severely uncomfortable)</w:t>
      </w:r>
      <w:r w:rsidR="006804DD">
        <w:rPr>
          <w:sz w:val="24"/>
          <w:szCs w:val="24"/>
        </w:rPr>
        <w:t>”</w:t>
      </w:r>
      <w:r w:rsidRPr="0029326D">
        <w:rPr>
          <w:sz w:val="24"/>
          <w:szCs w:val="24"/>
        </w:rPr>
        <w:t xml:space="preserve">  </w:t>
      </w:r>
    </w:p>
    <w:p w14:paraId="69B4C3BA" w14:textId="727CF49C" w:rsidR="0029326D" w:rsidRPr="0029326D" w:rsidRDefault="0029326D" w:rsidP="0029326D">
      <w:pPr>
        <w:rPr>
          <w:sz w:val="24"/>
          <w:szCs w:val="24"/>
        </w:rPr>
      </w:pPr>
      <w:r w:rsidRPr="0029326D">
        <w:rPr>
          <w:sz w:val="24"/>
          <w:szCs w:val="24"/>
        </w:rPr>
        <w:t>For each of the question, the questionnaire had a 100 mm horizontal line with 0 and 100 indicated at respective end of the line. Patients were asked to mar</w:t>
      </w:r>
      <w:bookmarkStart w:id="5" w:name="_GoBack"/>
      <w:bookmarkEnd w:id="5"/>
      <w:r w:rsidRPr="0029326D">
        <w:rPr>
          <w:sz w:val="24"/>
          <w:szCs w:val="24"/>
        </w:rPr>
        <w:t>k an X on the line to indicate the response. VAS score was calculated by measuring the length (in mm) from the start of the line to the intersection point of the “X” mark made by the patient.</w:t>
      </w:r>
    </w:p>
    <w:sectPr w:rsidR="0029326D" w:rsidRPr="0029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1970"/>
    <w:multiLevelType w:val="hybridMultilevel"/>
    <w:tmpl w:val="CF5A54CC"/>
    <w:lvl w:ilvl="0" w:tplc="2050E0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85828"/>
    <w:multiLevelType w:val="hybridMultilevel"/>
    <w:tmpl w:val="9592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066FA"/>
    <w:multiLevelType w:val="hybridMultilevel"/>
    <w:tmpl w:val="98DE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E12E0"/>
    <w:multiLevelType w:val="hybridMultilevel"/>
    <w:tmpl w:val="7BCA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11"/>
    <w:rsid w:val="00010C74"/>
    <w:rsid w:val="0029326D"/>
    <w:rsid w:val="00344F17"/>
    <w:rsid w:val="004D0E76"/>
    <w:rsid w:val="00576EC9"/>
    <w:rsid w:val="006804DD"/>
    <w:rsid w:val="00A65064"/>
    <w:rsid w:val="00D04D2D"/>
    <w:rsid w:val="00DB5011"/>
    <w:rsid w:val="00F31F85"/>
    <w:rsid w:val="00FB6C69"/>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8572"/>
  <w15:chartTrackingRefBased/>
  <w15:docId w15:val="{C437779D-AC8D-45B8-BC7B-187181ED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B6C69"/>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FB6C69"/>
    <w:pPr>
      <w:autoSpaceDE w:val="0"/>
      <w:autoSpaceDN w:val="0"/>
      <w:adjustRightInd w:val="0"/>
      <w:spacing w:after="0" w:line="240" w:lineRule="auto"/>
      <w:ind w:left="12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38DFE7B9FEE4FB504E0881ED58277" ma:contentTypeVersion="13" ma:contentTypeDescription="Create a new document." ma:contentTypeScope="" ma:versionID="23a342a06149ac1c11873f717b4f4d5b">
  <xsd:schema xmlns:xsd="http://www.w3.org/2001/XMLSchema" xmlns:xs="http://www.w3.org/2001/XMLSchema" xmlns:p="http://schemas.microsoft.com/office/2006/metadata/properties" xmlns:ns3="a7b81d4f-be4f-4704-bd09-8f81d9ea0288" xmlns:ns4="7741d9f0-9ab8-4633-90e2-e93ddf1f27c5" targetNamespace="http://schemas.microsoft.com/office/2006/metadata/properties" ma:root="true" ma:fieldsID="f9acd75035cd1be797d107cb45c7367e" ns3:_="" ns4:_="">
    <xsd:import namespace="a7b81d4f-be4f-4704-bd09-8f81d9ea0288"/>
    <xsd:import namespace="7741d9f0-9ab8-4633-90e2-e93ddf1f2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81d4f-be4f-4704-bd09-8f81d9ea0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1d9f0-9ab8-4633-90e2-e93ddf1f27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E0BF6-76FA-4646-983E-719102CADBCF}">
  <ds:schemaRefs>
    <ds:schemaRef ds:uri="7741d9f0-9ab8-4633-90e2-e93ddf1f27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b81d4f-be4f-4704-bd09-8f81d9ea0288"/>
    <ds:schemaRef ds:uri="http://www.w3.org/XML/1998/namespace"/>
    <ds:schemaRef ds:uri="http://purl.org/dc/dcmitype/"/>
  </ds:schemaRefs>
</ds:datastoreItem>
</file>

<file path=customXml/itemProps2.xml><?xml version="1.0" encoding="utf-8"?>
<ds:datastoreItem xmlns:ds="http://schemas.openxmlformats.org/officeDocument/2006/customXml" ds:itemID="{F61D42DA-FDA7-4E57-A498-870422A3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81d4f-be4f-4704-bd09-8f81d9ea0288"/>
    <ds:schemaRef ds:uri="7741d9f0-9ab8-4633-90e2-e93ddf1f2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A9439-A735-485E-AEE9-EA9471DFE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Bhandari, Swati</dc:creator>
  <cp:keywords/>
  <dc:description/>
  <cp:lastModifiedBy>Bhandari, Swati</cp:lastModifiedBy>
  <cp:revision>7</cp:revision>
  <dcterms:created xsi:type="dcterms:W3CDTF">2020-05-29T09:29:00Z</dcterms:created>
  <dcterms:modified xsi:type="dcterms:W3CDTF">2020-06-16T11:40:00Z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0x0101006CB38DFE7B9FEE4FB504E0881ED58277</vt:lpwstr>
  </property>
</Properties>
</file>