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0C0B" w14:textId="56215151" w:rsidR="00CF0856" w:rsidRPr="0071689E" w:rsidRDefault="00CF0856" w:rsidP="00C45EFE">
      <w:pPr>
        <w:widowControl/>
        <w:autoSpaceDE/>
        <w:autoSpaceDN/>
        <w:spacing w:line="360" w:lineRule="auto"/>
        <w:ind w:left="0" w:firstLineChars="0" w:firstLine="0"/>
        <w:jc w:val="center"/>
        <w:rPr>
          <w:rFonts w:cs="Arial"/>
          <w:bCs/>
          <w:color w:val="000000" w:themeColor="text1"/>
          <w:kern w:val="0"/>
          <w:szCs w:val="24"/>
        </w:rPr>
      </w:pPr>
      <w:r w:rsidRPr="0071689E">
        <w:rPr>
          <w:rFonts w:cs="Arial"/>
          <w:b/>
          <w:szCs w:val="24"/>
        </w:rPr>
        <w:t>Table S1</w:t>
      </w:r>
      <w:r>
        <w:rPr>
          <w:rFonts w:cs="Arial"/>
          <w:b/>
          <w:szCs w:val="24"/>
        </w:rPr>
        <w:t xml:space="preserve"> </w:t>
      </w:r>
      <w:r w:rsidRPr="0071689E">
        <w:rPr>
          <w:rFonts w:cs="Arial"/>
          <w:b/>
          <w:szCs w:val="24"/>
        </w:rPr>
        <w:t>AHF patient and control subject characteristics</w:t>
      </w:r>
    </w:p>
    <w:tbl>
      <w:tblPr>
        <w:tblW w:w="8789" w:type="dxa"/>
        <w:jc w:val="center"/>
        <w:tblBorders>
          <w:top w:val="single" w:sz="8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1"/>
        <w:gridCol w:w="2410"/>
        <w:gridCol w:w="487"/>
        <w:gridCol w:w="1639"/>
        <w:gridCol w:w="1134"/>
      </w:tblGrid>
      <w:tr w:rsidR="00CF0856" w:rsidRPr="0071689E" w14:paraId="620BEF1D" w14:textId="77777777" w:rsidTr="00320DF1">
        <w:trPr>
          <w:trHeight w:val="248"/>
          <w:jc w:val="center"/>
        </w:trPr>
        <w:tc>
          <w:tcPr>
            <w:tcW w:w="311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2E5B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3E159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Controls (N = 65)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BF78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Patients (N = 241)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6118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P value</w:t>
            </w:r>
          </w:p>
        </w:tc>
      </w:tr>
      <w:tr w:rsidR="00CF0856" w:rsidRPr="0071689E" w14:paraId="1DD97489" w14:textId="77777777" w:rsidTr="00320DF1">
        <w:trPr>
          <w:trHeight w:val="248"/>
          <w:jc w:val="center"/>
        </w:trPr>
        <w:tc>
          <w:tcPr>
            <w:tcW w:w="8789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EE121C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General Characteristics</w:t>
            </w:r>
          </w:p>
        </w:tc>
      </w:tr>
      <w:tr w:rsidR="00CF0856" w:rsidRPr="0071689E" w14:paraId="6D66C066" w14:textId="77777777" w:rsidTr="00320DF1">
        <w:trPr>
          <w:trHeight w:val="253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3A5869E3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Age (year)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E2F33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69.21 ± 13.45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599894D0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68.59 ± 13.91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1CCB3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0.728</w:t>
            </w:r>
          </w:p>
        </w:tc>
      </w:tr>
      <w:tr w:rsidR="00CF0856" w:rsidRPr="0071689E" w14:paraId="1413BA4E" w14:textId="77777777" w:rsidTr="00320DF1">
        <w:trPr>
          <w:trHeight w:val="253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19EFECF0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Male (N, %)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616B9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40 (61.5%)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86A10E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147 (61.0%)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6F723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0.980</w:t>
            </w:r>
          </w:p>
        </w:tc>
      </w:tr>
      <w:tr w:rsidR="00CF0856" w:rsidRPr="0071689E" w14:paraId="0CF90400" w14:textId="77777777" w:rsidTr="00320DF1">
        <w:trPr>
          <w:trHeight w:val="253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</w:tcPr>
          <w:p w14:paraId="53DF0BD7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1"/>
                <w:szCs w:val="21"/>
              </w:rPr>
              <w:t>Physical Exam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ED61837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</w:tcPr>
          <w:p w14:paraId="666BB90A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A6A447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CF0856" w:rsidRPr="0071689E" w14:paraId="6E4CAF15" w14:textId="77777777" w:rsidTr="00320DF1">
        <w:trPr>
          <w:trHeight w:val="253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81B1D0F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SBP (mmHg)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36B6F8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129 (110, 143)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75161ED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128 (112, 149)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AC4C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0.078</w:t>
            </w:r>
          </w:p>
        </w:tc>
      </w:tr>
      <w:tr w:rsidR="00CF0856" w:rsidRPr="0071689E" w14:paraId="548A6FA4" w14:textId="77777777" w:rsidTr="00320DF1">
        <w:trPr>
          <w:trHeight w:val="253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EE5A4E7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DBP (mmHg)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F3F787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79 (69, 92)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1C6BC61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77 (68, 89)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A53B6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0.159</w:t>
            </w:r>
          </w:p>
        </w:tc>
      </w:tr>
      <w:tr w:rsidR="00CF0856" w:rsidRPr="0071689E" w14:paraId="3B2E0AA1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5DE9D09A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 xml:space="preserve">BMI </w:t>
            </w:r>
            <w:r w:rsidRPr="0071689E">
              <w:rPr>
                <w:rFonts w:cs="Arial"/>
                <w:bCs/>
                <w:color w:val="000000" w:themeColor="text1"/>
                <w:kern w:val="0"/>
                <w:sz w:val="21"/>
                <w:szCs w:val="21"/>
              </w:rPr>
              <w:t>(kg/m</w:t>
            </w:r>
            <w:r w:rsidRPr="0071689E">
              <w:rPr>
                <w:rFonts w:cs="Arial"/>
                <w:bCs/>
                <w:color w:val="000000" w:themeColor="text1"/>
                <w:kern w:val="0"/>
                <w:sz w:val="21"/>
                <w:szCs w:val="21"/>
                <w:vertAlign w:val="superscript"/>
              </w:rPr>
              <w:t>2</w:t>
            </w:r>
            <w:r w:rsidRPr="0071689E">
              <w:rPr>
                <w:rFonts w:cs="Arial"/>
                <w:bCs/>
                <w:color w:val="000000" w:themeColor="text1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DF47E9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23.30 (19.32, 26.60)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57A9F84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 xml:space="preserve">23.19 (20.44, 25.75)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64190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0.648</w:t>
            </w:r>
          </w:p>
        </w:tc>
      </w:tr>
      <w:tr w:rsidR="00CF0856" w:rsidRPr="0071689E" w14:paraId="546FEB8C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705A89BE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Heart rate (bpm)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63344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76.5 (68, 89)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64D8BA17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89 (76, 106)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7F6B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5AFBCDB6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64AC2E60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RR (breaths/min)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C7C14E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18 (16, 22)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7F39ED2D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20.5 (19, 23)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CD7B3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4BE83F99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</w:tcPr>
          <w:p w14:paraId="090F9750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MNA-SF score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62C8386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13 (10, 16)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</w:tcPr>
          <w:p w14:paraId="64BE6CA4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10 (7, 13)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5ABBE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CF0856" w:rsidRPr="0071689E" w14:paraId="2691C137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</w:tcPr>
          <w:p w14:paraId="27DCBBF5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1"/>
                <w:szCs w:val="21"/>
              </w:rPr>
              <w:t>Laboratory Data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5A2364A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</w:tcPr>
          <w:p w14:paraId="1AD8E217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663F29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CF0856" w:rsidRPr="0071689E" w14:paraId="20A05266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0AE3319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 xml:space="preserve">Albumin (g/L)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5EB10EF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43 (37, 50)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55F58C4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37 (32, 40)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31F30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0.008</w:t>
            </w:r>
          </w:p>
        </w:tc>
      </w:tr>
      <w:tr w:rsidR="00CF0856" w:rsidRPr="0071689E" w14:paraId="147AF098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185E45A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Creatinine (μmol/L)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8962D9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74.5 (65, 87)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4607624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91 (72, 125)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10CF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0FE0EA4C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B6CA5AD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eGFR (mL/min)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1CA90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96.4 (71.3, 107.31)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08C45F5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68.3 (46.0, 90.9)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4A37D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2226D9BD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2893110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NT-proBNP (ng/mL)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2C0948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NA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86CDA29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3980 (2051, 11382)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A29EB" w14:textId="379ECB03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N</w:t>
            </w:r>
            <w:r w:rsidR="001E15B3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</w:tr>
      <w:tr w:rsidR="00CF0856" w:rsidRPr="0071689E" w14:paraId="2F263C8E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477BF86F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Ghrelin (ng/mL)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F68CD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0.84 (0.67, 0.98)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02852D9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1.07 (0.85, 1.28)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35A9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670DB101" w14:textId="77777777" w:rsidTr="00320DF1">
        <w:trPr>
          <w:trHeight w:val="219"/>
          <w:jc w:val="center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68EDCFD3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Serum sodium (mmol/L)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64AD35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143 (136, 148)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7F9B0DA4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 xml:space="preserve">138 (135, 141)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746A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0.025</w:t>
            </w:r>
          </w:p>
        </w:tc>
      </w:tr>
      <w:tr w:rsidR="00CF0856" w:rsidRPr="0071689E" w14:paraId="5C7CA37A" w14:textId="77777777" w:rsidTr="00320DF1">
        <w:trPr>
          <w:trHeight w:val="219"/>
          <w:jc w:val="center"/>
        </w:trPr>
        <w:tc>
          <w:tcPr>
            <w:tcW w:w="3008" w:type="dxa"/>
            <w:shd w:val="clear" w:color="auto" w:fill="auto"/>
            <w:noWrap/>
            <w:vAlign w:val="bottom"/>
          </w:tcPr>
          <w:p w14:paraId="134C72D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Echocardiographic data</w:t>
            </w:r>
          </w:p>
        </w:tc>
        <w:tc>
          <w:tcPr>
            <w:tcW w:w="3008" w:type="dxa"/>
            <w:gridSpan w:val="3"/>
            <w:shd w:val="clear" w:color="auto" w:fill="auto"/>
            <w:noWrap/>
            <w:vAlign w:val="bottom"/>
          </w:tcPr>
          <w:p w14:paraId="76DD94A3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shd w:val="clear" w:color="auto" w:fill="auto"/>
            <w:noWrap/>
            <w:vAlign w:val="bottom"/>
          </w:tcPr>
          <w:p w14:paraId="2D9C33D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CF0856" w:rsidRPr="0071689E" w14:paraId="23D0139F" w14:textId="77777777" w:rsidTr="00320DF1">
        <w:trPr>
          <w:trHeight w:val="219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987542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LAD (cm)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D73B1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3.58 (3.41, 3.69)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7701F010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4.10 (3.55, 4.60)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37D7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</w:tr>
      <w:tr w:rsidR="00CF0856" w:rsidRPr="0071689E" w14:paraId="770BCB17" w14:textId="77777777" w:rsidTr="00320DF1">
        <w:trPr>
          <w:trHeight w:val="219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8D7DC0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LVEDD (cm)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F1DF110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4.39 ± 0.47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4AB5C323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5.08 ± 0.93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BF03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CF0856" w:rsidRPr="0071689E" w14:paraId="00BA45EA" w14:textId="77777777" w:rsidTr="00320DF1">
        <w:trPr>
          <w:trHeight w:val="219"/>
          <w:jc w:val="center"/>
        </w:trPr>
        <w:tc>
          <w:tcPr>
            <w:tcW w:w="3119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3262" w14:textId="77777777" w:rsidR="00CF0856" w:rsidRPr="0071689E" w:rsidRDefault="00CF0856" w:rsidP="00320DF1">
            <w:pPr>
              <w:widowControl/>
              <w:autoSpaceDE/>
              <w:autoSpaceDN/>
              <w:ind w:left="0" w:rightChars="100" w:right="240" w:firstLineChars="0" w:firstLine="0"/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LVEF (%)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8AB5A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62 (58, 66)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255B1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Cs/>
                <w:color w:val="FF0000"/>
                <w:kern w:val="0"/>
                <w:sz w:val="20"/>
                <w:szCs w:val="20"/>
              </w:rPr>
            </w:pPr>
            <w:r w:rsidRPr="0071689E">
              <w:rPr>
                <w:rFonts w:cs="Arial"/>
                <w:bCs/>
                <w:color w:val="000000" w:themeColor="text1"/>
                <w:kern w:val="0"/>
                <w:sz w:val="20"/>
                <w:szCs w:val="20"/>
              </w:rPr>
              <w:t>52 (43, 58)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E3169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rPr>
                <w:rFonts w:cs="Arial"/>
                <w:b/>
                <w:color w:val="FF0000"/>
                <w:kern w:val="0"/>
                <w:sz w:val="20"/>
                <w:szCs w:val="20"/>
              </w:rPr>
            </w:pPr>
            <w:r w:rsidRPr="0071689E">
              <w:rPr>
                <w:rFonts w:cs="Arial"/>
                <w:b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</w:tbl>
    <w:p w14:paraId="0518E167" w14:textId="77777777" w:rsidR="00CF0856" w:rsidRPr="0071689E" w:rsidRDefault="00CF0856" w:rsidP="00CF0856">
      <w:pPr>
        <w:widowControl/>
        <w:autoSpaceDE/>
        <w:autoSpaceDN/>
        <w:adjustRightInd w:val="0"/>
        <w:snapToGrid w:val="0"/>
        <w:spacing w:line="360" w:lineRule="auto"/>
        <w:ind w:left="0" w:firstLineChars="0" w:firstLine="0"/>
        <w:contextualSpacing/>
        <w:rPr>
          <w:rFonts w:cs="Arial"/>
          <w:kern w:val="0"/>
          <w:sz w:val="16"/>
          <w:szCs w:val="16"/>
        </w:rPr>
      </w:pPr>
    </w:p>
    <w:p w14:paraId="268BD329" w14:textId="61DEF4ED" w:rsidR="00CF0856" w:rsidRPr="00037A6D" w:rsidRDefault="00CF0856" w:rsidP="00CF0856">
      <w:pPr>
        <w:widowControl/>
        <w:autoSpaceDE/>
        <w:autoSpaceDN/>
        <w:adjustRightInd w:val="0"/>
        <w:snapToGrid w:val="0"/>
        <w:spacing w:line="360" w:lineRule="auto"/>
        <w:ind w:left="0" w:firstLineChars="0" w:firstLine="0"/>
        <w:contextualSpacing/>
        <w:jc w:val="both"/>
        <w:rPr>
          <w:rFonts w:cs="Arial"/>
          <w:kern w:val="0"/>
          <w:szCs w:val="24"/>
        </w:rPr>
      </w:pPr>
      <w:r w:rsidRPr="00037A6D" w:rsidDel="00F204E5">
        <w:rPr>
          <w:rFonts w:cs="Arial"/>
          <w:b/>
          <w:bCs/>
          <w:kern w:val="0"/>
          <w:szCs w:val="24"/>
        </w:rPr>
        <w:t xml:space="preserve">Note: </w:t>
      </w:r>
      <w:r w:rsidRPr="00037A6D" w:rsidDel="00F204E5">
        <w:rPr>
          <w:rFonts w:cs="Arial"/>
          <w:kern w:val="0"/>
          <w:szCs w:val="24"/>
        </w:rPr>
        <w:t>continuous variables were reported as mean ± deviation (SD) or median (upper and lower quartile), and categorical variables as percentages (%). P value &lt; 0.05 is shown in bold type. N</w:t>
      </w:r>
      <w:r w:rsidR="001E15B3">
        <w:rPr>
          <w:rFonts w:cs="Arial"/>
          <w:kern w:val="0"/>
          <w:szCs w:val="24"/>
        </w:rPr>
        <w:t>/</w:t>
      </w:r>
      <w:bookmarkStart w:id="0" w:name="_GoBack"/>
      <w:bookmarkEnd w:id="0"/>
      <w:r w:rsidRPr="00037A6D" w:rsidDel="00F204E5">
        <w:rPr>
          <w:rFonts w:cs="Arial"/>
          <w:kern w:val="0"/>
          <w:szCs w:val="24"/>
        </w:rPr>
        <w:t xml:space="preserve">A: Not applicable. </w:t>
      </w:r>
    </w:p>
    <w:p w14:paraId="5D308758" w14:textId="77777777" w:rsidR="00CF0856" w:rsidRPr="00037A6D" w:rsidRDefault="00CF0856" w:rsidP="00CF0856">
      <w:pPr>
        <w:widowControl/>
        <w:autoSpaceDE/>
        <w:autoSpaceDN/>
        <w:adjustRightInd w:val="0"/>
        <w:snapToGrid w:val="0"/>
        <w:spacing w:line="360" w:lineRule="auto"/>
        <w:ind w:left="0" w:firstLineChars="0" w:firstLine="0"/>
        <w:contextualSpacing/>
        <w:jc w:val="both"/>
        <w:rPr>
          <w:rFonts w:cs="Arial"/>
          <w:kern w:val="0"/>
          <w:szCs w:val="24"/>
        </w:rPr>
      </w:pPr>
      <w:r w:rsidRPr="00C2607A">
        <w:rPr>
          <w:rFonts w:cs="Arial"/>
          <w:b/>
          <w:bCs/>
          <w:kern w:val="0"/>
          <w:szCs w:val="24"/>
        </w:rPr>
        <w:t>Abbreviations:</w:t>
      </w:r>
      <w:r w:rsidRPr="00037A6D">
        <w:rPr>
          <w:rFonts w:cs="Arial"/>
          <w:kern w:val="0"/>
          <w:szCs w:val="24"/>
        </w:rPr>
        <w:t xml:space="preserve"> SBP: systolic blood pressure, DBP: diastolic blood pressure, </w:t>
      </w:r>
      <w:r w:rsidRPr="00C2607A">
        <w:rPr>
          <w:rFonts w:cs="Arial"/>
          <w:kern w:val="0"/>
          <w:szCs w:val="24"/>
        </w:rPr>
        <w:t>BMI:</w:t>
      </w:r>
      <w:r w:rsidRPr="00037A6D">
        <w:rPr>
          <w:rFonts w:cs="Arial"/>
          <w:b/>
          <w:bCs/>
          <w:kern w:val="0"/>
          <w:szCs w:val="24"/>
        </w:rPr>
        <w:t xml:space="preserve"> </w:t>
      </w:r>
      <w:r w:rsidRPr="00037A6D">
        <w:rPr>
          <w:rFonts w:cs="Arial"/>
          <w:kern w:val="0"/>
          <w:szCs w:val="24"/>
        </w:rPr>
        <w:t>body mass index, RR: respiratory rate, MNA-SF: Mini Nutritional Assessment Short Form, eGFR: estimated glomerular filtration rate, LAD: left atrial dimension, LVEDD: left ventricular end diastolic diameter, LVEF: left ventricular ejection fraction</w:t>
      </w:r>
      <w:r>
        <w:rPr>
          <w:rFonts w:cs="Arial"/>
          <w:kern w:val="0"/>
          <w:szCs w:val="24"/>
        </w:rPr>
        <w:t xml:space="preserve">; </w:t>
      </w:r>
      <w:r>
        <w:rPr>
          <w:rFonts w:cs="Arial"/>
          <w:bCs/>
          <w:color w:val="000000" w:themeColor="text1"/>
          <w:kern w:val="0"/>
          <w:szCs w:val="24"/>
        </w:rPr>
        <w:t>AHF, acute</w:t>
      </w:r>
      <w:r w:rsidRPr="0005736D">
        <w:rPr>
          <w:rFonts w:cs="Arial"/>
          <w:bCs/>
          <w:color w:val="000000" w:themeColor="text1"/>
          <w:kern w:val="0"/>
          <w:szCs w:val="24"/>
        </w:rPr>
        <w:t xml:space="preserve"> heart failure</w:t>
      </w:r>
      <w:r>
        <w:rPr>
          <w:rFonts w:cs="Arial"/>
          <w:bCs/>
          <w:color w:val="000000" w:themeColor="text1"/>
          <w:kern w:val="0"/>
          <w:szCs w:val="24"/>
        </w:rPr>
        <w:t xml:space="preserve">. </w:t>
      </w:r>
    </w:p>
    <w:p w14:paraId="27083856" w14:textId="1D4DC51F" w:rsidR="00CF0856" w:rsidRDefault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>
        <w:rPr>
          <w:rFonts w:cs="Arial"/>
          <w:bCs/>
          <w:color w:val="000000" w:themeColor="text1"/>
          <w:kern w:val="0"/>
          <w:szCs w:val="24"/>
        </w:rPr>
        <w:br w:type="page"/>
      </w:r>
    </w:p>
    <w:p w14:paraId="222C2959" w14:textId="77777777" w:rsidR="00CF0856" w:rsidRPr="0071689E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/>
          <w:color w:val="000000" w:themeColor="text1"/>
          <w:kern w:val="0"/>
          <w:szCs w:val="24"/>
        </w:rPr>
      </w:pPr>
      <w:r w:rsidRPr="0071689E">
        <w:rPr>
          <w:rFonts w:cs="Arial"/>
          <w:b/>
          <w:color w:val="000000" w:themeColor="text1"/>
          <w:kern w:val="0"/>
          <w:szCs w:val="24"/>
        </w:rPr>
        <w:lastRenderedPageBreak/>
        <w:t xml:space="preserve">Table S2 Association of log NT-proBNP and log ghrelin levels with </w:t>
      </w:r>
      <w:r>
        <w:rPr>
          <w:rFonts w:cs="Arial"/>
          <w:b/>
          <w:color w:val="000000" w:themeColor="text1"/>
          <w:kern w:val="0"/>
          <w:szCs w:val="24"/>
        </w:rPr>
        <w:t>acute heart failure</w:t>
      </w:r>
      <w:r w:rsidRPr="0071689E">
        <w:rPr>
          <w:rFonts w:cs="Arial"/>
          <w:b/>
          <w:color w:val="000000" w:themeColor="text1"/>
          <w:kern w:val="0"/>
          <w:szCs w:val="24"/>
        </w:rPr>
        <w:t xml:space="preserve"> events</w:t>
      </w:r>
    </w:p>
    <w:p w14:paraId="133AFD0C" w14:textId="77777777" w:rsidR="00CF0856" w:rsidRPr="0071689E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/>
          <w:color w:val="000000" w:themeColor="text1"/>
          <w:kern w:val="0"/>
          <w:szCs w:val="24"/>
        </w:rPr>
      </w:pPr>
    </w:p>
    <w:tbl>
      <w:tblPr>
        <w:tblStyle w:val="3"/>
        <w:tblW w:w="0" w:type="auto"/>
        <w:tblBorders>
          <w:top w:val="single" w:sz="4" w:space="0" w:color="auto"/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2694"/>
        <w:gridCol w:w="3532"/>
        <w:gridCol w:w="2076"/>
      </w:tblGrid>
      <w:tr w:rsidR="00CF0856" w:rsidRPr="0071689E" w14:paraId="1E4666CE" w14:textId="77777777" w:rsidTr="00320DF1">
        <w:tc>
          <w:tcPr>
            <w:tcW w:w="2694" w:type="dxa"/>
            <w:tcBorders>
              <w:bottom w:val="single" w:sz="4" w:space="0" w:color="000000" w:themeColor="text1"/>
            </w:tcBorders>
          </w:tcPr>
          <w:p w14:paraId="590A744C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>Variables</w:t>
            </w:r>
          </w:p>
        </w:tc>
        <w:tc>
          <w:tcPr>
            <w:tcW w:w="3532" w:type="dxa"/>
            <w:tcBorders>
              <w:bottom w:val="single" w:sz="4" w:space="0" w:color="000000" w:themeColor="text1"/>
            </w:tcBorders>
          </w:tcPr>
          <w:p w14:paraId="011C77A2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 xml:space="preserve">HRs (95% CI) </w:t>
            </w:r>
          </w:p>
        </w:tc>
        <w:tc>
          <w:tcPr>
            <w:tcW w:w="2076" w:type="dxa"/>
            <w:tcBorders>
              <w:bottom w:val="single" w:sz="4" w:space="0" w:color="000000" w:themeColor="text1"/>
            </w:tcBorders>
          </w:tcPr>
          <w:p w14:paraId="3C26242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>P value</w:t>
            </w:r>
          </w:p>
        </w:tc>
      </w:tr>
      <w:tr w:rsidR="00CF0856" w:rsidRPr="0071689E" w14:paraId="641F1937" w14:textId="77777777" w:rsidTr="00320DF1">
        <w:tc>
          <w:tcPr>
            <w:tcW w:w="2694" w:type="dxa"/>
            <w:tcBorders>
              <w:top w:val="single" w:sz="4" w:space="0" w:color="000000" w:themeColor="text1"/>
            </w:tcBorders>
          </w:tcPr>
          <w:p w14:paraId="0DE2C255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Log NT-proBNP</w:t>
            </w:r>
          </w:p>
        </w:tc>
        <w:tc>
          <w:tcPr>
            <w:tcW w:w="3532" w:type="dxa"/>
            <w:tcBorders>
              <w:top w:val="single" w:sz="4" w:space="0" w:color="000000" w:themeColor="text1"/>
            </w:tcBorders>
          </w:tcPr>
          <w:p w14:paraId="4F45F405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2.17 (1.66, 2.82)</w:t>
            </w:r>
          </w:p>
        </w:tc>
        <w:tc>
          <w:tcPr>
            <w:tcW w:w="2076" w:type="dxa"/>
            <w:tcBorders>
              <w:top w:val="single" w:sz="4" w:space="0" w:color="000000" w:themeColor="text1"/>
            </w:tcBorders>
          </w:tcPr>
          <w:p w14:paraId="49AF460C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&lt; 0.001</w:t>
            </w:r>
          </w:p>
        </w:tc>
      </w:tr>
      <w:tr w:rsidR="00CF0856" w:rsidRPr="0071689E" w14:paraId="02CCAF10" w14:textId="77777777" w:rsidTr="00320DF1">
        <w:tc>
          <w:tcPr>
            <w:tcW w:w="2694" w:type="dxa"/>
          </w:tcPr>
          <w:p w14:paraId="1817518A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Log ghrelin</w:t>
            </w:r>
          </w:p>
        </w:tc>
        <w:tc>
          <w:tcPr>
            <w:tcW w:w="3532" w:type="dxa"/>
          </w:tcPr>
          <w:p w14:paraId="519FC697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2.64 (1.11, 6.25)</w:t>
            </w:r>
          </w:p>
        </w:tc>
        <w:tc>
          <w:tcPr>
            <w:tcW w:w="2076" w:type="dxa"/>
          </w:tcPr>
          <w:p w14:paraId="7992762E" w14:textId="77777777" w:rsidR="00CF0856" w:rsidRPr="00D0060F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D0060F">
              <w:rPr>
                <w:rFonts w:cs="Arial"/>
                <w:b w:val="0"/>
                <w:bCs/>
                <w:sz w:val="20"/>
                <w:szCs w:val="20"/>
              </w:rPr>
              <w:t>0.028</w:t>
            </w:r>
          </w:p>
        </w:tc>
      </w:tr>
    </w:tbl>
    <w:p w14:paraId="01649F1B" w14:textId="77777777" w:rsidR="00CF0856" w:rsidRPr="0071689E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</w:p>
    <w:p w14:paraId="0C387B52" w14:textId="77777777" w:rsidR="00CF0856" w:rsidRPr="0005736D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 w:rsidRPr="0005736D" w:rsidDel="00201EB9">
        <w:rPr>
          <w:rFonts w:cs="Arial"/>
          <w:b/>
          <w:color w:val="000000" w:themeColor="text1"/>
          <w:kern w:val="0"/>
          <w:szCs w:val="24"/>
        </w:rPr>
        <w:t>Note:</w:t>
      </w:r>
      <w:r w:rsidRPr="0005736D" w:rsidDel="00201EB9">
        <w:rPr>
          <w:rFonts w:cs="Arial"/>
          <w:bCs/>
          <w:color w:val="000000" w:themeColor="text1"/>
          <w:kern w:val="0"/>
          <w:szCs w:val="24"/>
        </w:rPr>
        <w:t xml:space="preserve"> Adjusted hazard ratios (HRs) and 95% confidence intervals (CI) from multivariate cox proportional hazard models for composite events (all-cause mortality and/or readmission due to HF) are shown. The models were adjusted by age, sex, smoking status, BMI, respiratory rate, heart rate, SBP, DBP, hemoglobin, eGFR, bedside clinical classification, MNA-SF score, serum sodium, and history of HF hospitalization</w:t>
      </w:r>
      <w:r w:rsidRPr="0005736D">
        <w:rPr>
          <w:rFonts w:cs="Arial"/>
          <w:bCs/>
          <w:color w:val="000000" w:themeColor="text1"/>
          <w:kern w:val="0"/>
          <w:szCs w:val="24"/>
        </w:rPr>
        <w:t xml:space="preserve">. </w:t>
      </w:r>
    </w:p>
    <w:p w14:paraId="4B8FF580" w14:textId="6DDFBF37" w:rsidR="00CF0856" w:rsidRDefault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>
        <w:rPr>
          <w:rFonts w:cs="Arial"/>
          <w:bCs/>
          <w:color w:val="000000" w:themeColor="text1"/>
          <w:kern w:val="0"/>
          <w:szCs w:val="24"/>
        </w:rPr>
        <w:br w:type="page"/>
      </w:r>
    </w:p>
    <w:p w14:paraId="515123F7" w14:textId="77777777" w:rsidR="00CF0856" w:rsidRPr="0071689E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/>
          <w:color w:val="000000" w:themeColor="text1"/>
          <w:kern w:val="0"/>
          <w:szCs w:val="24"/>
        </w:rPr>
      </w:pPr>
      <w:r w:rsidRPr="0071689E">
        <w:rPr>
          <w:rFonts w:cs="Arial"/>
          <w:b/>
          <w:color w:val="000000" w:themeColor="text1"/>
          <w:kern w:val="0"/>
          <w:szCs w:val="24"/>
        </w:rPr>
        <w:lastRenderedPageBreak/>
        <w:t>Table S3</w:t>
      </w:r>
      <w:r>
        <w:rPr>
          <w:rFonts w:cs="Arial"/>
          <w:b/>
          <w:color w:val="000000" w:themeColor="text1"/>
          <w:kern w:val="0"/>
          <w:szCs w:val="24"/>
        </w:rPr>
        <w:t xml:space="preserve"> </w:t>
      </w:r>
      <w:r w:rsidRPr="0071689E">
        <w:rPr>
          <w:rFonts w:cs="Arial"/>
          <w:b/>
          <w:color w:val="000000" w:themeColor="text1"/>
          <w:kern w:val="0"/>
          <w:szCs w:val="24"/>
        </w:rPr>
        <w:t xml:space="preserve">Model calibration parameters for </w:t>
      </w:r>
      <w:r>
        <w:rPr>
          <w:rFonts w:cs="Arial"/>
          <w:b/>
          <w:color w:val="000000" w:themeColor="text1"/>
          <w:kern w:val="0"/>
          <w:szCs w:val="24"/>
        </w:rPr>
        <w:t>acute heart failure</w:t>
      </w:r>
      <w:r w:rsidRPr="0071689E">
        <w:rPr>
          <w:rFonts w:cs="Arial"/>
          <w:b/>
          <w:color w:val="000000" w:themeColor="text1"/>
          <w:kern w:val="0"/>
          <w:szCs w:val="24"/>
        </w:rPr>
        <w:t xml:space="preserve"> events</w:t>
      </w:r>
    </w:p>
    <w:tbl>
      <w:tblPr>
        <w:tblStyle w:val="5"/>
        <w:tblpPr w:leftFromText="180" w:rightFromText="180" w:vertAnchor="text" w:horzAnchor="margin" w:tblpXSpec="center" w:tblpY="288"/>
        <w:tblW w:w="0" w:type="auto"/>
        <w:tblBorders>
          <w:top w:val="single" w:sz="8" w:space="0" w:color="000000"/>
          <w:bottom w:val="single" w:sz="8" w:space="0" w:color="000000"/>
        </w:tblBorders>
        <w:tblLook w:val="0600" w:firstRow="0" w:lastRow="0" w:firstColumn="0" w:lastColumn="0" w:noHBand="1" w:noVBand="1"/>
      </w:tblPr>
      <w:tblGrid>
        <w:gridCol w:w="1838"/>
        <w:gridCol w:w="3260"/>
        <w:gridCol w:w="2268"/>
      </w:tblGrid>
      <w:tr w:rsidR="00CF0856" w:rsidRPr="0071689E" w14:paraId="4612DBC3" w14:textId="77777777" w:rsidTr="00320DF1">
        <w:trPr>
          <w:trHeight w:val="253"/>
        </w:trPr>
        <w:tc>
          <w:tcPr>
            <w:tcW w:w="1838" w:type="dxa"/>
            <w:tcBorders>
              <w:bottom w:val="single" w:sz="8" w:space="0" w:color="000000" w:themeColor="text1"/>
            </w:tcBorders>
          </w:tcPr>
          <w:p w14:paraId="30DD9219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>Variables</w:t>
            </w:r>
          </w:p>
        </w:tc>
        <w:tc>
          <w:tcPr>
            <w:tcW w:w="3260" w:type="dxa"/>
            <w:tcBorders>
              <w:bottom w:val="single" w:sz="8" w:space="0" w:color="000000" w:themeColor="text1"/>
            </w:tcBorders>
          </w:tcPr>
          <w:p w14:paraId="3F3A9AFB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 xml:space="preserve">Hosmer-Lemeshow </w:t>
            </w:r>
            <w:r w:rsidRPr="0071689E">
              <w:rPr>
                <w:rFonts w:eastAsiaTheme="minorEastAsia" w:cs="Arial"/>
                <w:bCs/>
                <w:sz w:val="20"/>
                <w:szCs w:val="20"/>
              </w:rPr>
              <w:sym w:font="Symbol" w:char="F063"/>
            </w:r>
            <w:r w:rsidRPr="0071689E">
              <w:rPr>
                <w:rFonts w:eastAsiaTheme="minorEastAsi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single" w:sz="8" w:space="0" w:color="000000" w:themeColor="text1"/>
            </w:tcBorders>
          </w:tcPr>
          <w:p w14:paraId="4658571D" w14:textId="77777777" w:rsidR="00CF0856" w:rsidRPr="0071689E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sz w:val="20"/>
                <w:szCs w:val="20"/>
              </w:rPr>
            </w:pPr>
            <w:r w:rsidRPr="0071689E">
              <w:rPr>
                <w:rFonts w:cs="Arial"/>
                <w:sz w:val="20"/>
                <w:szCs w:val="20"/>
              </w:rPr>
              <w:t>P value</w:t>
            </w:r>
          </w:p>
        </w:tc>
      </w:tr>
      <w:tr w:rsidR="00CF0856" w:rsidRPr="0071689E" w14:paraId="3AF120EC" w14:textId="77777777" w:rsidTr="00320DF1">
        <w:trPr>
          <w:trHeight w:val="253"/>
        </w:trPr>
        <w:tc>
          <w:tcPr>
            <w:tcW w:w="1838" w:type="dxa"/>
            <w:tcBorders>
              <w:top w:val="single" w:sz="8" w:space="0" w:color="000000" w:themeColor="text1"/>
            </w:tcBorders>
          </w:tcPr>
          <w:p w14:paraId="5C8594B7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Model 1</w:t>
            </w:r>
          </w:p>
        </w:tc>
        <w:tc>
          <w:tcPr>
            <w:tcW w:w="3260" w:type="dxa"/>
            <w:tcBorders>
              <w:top w:val="single" w:sz="8" w:space="0" w:color="000000" w:themeColor="text1"/>
            </w:tcBorders>
          </w:tcPr>
          <w:p w14:paraId="0BA71842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11.57</w:t>
            </w:r>
          </w:p>
        </w:tc>
        <w:tc>
          <w:tcPr>
            <w:tcW w:w="2268" w:type="dxa"/>
            <w:tcBorders>
              <w:top w:val="single" w:sz="8" w:space="0" w:color="000000" w:themeColor="text1"/>
            </w:tcBorders>
          </w:tcPr>
          <w:p w14:paraId="245A6569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0.3149</w:t>
            </w:r>
          </w:p>
        </w:tc>
      </w:tr>
      <w:tr w:rsidR="00CF0856" w:rsidRPr="0071689E" w14:paraId="293346FC" w14:textId="77777777" w:rsidTr="00320DF1">
        <w:trPr>
          <w:trHeight w:val="253"/>
        </w:trPr>
        <w:tc>
          <w:tcPr>
            <w:tcW w:w="1838" w:type="dxa"/>
          </w:tcPr>
          <w:p w14:paraId="4F88C4EA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Model 2</w:t>
            </w:r>
          </w:p>
        </w:tc>
        <w:tc>
          <w:tcPr>
            <w:tcW w:w="3260" w:type="dxa"/>
          </w:tcPr>
          <w:p w14:paraId="4CF73447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11.93</w:t>
            </w:r>
          </w:p>
        </w:tc>
        <w:tc>
          <w:tcPr>
            <w:tcW w:w="2268" w:type="dxa"/>
          </w:tcPr>
          <w:p w14:paraId="429D5784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0.2894</w:t>
            </w:r>
          </w:p>
        </w:tc>
      </w:tr>
      <w:tr w:rsidR="00CF0856" w:rsidRPr="0071689E" w14:paraId="6CF1079C" w14:textId="77777777" w:rsidTr="00320DF1">
        <w:trPr>
          <w:trHeight w:val="253"/>
        </w:trPr>
        <w:tc>
          <w:tcPr>
            <w:tcW w:w="1838" w:type="dxa"/>
          </w:tcPr>
          <w:p w14:paraId="2F36F7D5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Model 3</w:t>
            </w:r>
          </w:p>
        </w:tc>
        <w:tc>
          <w:tcPr>
            <w:tcW w:w="3260" w:type="dxa"/>
          </w:tcPr>
          <w:p w14:paraId="6ACE6863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16.03</w:t>
            </w:r>
          </w:p>
        </w:tc>
        <w:tc>
          <w:tcPr>
            <w:tcW w:w="2268" w:type="dxa"/>
          </w:tcPr>
          <w:p w14:paraId="0B879F25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0.0989</w:t>
            </w:r>
          </w:p>
        </w:tc>
      </w:tr>
      <w:tr w:rsidR="00CF0856" w:rsidRPr="0071689E" w14:paraId="180C1040" w14:textId="77777777" w:rsidTr="00320DF1">
        <w:trPr>
          <w:trHeight w:val="253"/>
        </w:trPr>
        <w:tc>
          <w:tcPr>
            <w:tcW w:w="1838" w:type="dxa"/>
          </w:tcPr>
          <w:p w14:paraId="75BDDC36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Model 4</w:t>
            </w:r>
          </w:p>
        </w:tc>
        <w:tc>
          <w:tcPr>
            <w:tcW w:w="3260" w:type="dxa"/>
          </w:tcPr>
          <w:p w14:paraId="0FB5FD3B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15.34</w:t>
            </w:r>
          </w:p>
        </w:tc>
        <w:tc>
          <w:tcPr>
            <w:tcW w:w="2268" w:type="dxa"/>
          </w:tcPr>
          <w:p w14:paraId="53C06C6A" w14:textId="77777777" w:rsidR="00CF0856" w:rsidRPr="00E37395" w:rsidRDefault="00CF0856" w:rsidP="00320DF1">
            <w:pPr>
              <w:widowControl/>
              <w:autoSpaceDE/>
              <w:autoSpaceDN/>
              <w:ind w:left="0" w:firstLineChars="0" w:firstLine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 w:rsidRPr="00E37395">
              <w:rPr>
                <w:rFonts w:cs="Arial"/>
                <w:b w:val="0"/>
                <w:bCs/>
                <w:sz w:val="20"/>
                <w:szCs w:val="20"/>
              </w:rPr>
              <w:t>0.1201</w:t>
            </w:r>
          </w:p>
        </w:tc>
      </w:tr>
    </w:tbl>
    <w:p w14:paraId="21D836C0" w14:textId="1F0412D0" w:rsidR="00C45EFE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 w:rsidRPr="0005736D">
        <w:rPr>
          <w:rFonts w:cs="Arial"/>
          <w:b/>
          <w:color w:val="000000" w:themeColor="text1"/>
          <w:kern w:val="0"/>
          <w:szCs w:val="24"/>
        </w:rPr>
        <w:t xml:space="preserve">Note: </w:t>
      </w:r>
      <w:r w:rsidRPr="0005736D">
        <w:rPr>
          <w:rFonts w:cs="Arial"/>
          <w:bCs/>
          <w:color w:val="000000" w:themeColor="text1"/>
          <w:kern w:val="0"/>
          <w:szCs w:val="24"/>
        </w:rPr>
        <w:t xml:space="preserve">Model 1 (reference) included respiratory rate, eGFR, serum sodium, and history of HF hospitalization; Model 2, Model 1 + log NT-proBNP; Model 3, Model 1 + log ghrelin; Model 4, Model 1 + log NT-proBNP + log ghrelin. </w:t>
      </w:r>
    </w:p>
    <w:p w14:paraId="7A528B5A" w14:textId="77777777" w:rsidR="00C45EFE" w:rsidRDefault="00C45EFE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>
        <w:rPr>
          <w:rFonts w:cs="Arial"/>
          <w:bCs/>
          <w:color w:val="000000" w:themeColor="text1"/>
          <w:kern w:val="0"/>
          <w:szCs w:val="24"/>
        </w:rPr>
        <w:br w:type="page"/>
      </w:r>
    </w:p>
    <w:p w14:paraId="13A43EA6" w14:textId="77777777" w:rsidR="00CF0856" w:rsidRPr="0005736D" w:rsidRDefault="00CF0856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</w:p>
    <w:p w14:paraId="3BB7842B" w14:textId="5E21D8C1" w:rsidR="00CF0856" w:rsidRPr="00CF0856" w:rsidRDefault="00C45EFE" w:rsidP="00CF0856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>
        <w:rPr>
          <w:rFonts w:cs="Arial"/>
          <w:bCs/>
          <w:noProof/>
          <w:color w:val="000000" w:themeColor="text1"/>
          <w:kern w:val="0"/>
          <w:szCs w:val="24"/>
        </w:rPr>
        <w:drawing>
          <wp:inline distT="0" distB="0" distL="0" distR="0" wp14:anchorId="53854DC3" wp14:editId="280AB5BE">
            <wp:extent cx="5274310" cy="4315460"/>
            <wp:effectExtent l="0" t="0" r="2540" b="8890"/>
            <wp:docPr id="4" name="图片 4" descr="地图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B8A8" w14:textId="77777777" w:rsidR="00C45EFE" w:rsidRDefault="00C45EFE" w:rsidP="00C45EFE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/>
          <w:color w:val="000000" w:themeColor="text1"/>
          <w:kern w:val="0"/>
          <w:szCs w:val="24"/>
        </w:rPr>
      </w:pPr>
    </w:p>
    <w:p w14:paraId="4CA5EAB5" w14:textId="2AE8C85F" w:rsidR="00C45EFE" w:rsidRPr="0071689E" w:rsidRDefault="00C45EFE" w:rsidP="00C45EFE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/>
          <w:color w:val="000000" w:themeColor="text1"/>
          <w:kern w:val="0"/>
          <w:szCs w:val="24"/>
        </w:rPr>
      </w:pPr>
      <w:r w:rsidRPr="0071689E">
        <w:rPr>
          <w:rFonts w:cs="Arial"/>
          <w:b/>
          <w:color w:val="000000" w:themeColor="text1"/>
          <w:kern w:val="0"/>
          <w:szCs w:val="24"/>
        </w:rPr>
        <w:t>Figure S1</w:t>
      </w:r>
      <w:r>
        <w:rPr>
          <w:rFonts w:cs="Arial"/>
          <w:b/>
          <w:color w:val="000000" w:themeColor="text1"/>
          <w:kern w:val="0"/>
          <w:szCs w:val="24"/>
        </w:rPr>
        <w:t xml:space="preserve"> </w:t>
      </w:r>
      <w:r w:rsidRPr="0071689E">
        <w:rPr>
          <w:rFonts w:cs="Arial"/>
          <w:b/>
          <w:color w:val="000000" w:themeColor="text1"/>
          <w:kern w:val="0"/>
          <w:szCs w:val="24"/>
        </w:rPr>
        <w:t xml:space="preserve">Calibration plots of each model for </w:t>
      </w:r>
      <w:r>
        <w:rPr>
          <w:rFonts w:cs="Arial"/>
          <w:b/>
          <w:color w:val="000000" w:themeColor="text1"/>
          <w:kern w:val="0"/>
          <w:szCs w:val="24"/>
        </w:rPr>
        <w:t>acute heart failure</w:t>
      </w:r>
      <w:r w:rsidRPr="0071689E">
        <w:rPr>
          <w:rFonts w:cs="Arial"/>
          <w:b/>
          <w:color w:val="000000" w:themeColor="text1"/>
          <w:kern w:val="0"/>
          <w:szCs w:val="24"/>
        </w:rPr>
        <w:t xml:space="preserve"> events</w:t>
      </w:r>
      <w:r>
        <w:rPr>
          <w:rFonts w:cs="Arial"/>
          <w:b/>
          <w:color w:val="000000" w:themeColor="text1"/>
          <w:kern w:val="0"/>
          <w:szCs w:val="24"/>
        </w:rPr>
        <w:t>.</w:t>
      </w:r>
    </w:p>
    <w:p w14:paraId="1429F0CE" w14:textId="77777777" w:rsidR="00C45EFE" w:rsidRDefault="00C45EFE" w:rsidP="00C45EFE">
      <w:pPr>
        <w:widowControl/>
        <w:autoSpaceDE/>
        <w:autoSpaceDN/>
        <w:spacing w:line="360" w:lineRule="auto"/>
        <w:ind w:left="0" w:firstLineChars="0" w:firstLine="0"/>
        <w:jc w:val="both"/>
        <w:rPr>
          <w:rFonts w:cs="Arial"/>
          <w:bCs/>
          <w:color w:val="000000" w:themeColor="text1"/>
          <w:kern w:val="0"/>
          <w:szCs w:val="24"/>
        </w:rPr>
      </w:pPr>
      <w:r w:rsidRPr="0071689E">
        <w:rPr>
          <w:rFonts w:cs="Arial"/>
          <w:b/>
          <w:color w:val="000000" w:themeColor="text1"/>
          <w:kern w:val="0"/>
          <w:szCs w:val="24"/>
        </w:rPr>
        <w:t xml:space="preserve">Note: </w:t>
      </w:r>
      <w:r w:rsidRPr="0071689E">
        <w:rPr>
          <w:rFonts w:cs="Arial"/>
          <w:bCs/>
          <w:color w:val="000000" w:themeColor="text1"/>
          <w:kern w:val="0"/>
          <w:szCs w:val="24"/>
        </w:rPr>
        <w:t>Model 1 (reference) includes RR, eGFR, serum sodium, and history of HF hospitalization; Model 2, Model 1 + log NT-proBNP; Model 3, Model 1 + log ghrelin; Model 4, Model 1 + log NT-proBNP + log ghrelin. Hosmer-Lemeshow goodness of fit tests were performed for each model.</w:t>
      </w:r>
    </w:p>
    <w:p w14:paraId="0B282704" w14:textId="1733C4D6" w:rsidR="00C164DB" w:rsidRPr="00C45EFE" w:rsidRDefault="00C164DB">
      <w:pPr>
        <w:ind w:firstLine="480"/>
      </w:pPr>
    </w:p>
    <w:sectPr w:rsidR="00C164DB" w:rsidRPr="00C45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6A0F6" w14:textId="77777777" w:rsidR="00BD350F" w:rsidRDefault="00BD350F" w:rsidP="00CF0856">
      <w:pPr>
        <w:ind w:firstLine="480"/>
      </w:pPr>
      <w:r>
        <w:separator/>
      </w:r>
    </w:p>
  </w:endnote>
  <w:endnote w:type="continuationSeparator" w:id="0">
    <w:p w14:paraId="3FD0AB01" w14:textId="77777777" w:rsidR="00BD350F" w:rsidRDefault="00BD350F" w:rsidP="00CF085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667C" w14:textId="77777777" w:rsidR="00D9293C" w:rsidRDefault="00D92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62DC" w14:textId="77777777" w:rsidR="00D9293C" w:rsidRDefault="00D929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7829" w14:textId="77777777" w:rsidR="00D9293C" w:rsidRDefault="00D92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3AB0" w14:textId="77777777" w:rsidR="00BD350F" w:rsidRDefault="00BD350F" w:rsidP="00CF0856">
      <w:pPr>
        <w:ind w:firstLine="480"/>
      </w:pPr>
      <w:r>
        <w:separator/>
      </w:r>
    </w:p>
  </w:footnote>
  <w:footnote w:type="continuationSeparator" w:id="0">
    <w:p w14:paraId="36CD15B8" w14:textId="77777777" w:rsidR="00BD350F" w:rsidRDefault="00BD350F" w:rsidP="00CF085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756C" w14:textId="77777777" w:rsidR="00D9293C" w:rsidRDefault="00D92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A67FE" w14:textId="77777777" w:rsidR="00D9293C" w:rsidRDefault="00D929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F917" w14:textId="77777777" w:rsidR="00D9293C" w:rsidRDefault="00D929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3F"/>
    <w:rsid w:val="001E15B3"/>
    <w:rsid w:val="00247DE2"/>
    <w:rsid w:val="006D683F"/>
    <w:rsid w:val="00BD350F"/>
    <w:rsid w:val="00C164DB"/>
    <w:rsid w:val="00C45EFE"/>
    <w:rsid w:val="00CF0856"/>
    <w:rsid w:val="00D9293C"/>
    <w:rsid w:val="00E5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32239"/>
  <w15:chartTrackingRefBased/>
  <w15:docId w15:val="{29DC9A87-8A81-49CF-B621-3C025A08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0856"/>
    <w:pPr>
      <w:widowControl w:val="0"/>
      <w:autoSpaceDE w:val="0"/>
      <w:autoSpaceDN w:val="0"/>
      <w:spacing w:line="240" w:lineRule="auto"/>
      <w:ind w:left="238" w:firstLineChars="200" w:firstLine="200"/>
      <w:jc w:val="left"/>
    </w:pPr>
    <w:rPr>
      <w:rFonts w:ascii="Arial" w:hAnsi="Arial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56"/>
    <w:pPr>
      <w:widowControl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ind w:left="0" w:firstLineChars="0" w:firstLine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856"/>
    <w:pPr>
      <w:widowControl/>
      <w:tabs>
        <w:tab w:val="center" w:pos="4153"/>
        <w:tab w:val="right" w:pos="8306"/>
      </w:tabs>
      <w:autoSpaceDE/>
      <w:autoSpaceDN/>
      <w:snapToGrid w:val="0"/>
      <w:ind w:left="0" w:firstLineChars="0" w:firstLine="0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856"/>
    <w:rPr>
      <w:sz w:val="18"/>
      <w:szCs w:val="18"/>
    </w:rPr>
  </w:style>
  <w:style w:type="table" w:styleId="3">
    <w:name w:val="Plain Table 3"/>
    <w:basedOn w:val="a1"/>
    <w:uiPriority w:val="43"/>
    <w:rsid w:val="00CF0856"/>
    <w:pPr>
      <w:spacing w:line="240" w:lineRule="auto"/>
    </w:pPr>
    <w:rPr>
      <w:rFonts w:ascii="Arial" w:hAnsi="Arial" w:cs="Arial"/>
      <w:b/>
      <w:color w:val="000000" w:themeColor="text1"/>
      <w:kern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CF0856"/>
    <w:pPr>
      <w:spacing w:line="240" w:lineRule="auto"/>
    </w:pPr>
    <w:rPr>
      <w:rFonts w:ascii="Arial" w:hAnsi="Arial" w:cs="Arial"/>
      <w:b/>
      <w:color w:val="000000" w:themeColor="text1"/>
      <w:kern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Yin</dc:creator>
  <cp:keywords/>
  <dc:description/>
  <cp:lastModifiedBy>YUAN Yin</cp:lastModifiedBy>
  <cp:revision>5</cp:revision>
  <dcterms:created xsi:type="dcterms:W3CDTF">2020-06-27T04:15:00Z</dcterms:created>
  <dcterms:modified xsi:type="dcterms:W3CDTF">2020-07-09T14:42:00Z</dcterms:modified>
</cp:coreProperties>
</file>