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94EB8" w14:textId="77777777" w:rsidR="00874D48" w:rsidRDefault="007658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Supplementary Material</w:t>
      </w:r>
    </w:p>
    <w:p w14:paraId="030DECDF" w14:textId="77777777" w:rsidR="00874D48" w:rsidRDefault="007658F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/>
          <w:sz w:val="24"/>
        </w:rPr>
        <w:t>. Sequence of the primers used for in the study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118"/>
        <w:gridCol w:w="3198"/>
      </w:tblGrid>
      <w:tr w:rsidR="00874D48" w14:paraId="5B096604" w14:textId="77777777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844DC96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Probe name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14CF3B77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Forward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</w:tcPr>
          <w:p w14:paraId="6D290DF5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Reverse</w:t>
            </w:r>
          </w:p>
        </w:tc>
      </w:tr>
      <w:tr w:rsidR="00874D48" w14:paraId="56282310" w14:textId="77777777"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129B8498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RP11-160E2.19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14:paraId="733A663A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TGATTGAGTCCTGTACCGTGC</w:t>
            </w:r>
          </w:p>
        </w:tc>
        <w:tc>
          <w:tcPr>
            <w:tcW w:w="3198" w:type="dxa"/>
            <w:tcBorders>
              <w:top w:val="single" w:sz="4" w:space="0" w:color="auto"/>
              <w:bottom w:val="nil"/>
            </w:tcBorders>
          </w:tcPr>
          <w:p w14:paraId="2270A2F4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GGGTCTTCACACCCTTGAGT</w:t>
            </w:r>
          </w:p>
        </w:tc>
      </w:tr>
      <w:tr w:rsidR="00874D48" w14:paraId="736A7D8A" w14:textId="77777777">
        <w:tc>
          <w:tcPr>
            <w:tcW w:w="1980" w:type="dxa"/>
            <w:tcBorders>
              <w:top w:val="nil"/>
            </w:tcBorders>
          </w:tcPr>
          <w:p w14:paraId="5CD5EE09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LUCAT1</w:t>
            </w:r>
          </w:p>
        </w:tc>
        <w:tc>
          <w:tcPr>
            <w:tcW w:w="3118" w:type="dxa"/>
            <w:tcBorders>
              <w:top w:val="nil"/>
            </w:tcBorders>
          </w:tcPr>
          <w:p w14:paraId="1619A537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ACACCCAGGAATCCAACTTGC</w:t>
            </w:r>
          </w:p>
        </w:tc>
        <w:tc>
          <w:tcPr>
            <w:tcW w:w="3198" w:type="dxa"/>
            <w:tcBorders>
              <w:top w:val="nil"/>
            </w:tcBorders>
          </w:tcPr>
          <w:p w14:paraId="70E3EF91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GATGAGGACAGCATTTGGACAC</w:t>
            </w:r>
          </w:p>
        </w:tc>
      </w:tr>
      <w:tr w:rsidR="00874D48" w14:paraId="4AA2FE0B" w14:textId="77777777">
        <w:tc>
          <w:tcPr>
            <w:tcW w:w="1980" w:type="dxa"/>
          </w:tcPr>
          <w:p w14:paraId="575F1EAD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LINC01108</w:t>
            </w:r>
          </w:p>
        </w:tc>
        <w:tc>
          <w:tcPr>
            <w:tcW w:w="3118" w:type="dxa"/>
          </w:tcPr>
          <w:p w14:paraId="7728C350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TGCTGCTTCCAGGAGTGAGTG</w:t>
            </w:r>
          </w:p>
        </w:tc>
        <w:tc>
          <w:tcPr>
            <w:tcW w:w="3198" w:type="dxa"/>
          </w:tcPr>
          <w:p w14:paraId="71D9C68D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ACGCTGAGTGACGATTGGG</w:t>
            </w:r>
          </w:p>
        </w:tc>
      </w:tr>
      <w:tr w:rsidR="00874D48" w14:paraId="0851E449" w14:textId="77777777">
        <w:tc>
          <w:tcPr>
            <w:tcW w:w="1980" w:type="dxa"/>
          </w:tcPr>
          <w:p w14:paraId="69F8B859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LY86-AS1</w:t>
            </w:r>
          </w:p>
        </w:tc>
        <w:tc>
          <w:tcPr>
            <w:tcW w:w="3118" w:type="dxa"/>
          </w:tcPr>
          <w:p w14:paraId="05C50BB2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TGAGTTGCGGGAGTTGTGTG</w:t>
            </w:r>
          </w:p>
        </w:tc>
        <w:tc>
          <w:tcPr>
            <w:tcW w:w="3198" w:type="dxa"/>
          </w:tcPr>
          <w:p w14:paraId="735E6B93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GATTCCACTTGACTCTGTTCGG</w:t>
            </w:r>
          </w:p>
        </w:tc>
      </w:tr>
      <w:tr w:rsidR="00874D48" w14:paraId="3A5FDBCD" w14:textId="77777777">
        <w:tc>
          <w:tcPr>
            <w:tcW w:w="1980" w:type="dxa"/>
          </w:tcPr>
          <w:p w14:paraId="48AF7DFD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G063948</w:t>
            </w:r>
          </w:p>
        </w:tc>
        <w:tc>
          <w:tcPr>
            <w:tcW w:w="3118" w:type="dxa"/>
          </w:tcPr>
          <w:p w14:paraId="0F8138F7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AGTAACAGGCATTGGGAAGGG</w:t>
            </w:r>
          </w:p>
        </w:tc>
        <w:tc>
          <w:tcPr>
            <w:tcW w:w="3198" w:type="dxa"/>
          </w:tcPr>
          <w:p w14:paraId="6B731E57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GGCAAGTTGTCCACAGGTGAC</w:t>
            </w:r>
          </w:p>
        </w:tc>
      </w:tr>
      <w:tr w:rsidR="00874D48" w14:paraId="41C2C03F" w14:textId="77777777">
        <w:tc>
          <w:tcPr>
            <w:tcW w:w="1980" w:type="dxa"/>
          </w:tcPr>
          <w:p w14:paraId="0A802C68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RP5-1158E12.1</w:t>
            </w:r>
          </w:p>
        </w:tc>
        <w:tc>
          <w:tcPr>
            <w:tcW w:w="3118" w:type="dxa"/>
          </w:tcPr>
          <w:p w14:paraId="72343897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ATGGAAGAACAACTGCCTAAGC</w:t>
            </w:r>
          </w:p>
        </w:tc>
        <w:tc>
          <w:tcPr>
            <w:tcW w:w="3198" w:type="dxa"/>
          </w:tcPr>
          <w:p w14:paraId="586BFC81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CCAGAACTCTTCATTCATTGCG</w:t>
            </w:r>
          </w:p>
        </w:tc>
      </w:tr>
      <w:tr w:rsidR="00874D48" w14:paraId="246B691C" w14:textId="77777777">
        <w:tc>
          <w:tcPr>
            <w:tcW w:w="1980" w:type="dxa"/>
          </w:tcPr>
          <w:p w14:paraId="6756137E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G052118</w:t>
            </w:r>
          </w:p>
        </w:tc>
        <w:tc>
          <w:tcPr>
            <w:tcW w:w="3118" w:type="dxa"/>
          </w:tcPr>
          <w:p w14:paraId="6C36A41C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GCTTGGGCACAGGAGATG</w:t>
            </w:r>
          </w:p>
        </w:tc>
        <w:tc>
          <w:tcPr>
            <w:tcW w:w="3198" w:type="dxa"/>
          </w:tcPr>
          <w:p w14:paraId="0742B020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GCTGTTCTGTGTCTGTGACT</w:t>
            </w:r>
          </w:p>
        </w:tc>
      </w:tr>
      <w:tr w:rsidR="00874D48" w14:paraId="63BA2B67" w14:textId="77777777">
        <w:tc>
          <w:tcPr>
            <w:tcW w:w="1980" w:type="dxa"/>
          </w:tcPr>
          <w:p w14:paraId="47AC1477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G057815</w:t>
            </w:r>
          </w:p>
        </w:tc>
        <w:tc>
          <w:tcPr>
            <w:tcW w:w="3118" w:type="dxa"/>
          </w:tcPr>
          <w:p w14:paraId="2F99E309" w14:textId="77777777" w:rsidR="00874D48" w:rsidRDefault="007658FE">
            <w:pPr>
              <w:widowControl/>
              <w:spacing w:line="480" w:lineRule="auto"/>
              <w:rPr>
                <w:rFonts w:ascii="Times New Roman" w:hAnsi="Times New Roman" w:cs="Times New Roman"/>
                <w:color w:val="222222"/>
                <w:sz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</w:rPr>
              <w:t>GTGCTTAGATGACTTTGCATTCC</w:t>
            </w:r>
          </w:p>
        </w:tc>
        <w:tc>
          <w:tcPr>
            <w:tcW w:w="3198" w:type="dxa"/>
          </w:tcPr>
          <w:p w14:paraId="3DA7A6E3" w14:textId="77777777" w:rsidR="00874D48" w:rsidRDefault="007658FE">
            <w:pPr>
              <w:widowControl/>
              <w:spacing w:line="480" w:lineRule="auto"/>
              <w:rPr>
                <w:rFonts w:ascii="Times New Roman" w:hAnsi="Times New Roman" w:cs="Times New Roman"/>
                <w:color w:val="222222"/>
                <w:sz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</w:rPr>
              <w:t>GTCCATGTCTCAGCTCACATC</w:t>
            </w:r>
          </w:p>
        </w:tc>
      </w:tr>
      <w:tr w:rsidR="00874D48" w14:paraId="245EA3E6" w14:textId="77777777">
        <w:tc>
          <w:tcPr>
            <w:tcW w:w="1980" w:type="dxa"/>
          </w:tcPr>
          <w:p w14:paraId="781FFF8E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uc.128-</w:t>
            </w:r>
          </w:p>
        </w:tc>
        <w:tc>
          <w:tcPr>
            <w:tcW w:w="3118" w:type="dxa"/>
          </w:tcPr>
          <w:p w14:paraId="7E9BF56D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TCTGTCCCCAGTCATCCCATA</w:t>
            </w:r>
          </w:p>
        </w:tc>
        <w:tc>
          <w:tcPr>
            <w:tcW w:w="3198" w:type="dxa"/>
          </w:tcPr>
          <w:p w14:paraId="402346C4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AATCCTTAATTGGACTCCAGGAGAG</w:t>
            </w:r>
          </w:p>
        </w:tc>
      </w:tr>
      <w:tr w:rsidR="00874D48" w14:paraId="3F4CC62E" w14:textId="77777777">
        <w:tc>
          <w:tcPr>
            <w:tcW w:w="1980" w:type="dxa"/>
          </w:tcPr>
          <w:p w14:paraId="5DC26819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G089388</w:t>
            </w:r>
          </w:p>
        </w:tc>
        <w:tc>
          <w:tcPr>
            <w:tcW w:w="3118" w:type="dxa"/>
          </w:tcPr>
          <w:p w14:paraId="0620741B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AGAAGGTGGAATTCAAACGGAGT</w:t>
            </w:r>
          </w:p>
        </w:tc>
        <w:tc>
          <w:tcPr>
            <w:tcW w:w="3198" w:type="dxa"/>
          </w:tcPr>
          <w:p w14:paraId="2612EE4D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TGGACAGCACCTCTGAACCC</w:t>
            </w:r>
          </w:p>
        </w:tc>
      </w:tr>
      <w:tr w:rsidR="00874D48" w14:paraId="131B46C8" w14:textId="77777777">
        <w:tc>
          <w:tcPr>
            <w:tcW w:w="1980" w:type="dxa"/>
          </w:tcPr>
          <w:p w14:paraId="7F5BB41D" w14:textId="77777777" w:rsidR="00874D48" w:rsidRDefault="007658FE">
            <w:pPr>
              <w:spacing w:line="480" w:lineRule="auto"/>
              <w:rPr>
                <w:rFonts w:ascii="Times New Roman" w:eastAsia="SimSu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</w:rPr>
              <w:t>HOXA-AS2</w:t>
            </w:r>
          </w:p>
        </w:tc>
        <w:tc>
          <w:tcPr>
            <w:tcW w:w="3118" w:type="dxa"/>
          </w:tcPr>
          <w:p w14:paraId="7C19C1D4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ACCGATGATGAGCCCTGATG</w:t>
            </w:r>
          </w:p>
        </w:tc>
        <w:tc>
          <w:tcPr>
            <w:tcW w:w="3198" w:type="dxa"/>
          </w:tcPr>
          <w:p w14:paraId="032DE79E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TGCTCCAAAACTCTTCGCC</w:t>
            </w:r>
          </w:p>
        </w:tc>
      </w:tr>
      <w:tr w:rsidR="00874D48" w14:paraId="1CDC27EB" w14:textId="77777777">
        <w:tc>
          <w:tcPr>
            <w:tcW w:w="1980" w:type="dxa"/>
          </w:tcPr>
          <w:p w14:paraId="18772AD9" w14:textId="77777777" w:rsidR="00874D48" w:rsidRDefault="007658FE">
            <w:pPr>
              <w:spacing w:line="480" w:lineRule="auto"/>
              <w:rPr>
                <w:rFonts w:ascii="Times New Roman" w:eastAsia="SimSu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</w:rPr>
              <w:t>Notch1</w:t>
            </w:r>
          </w:p>
        </w:tc>
        <w:tc>
          <w:tcPr>
            <w:tcW w:w="3118" w:type="dxa"/>
          </w:tcPr>
          <w:p w14:paraId="2EB37630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TGCTTCCAGAGTGCCACCGA</w:t>
            </w:r>
          </w:p>
        </w:tc>
        <w:tc>
          <w:tcPr>
            <w:tcW w:w="3198" w:type="dxa"/>
          </w:tcPr>
          <w:p w14:paraId="35C9E17C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GTCTCACTCTGCACGGCCTC</w:t>
            </w:r>
          </w:p>
        </w:tc>
      </w:tr>
      <w:tr w:rsidR="00874D48" w14:paraId="1C4FE178" w14:textId="77777777">
        <w:tc>
          <w:tcPr>
            <w:tcW w:w="1980" w:type="dxa"/>
          </w:tcPr>
          <w:p w14:paraId="44F41BFE" w14:textId="77777777" w:rsidR="00874D48" w:rsidRDefault="007658FE">
            <w:pPr>
              <w:spacing w:line="480" w:lineRule="auto"/>
              <w:rPr>
                <w:rFonts w:ascii="Times New Roman" w:eastAsia="SimSu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</w:rPr>
              <w:t>GADPH</w:t>
            </w:r>
          </w:p>
        </w:tc>
        <w:tc>
          <w:tcPr>
            <w:tcW w:w="3118" w:type="dxa"/>
          </w:tcPr>
          <w:p w14:paraId="63E2ACE6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ACAGCCTCAAGATCATCAGC</w:t>
            </w:r>
          </w:p>
        </w:tc>
        <w:tc>
          <w:tcPr>
            <w:tcW w:w="3198" w:type="dxa"/>
          </w:tcPr>
          <w:p w14:paraId="0A0FD44A" w14:textId="77777777" w:rsidR="00874D48" w:rsidRDefault="007658FE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GGTCATGAGTCCTTCCACGAT</w:t>
            </w:r>
          </w:p>
        </w:tc>
      </w:tr>
    </w:tbl>
    <w:p w14:paraId="3F89701E" w14:textId="77777777" w:rsidR="00874D48" w:rsidRDefault="00874D48">
      <w:pPr>
        <w:spacing w:line="480" w:lineRule="auto"/>
        <w:rPr>
          <w:rFonts w:ascii="Times New Roman" w:hAnsi="Times New Roman" w:cs="Times New Roman"/>
          <w:sz w:val="24"/>
        </w:rPr>
      </w:pPr>
    </w:p>
    <w:p w14:paraId="169EF93B" w14:textId="77777777" w:rsidR="00874D48" w:rsidRDefault="007658F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</w:t>
      </w:r>
      <w:r>
        <w:rPr>
          <w:rFonts w:ascii="Times New Roman" w:hAnsi="Times New Roman" w:cs="Times New Roman"/>
          <w:b/>
          <w:bCs/>
          <w:sz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</w:rPr>
        <w:t>. The characteristics of the patients recruited for verification of microarray results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74D48" w14:paraId="66C6165B" w14:textId="77777777"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</w:tcPr>
          <w:p w14:paraId="6BCC071A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Characteristics</w:t>
            </w:r>
          </w:p>
        </w:tc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</w:tcPr>
          <w:p w14:paraId="0D3952E8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 COPD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14:paraId="6B2E3577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COPD</w:t>
            </w:r>
          </w:p>
        </w:tc>
      </w:tr>
      <w:tr w:rsidR="00874D48" w14:paraId="286B115B" w14:textId="77777777">
        <w:tc>
          <w:tcPr>
            <w:tcW w:w="2765" w:type="dxa"/>
            <w:tcBorders>
              <w:top w:val="single" w:sz="4" w:space="0" w:color="auto"/>
            </w:tcBorders>
          </w:tcPr>
          <w:p w14:paraId="58549246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Number of subjects</w:t>
            </w:r>
          </w:p>
        </w:tc>
        <w:tc>
          <w:tcPr>
            <w:tcW w:w="2765" w:type="dxa"/>
            <w:tcBorders>
              <w:top w:val="single" w:sz="4" w:space="0" w:color="auto"/>
            </w:tcBorders>
          </w:tcPr>
          <w:p w14:paraId="3F7C72E1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244FE759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874D48" w14:paraId="6EE5FC47" w14:textId="77777777">
        <w:tc>
          <w:tcPr>
            <w:tcW w:w="2765" w:type="dxa"/>
          </w:tcPr>
          <w:p w14:paraId="2E85A999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Age</w:t>
            </w:r>
          </w:p>
        </w:tc>
        <w:tc>
          <w:tcPr>
            <w:tcW w:w="2765" w:type="dxa"/>
          </w:tcPr>
          <w:p w14:paraId="58C82EBE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53.60±13.99</w:t>
            </w:r>
          </w:p>
        </w:tc>
        <w:tc>
          <w:tcPr>
            <w:tcW w:w="2766" w:type="dxa"/>
          </w:tcPr>
          <w:p w14:paraId="12B618E6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58.47±9.08</w:t>
            </w:r>
          </w:p>
        </w:tc>
      </w:tr>
      <w:tr w:rsidR="00874D48" w14:paraId="755CCD78" w14:textId="77777777">
        <w:tc>
          <w:tcPr>
            <w:tcW w:w="2765" w:type="dxa"/>
          </w:tcPr>
          <w:p w14:paraId="080C3000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Sex, male</w:t>
            </w:r>
          </w:p>
        </w:tc>
        <w:tc>
          <w:tcPr>
            <w:tcW w:w="2765" w:type="dxa"/>
          </w:tcPr>
          <w:p w14:paraId="569A1B62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766" w:type="dxa"/>
          </w:tcPr>
          <w:p w14:paraId="71195EF5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874D48" w14:paraId="08E74893" w14:textId="77777777">
        <w:tc>
          <w:tcPr>
            <w:tcW w:w="2765" w:type="dxa"/>
          </w:tcPr>
          <w:p w14:paraId="0443672A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Pack-years</w:t>
            </w:r>
          </w:p>
        </w:tc>
        <w:tc>
          <w:tcPr>
            <w:tcW w:w="2765" w:type="dxa"/>
          </w:tcPr>
          <w:p w14:paraId="28D95F65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10.50±16.06</w:t>
            </w:r>
          </w:p>
        </w:tc>
        <w:tc>
          <w:tcPr>
            <w:tcW w:w="2766" w:type="dxa"/>
          </w:tcPr>
          <w:p w14:paraId="362D74D1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37.67±21.70</w:t>
            </w:r>
          </w:p>
        </w:tc>
      </w:tr>
      <w:tr w:rsidR="00874D48" w14:paraId="3473864A" w14:textId="77777777">
        <w:tc>
          <w:tcPr>
            <w:tcW w:w="2765" w:type="dxa"/>
          </w:tcPr>
          <w:p w14:paraId="2BD7F04B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FEV1(% predicted)</w:t>
            </w:r>
          </w:p>
        </w:tc>
        <w:tc>
          <w:tcPr>
            <w:tcW w:w="2765" w:type="dxa"/>
          </w:tcPr>
          <w:p w14:paraId="162A2C43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93.04±14.00</w:t>
            </w:r>
          </w:p>
        </w:tc>
        <w:tc>
          <w:tcPr>
            <w:tcW w:w="2766" w:type="dxa"/>
          </w:tcPr>
          <w:p w14:paraId="6AF0D6F6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72.30±16.86</w:t>
            </w:r>
          </w:p>
        </w:tc>
      </w:tr>
      <w:tr w:rsidR="00874D48" w14:paraId="0A6B7261" w14:textId="77777777">
        <w:tc>
          <w:tcPr>
            <w:tcW w:w="2765" w:type="dxa"/>
          </w:tcPr>
          <w:p w14:paraId="4EF3A684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FEV1/FVC</w:t>
            </w:r>
          </w:p>
        </w:tc>
        <w:tc>
          <w:tcPr>
            <w:tcW w:w="2765" w:type="dxa"/>
          </w:tcPr>
          <w:p w14:paraId="7447E36D" w14:textId="77777777" w:rsidR="00874D48" w:rsidRDefault="007658FE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77.08±4.67</w:t>
            </w:r>
          </w:p>
        </w:tc>
        <w:tc>
          <w:tcPr>
            <w:tcW w:w="2766" w:type="dxa"/>
          </w:tcPr>
          <w:p w14:paraId="04ECC5C3" w14:textId="77777777" w:rsidR="00874D48" w:rsidRDefault="007658FE">
            <w:pPr>
              <w:tabs>
                <w:tab w:val="center" w:pos="1275"/>
              </w:tabs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62.05±6.19</w:t>
            </w:r>
          </w:p>
        </w:tc>
      </w:tr>
    </w:tbl>
    <w:p w14:paraId="570FB0FA" w14:textId="77777777" w:rsidR="00874D48" w:rsidRDefault="007658F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are presented as mean ± SD.</w:t>
      </w:r>
    </w:p>
    <w:p w14:paraId="10055A70" w14:textId="77777777" w:rsidR="00874D48" w:rsidRDefault="007658FE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Abbreviations: COPD, chronic obstructive pulmonary disease; FEV1, </w:t>
      </w:r>
      <w:r>
        <w:rPr>
          <w:rFonts w:ascii="Times New Roman" w:hAnsi="Times New Roman" w:cs="Times New Roman"/>
          <w:sz w:val="24"/>
        </w:rPr>
        <w:t>forced expiratory volume in 1 second; FVC,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forced vital capacity</w:t>
      </w:r>
    </w:p>
    <w:p w14:paraId="386B3894" w14:textId="77777777" w:rsidR="00874D48" w:rsidRDefault="00874D48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46660F5" w14:textId="77777777" w:rsidR="00874D48" w:rsidRDefault="00874D48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66A24CA7" w14:textId="77777777" w:rsidR="00874D48" w:rsidRDefault="007658FE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1 </w:t>
      </w:r>
      <w:proofErr w:type="gramStart"/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The</w:t>
      </w:r>
      <w:proofErr w:type="gramEnd"/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</w:rPr>
        <w:t>representative images</w:t>
      </w:r>
      <w:r>
        <w:rPr>
          <w:rFonts w:ascii="Times New Roman" w:hAnsi="Times New Roman" w:cs="Times New Roman" w:hint="eastAsia"/>
          <w:sz w:val="24"/>
        </w:rPr>
        <w:t xml:space="preserve"> of 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HOXA-AS2 overexpression </w:t>
      </w:r>
      <w:r>
        <w:rPr>
          <w:rFonts w:ascii="Times New Roman" w:hAnsi="Times New Roman" w:cs="Times New Roman" w:hint="eastAsia"/>
          <w:sz w:val="24"/>
        </w:rPr>
        <w:t xml:space="preserve">lentivectors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transfection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z w:val="24"/>
        </w:rPr>
        <w:t>in different MOI</w:t>
      </w:r>
    </w:p>
    <w:p w14:paraId="7B637E9A" w14:textId="77777777" w:rsidR="00874D48" w:rsidRDefault="007658FE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7C0E913" wp14:editId="2EBA5425">
            <wp:simplePos x="0" y="0"/>
            <wp:positionH relativeFrom="column">
              <wp:posOffset>1250950</wp:posOffset>
            </wp:positionH>
            <wp:positionV relativeFrom="paragraph">
              <wp:posOffset>3175</wp:posOffset>
            </wp:positionV>
            <wp:extent cx="2337435" cy="2693670"/>
            <wp:effectExtent l="0" t="0" r="5715" b="1905"/>
            <wp:wrapTopAndBottom/>
            <wp:docPr id="3" name="图片 3" descr="绘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绘图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CD547" w14:textId="77777777" w:rsidR="00874D48" w:rsidRDefault="007658F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1 </w:t>
      </w:r>
      <w:proofErr w:type="gramStart"/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The</w:t>
      </w:r>
      <w:proofErr w:type="gramEnd"/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</w:rPr>
        <w:t>representative images</w:t>
      </w:r>
      <w:r>
        <w:rPr>
          <w:rFonts w:ascii="Times New Roman" w:hAnsi="Times New Roman" w:cs="Times New Roman" w:hint="eastAsia"/>
          <w:sz w:val="24"/>
        </w:rPr>
        <w:t xml:space="preserve"> of 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HOXA-AS2 overexpression </w:t>
      </w:r>
      <w:r>
        <w:rPr>
          <w:rFonts w:ascii="Times New Roman" w:hAnsi="Times New Roman" w:cs="Times New Roman" w:hint="eastAsia"/>
          <w:sz w:val="24"/>
        </w:rPr>
        <w:t xml:space="preserve">lentivectors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transfection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in different multiplicity of infection (MOI). The 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HOXA-AS2-GFP </w:t>
      </w:r>
      <w:r>
        <w:rPr>
          <w:rFonts w:ascii="Times New Roman" w:hAnsi="Times New Roman" w:cs="Times New Roman" w:hint="eastAsia"/>
          <w:sz w:val="24"/>
        </w:rPr>
        <w:t>(Green fluorescent protein)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lentivectors were co-cultured with endothelial cells in different MOI. Only when MOI=100, 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HOXA-AS2 overexpression </w:t>
      </w:r>
      <w:r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 w:hint="eastAsia"/>
          <w:sz w:val="24"/>
        </w:rPr>
        <w:t xml:space="preserve">entivectors were transfected into more than 80% endothelial cells.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 xml:space="preserve">All experiments were performed independently at least 3 times. </w:t>
      </w:r>
    </w:p>
    <w:p w14:paraId="288EDE09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0BE8BF90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7B09A4F1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3C09A325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58C48401" w14:textId="77777777" w:rsidR="00874D48" w:rsidRDefault="007658FE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D3AEBE7" wp14:editId="1878DC4E">
            <wp:simplePos x="0" y="0"/>
            <wp:positionH relativeFrom="column">
              <wp:posOffset>-65405</wp:posOffset>
            </wp:positionH>
            <wp:positionV relativeFrom="paragraph">
              <wp:posOffset>654685</wp:posOffset>
            </wp:positionV>
            <wp:extent cx="4904740" cy="3945255"/>
            <wp:effectExtent l="0" t="0" r="0" b="7620"/>
            <wp:wrapTopAndBottom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2 </w:t>
      </w:r>
      <w:proofErr w:type="gramStart"/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>The</w:t>
      </w:r>
      <w:proofErr w:type="gramEnd"/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>hematoxylin-eosin (HE) staining of COPD lung tissues</w:t>
      </w:r>
    </w:p>
    <w:p w14:paraId="0608F1BC" w14:textId="77777777" w:rsidR="00874D48" w:rsidRDefault="007658FE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2 </w:t>
      </w:r>
      <w:proofErr w:type="gramStart"/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>The</w:t>
      </w:r>
      <w:proofErr w:type="gramEnd"/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hematoxylin-eosin (HE) staining of COPD lung tissues. HE-stained lung tissue sections showed a much more severe emphysema in patients with COPD. </w:t>
      </w:r>
      <w:r>
        <w:rPr>
          <w:rFonts w:ascii="Times New Roman" w:hAnsi="Times New Roman" w:cs="Times New Roman" w:hint="eastAsia"/>
          <w:sz w:val="24"/>
          <w:shd w:val="clear" w:color="auto" w:fill="FFFFFF"/>
        </w:rPr>
        <w:t>O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riginal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magnification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(upper)40× and (lower)100×, Bars: 300</w:t>
      </w:r>
      <w:r>
        <w:rPr>
          <w:rFonts w:ascii="Times New Roman" w:eastAsia="Microsoft YaHei" w:hAnsi="Times New Roman" w:cs="Times New Roman"/>
          <w:color w:val="222222"/>
          <w:sz w:val="24"/>
          <w:shd w:val="clear" w:color="auto" w:fill="FFFFFF"/>
        </w:rPr>
        <w:t>u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m.</w:t>
      </w:r>
    </w:p>
    <w:p w14:paraId="202E64D5" w14:textId="77777777" w:rsidR="00874D48" w:rsidRDefault="00874D48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</w:p>
    <w:p w14:paraId="2EDF0750" w14:textId="77777777" w:rsidR="00874D48" w:rsidRDefault="00874D48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</w:p>
    <w:p w14:paraId="3D2849ED" w14:textId="77777777" w:rsidR="00874D48" w:rsidRDefault="00874D48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</w:p>
    <w:p w14:paraId="4DA8D5F9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6125993B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7A745C39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5D02F735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55D299DF" w14:textId="77777777" w:rsidR="00874D48" w:rsidRDefault="00874D48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</w:pPr>
    </w:p>
    <w:p w14:paraId="0B65F641" w14:textId="77777777" w:rsidR="00874D48" w:rsidRDefault="007658FE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3 </w:t>
      </w:r>
      <w:proofErr w:type="gramStart"/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The</w:t>
      </w:r>
      <w:proofErr w:type="gramEnd"/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 xml:space="preserve"> effect of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silencing HOXA-AS2 on expression of VEGF, Fli1 and Wnt3a.</w:t>
      </w:r>
      <w:r>
        <w:rPr>
          <w:rFonts w:ascii="Times New Roman" w:hAnsi="Times New Roman" w:cs="Times New Roman"/>
          <w:noProof/>
          <w:color w:val="222222"/>
          <w:sz w:val="24"/>
          <w:shd w:val="clear" w:color="auto" w:fill="FFFFFF"/>
        </w:rPr>
        <w:drawing>
          <wp:inline distT="0" distB="0" distL="114300" distR="114300" wp14:anchorId="6FA85893" wp14:editId="285B011B">
            <wp:extent cx="5274310" cy="1903095"/>
            <wp:effectExtent l="0" t="0" r="2540" b="1905"/>
            <wp:docPr id="1" name="图片 1" descr="FigS1. 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S1. 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C0DA" w14:textId="77777777" w:rsidR="00874D48" w:rsidRDefault="00874D48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</w:p>
    <w:p w14:paraId="08874F9A" w14:textId="6D4CD4F4" w:rsidR="00874D48" w:rsidRDefault="007658FE">
      <w:pPr>
        <w:spacing w:line="480" w:lineRule="auto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hd w:val="clear" w:color="auto" w:fill="FFFFFF"/>
        </w:rPr>
        <w:t>Figure S3</w:t>
      </w:r>
      <w:r>
        <w:rPr>
          <w:rFonts w:ascii="Times New Roman" w:hAnsi="Times New Roman" w:cs="Times New Roman" w:hint="eastAsia"/>
          <w:b/>
          <w:bCs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The effect of silencing HOXA-AS2 on expression of VEGF, Fli1 and Wnt3a.</w:t>
      </w:r>
      <w:r>
        <w:rPr>
          <w:rFonts w:ascii="Times New Roman" w:hAnsi="Times New Roman" w:cs="Times New Roman" w:hint="eastAsia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HPMECs was transfected with HOXA-AS2 siRNA for 24 hours, then the relative expression levels of VEGF(A), Fli1(B) a</w:t>
      </w:r>
      <w:r>
        <w:rPr>
          <w:rFonts w:ascii="Times New Roman" w:hAnsi="Times New Roman" w:cs="Times New Roman"/>
          <w:color w:val="222222"/>
          <w:sz w:val="24"/>
          <w:shd w:val="clear" w:color="auto" w:fill="FFFFFF"/>
        </w:rPr>
        <w:t>nd Wnt3a(C)was detected by Real-time PCR. All experiments were performed independently at least 3 times. HPMECs, human pulmonary microvascular endothelial cells; Real Time-PCR, Real-time polymerase chain reaction.</w:t>
      </w:r>
    </w:p>
    <w:p w14:paraId="4A0589B5" w14:textId="77777777" w:rsidR="00874D48" w:rsidRDefault="00874D48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5180B886" w14:textId="77777777" w:rsidR="00874D48" w:rsidRDefault="00874D48">
      <w:pPr>
        <w:spacing w:line="480" w:lineRule="auto"/>
      </w:pPr>
    </w:p>
    <w:p w14:paraId="5233C95D" w14:textId="77777777" w:rsidR="00874D48" w:rsidRDefault="00874D48">
      <w:pPr>
        <w:spacing w:line="480" w:lineRule="auto"/>
        <w:jc w:val="left"/>
        <w:rPr>
          <w:rFonts w:ascii="Times New Roman" w:hAnsi="Times New Roman" w:cs="Times New Roman"/>
          <w:sz w:val="24"/>
        </w:rPr>
      </w:pPr>
    </w:p>
    <w:sectPr w:rsidR="00874D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FAA34A9"/>
    <w:rsid w:val="007658FE"/>
    <w:rsid w:val="00874D48"/>
    <w:rsid w:val="01112623"/>
    <w:rsid w:val="049434F3"/>
    <w:rsid w:val="0A103753"/>
    <w:rsid w:val="100C32D3"/>
    <w:rsid w:val="11764A5B"/>
    <w:rsid w:val="14753384"/>
    <w:rsid w:val="26A67484"/>
    <w:rsid w:val="3D102397"/>
    <w:rsid w:val="3FAA34A9"/>
    <w:rsid w:val="44A649A8"/>
    <w:rsid w:val="5A2E5552"/>
    <w:rsid w:val="5F96249A"/>
    <w:rsid w:val="6282306F"/>
    <w:rsid w:val="7014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D24D243"/>
  <w15:docId w15:val="{094DD6B1-9411-4DC5-9290-84806544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SimSun" w:hAnsiTheme="minorHAnsi" w:cs="SimSun"/>
      <w:color w:val="000000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390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赵熠阳</dc:creator>
  <cp:lastModifiedBy>Mel Phimester</cp:lastModifiedBy>
  <cp:revision>2</cp:revision>
  <dcterms:created xsi:type="dcterms:W3CDTF">2020-08-17T05:45:00Z</dcterms:created>
  <dcterms:modified xsi:type="dcterms:W3CDTF">2020-08-17T05:45:00Z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