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BD" w:rsidRDefault="004730BD" w:rsidP="00BB47BD">
      <w:pPr>
        <w:widowControl w:val="0"/>
        <w:rPr>
          <w:rFonts w:cs="Arial"/>
          <w:b/>
          <w:bCs/>
        </w:rPr>
      </w:pPr>
    </w:p>
    <w:p w:rsidR="004730BD" w:rsidRDefault="004730BD" w:rsidP="00E12142">
      <w:pPr>
        <w:widowControl w:val="0"/>
        <w:rPr>
          <w:rFonts w:cs="Arial"/>
          <w:b/>
          <w:bCs/>
        </w:rPr>
      </w:pPr>
    </w:p>
    <w:p w:rsidR="004730BD" w:rsidRDefault="004730BD" w:rsidP="00E12142">
      <w:pPr>
        <w:widowControl w:val="0"/>
        <w:rPr>
          <w:rFonts w:cs="Arial"/>
          <w:b/>
          <w:bCs/>
        </w:rPr>
      </w:pPr>
    </w:p>
    <w:p w:rsidR="00E12142" w:rsidRDefault="004730BD" w:rsidP="00E12142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            </w:t>
      </w:r>
      <w:r w:rsidR="00E12142">
        <w:rPr>
          <w:rFonts w:cs="Arial"/>
          <w:b/>
          <w:bCs/>
        </w:rPr>
        <w:t xml:space="preserve">Supplementary Table-1 </w:t>
      </w:r>
      <w:r w:rsidR="00E12142" w:rsidRPr="006F4936">
        <w:rPr>
          <w:rFonts w:cs="Arial"/>
        </w:rPr>
        <w:t xml:space="preserve">The association between the various variables including hematologic indices with the presence of baseline </w:t>
      </w:r>
      <w:r w:rsidR="00E12142">
        <w:rPr>
          <w:rFonts w:cs="Arial"/>
        </w:rPr>
        <w:t>d</w:t>
      </w:r>
      <w:r w:rsidR="00E12142" w:rsidRPr="006F4936">
        <w:rPr>
          <w:rFonts w:cs="Arial"/>
        </w:rPr>
        <w:t>istant metastases</w:t>
      </w:r>
      <w:r w:rsidR="00E12142">
        <w:rPr>
          <w:rFonts w:cs="Arial"/>
        </w:rPr>
        <w:t xml:space="preserve"> in patients with pancreatic cancer</w:t>
      </w:r>
    </w:p>
    <w:p w:rsidR="006E00E7" w:rsidRDefault="006E00E7" w:rsidP="006E00E7">
      <w:pPr>
        <w:widowControl w:val="0"/>
        <w:rPr>
          <w:rFonts w:cs="Arial"/>
          <w:b/>
          <w:bCs/>
        </w:rPr>
      </w:pPr>
    </w:p>
    <w:p w:rsidR="00E12142" w:rsidRDefault="00E12142" w:rsidP="00E12142">
      <w:pPr>
        <w:widowControl w:val="0"/>
        <w:rPr>
          <w:rFonts w:cs="Arial"/>
          <w:lang w:bidi="ar-JO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161"/>
        <w:gridCol w:w="2250"/>
        <w:gridCol w:w="1172"/>
        <w:gridCol w:w="990"/>
        <w:gridCol w:w="1441"/>
      </w:tblGrid>
      <w:tr w:rsidR="006E00E7" w:rsidRPr="00E12142" w:rsidTr="006E00E7">
        <w:trPr>
          <w:trHeight w:val="438"/>
        </w:trPr>
        <w:tc>
          <w:tcPr>
            <w:tcW w:w="1983" w:type="dxa"/>
            <w:vMerge w:val="restart"/>
          </w:tcPr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line="292" w:lineRule="exact"/>
              <w:ind w:left="815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Baseline distant metastases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169"/>
              <w:ind w:left="106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p- value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169"/>
              <w:ind w:left="103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OR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169"/>
              <w:ind w:left="105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95% CI</w:t>
            </w:r>
          </w:p>
        </w:tc>
      </w:tr>
      <w:tr w:rsidR="006E00E7" w:rsidRPr="00E12142" w:rsidTr="006E00E7">
        <w:trPr>
          <w:trHeight w:val="503"/>
        </w:trPr>
        <w:tc>
          <w:tcPr>
            <w:tcW w:w="1983" w:type="dxa"/>
            <w:vMerge/>
          </w:tcPr>
          <w:p w:rsidR="006E00E7" w:rsidRPr="00E12142" w:rsidRDefault="006E00E7" w:rsidP="00C84151">
            <w:pPr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Present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line="292" w:lineRule="exact"/>
              <w:ind w:left="104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b/>
                <w:sz w:val="20"/>
                <w:szCs w:val="20"/>
              </w:rPr>
              <w:t>Absent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6E00E7" w:rsidRPr="00E12142" w:rsidRDefault="006E00E7" w:rsidP="00C84151">
            <w:pPr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6E00E7" w:rsidRPr="00E12142" w:rsidRDefault="006E00E7" w:rsidP="00C84151">
            <w:pPr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6E00E7" w:rsidRPr="00E12142" w:rsidRDefault="006E00E7" w:rsidP="00C84151">
            <w:pPr>
              <w:rPr>
                <w:rFonts w:asciiTheme="minorBidi" w:hAnsiTheme="minorBidi" w:cstheme="minorBidi"/>
                <w:szCs w:val="20"/>
              </w:rPr>
            </w:pPr>
          </w:p>
        </w:tc>
      </w:tr>
      <w:tr w:rsidR="006E00E7" w:rsidRPr="00E12142" w:rsidTr="006E00E7">
        <w:trPr>
          <w:trHeight w:val="1756"/>
        </w:trPr>
        <w:tc>
          <w:tcPr>
            <w:tcW w:w="1983" w:type="dxa"/>
          </w:tcPr>
          <w:p w:rsidR="006E00E7" w:rsidRPr="00E12142" w:rsidRDefault="006E00E7" w:rsidP="00C84151">
            <w:pPr>
              <w:pStyle w:val="TableParagraph"/>
              <w:spacing w:before="2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</w:p>
          <w:p w:rsidR="006E00E7" w:rsidRPr="00E12142" w:rsidRDefault="006E00E7" w:rsidP="00C84151">
            <w:pPr>
              <w:pStyle w:val="TableParagraph"/>
              <w:spacing w:before="161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ANC≥5500</w:t>
            </w:r>
          </w:p>
          <w:p w:rsidR="006E00E7" w:rsidRPr="00E12142" w:rsidRDefault="006E00E7" w:rsidP="00C84151">
            <w:pPr>
              <w:pStyle w:val="TableParagraph"/>
              <w:spacing w:line="440" w:lineRule="atLeast"/>
              <w:ind w:left="107" w:right="831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 xml:space="preserve">Baseline </w:t>
            </w: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ANC&lt;5500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before="31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113</w:t>
            </w:r>
            <w:r w:rsidRPr="00E12142">
              <w:rPr>
                <w:rFonts w:asciiTheme="minorBidi" w:hAnsiTheme="minorBidi" w:cstheme="minorBidi"/>
                <w:spacing w:val="-46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(64%)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7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92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(52%)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before="31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63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(36%)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7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85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(48%)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before="2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0.024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before="2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1.65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6E00E7" w:rsidRPr="00E12142" w:rsidRDefault="006E00E7" w:rsidP="00C84151">
            <w:pPr>
              <w:pStyle w:val="TableParagraph"/>
              <w:spacing w:before="2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(1.0-2.5)</w:t>
            </w:r>
          </w:p>
        </w:tc>
      </w:tr>
      <w:tr w:rsidR="006E00E7" w:rsidRPr="00E12142" w:rsidTr="006E00E7">
        <w:trPr>
          <w:trHeight w:val="1758"/>
        </w:trPr>
        <w:tc>
          <w:tcPr>
            <w:tcW w:w="1983" w:type="dxa"/>
          </w:tcPr>
          <w:p w:rsidR="006E00E7" w:rsidRPr="00E12142" w:rsidRDefault="006E00E7" w:rsidP="00C84151">
            <w:pPr>
              <w:pStyle w:val="TableParagraph"/>
              <w:spacing w:before="2" w:line="379" w:lineRule="auto"/>
              <w:ind w:left="107" w:right="831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 xml:space="preserve">Baseline </w:t>
            </w:r>
            <w:r w:rsidRPr="00E12142">
              <w:rPr>
                <w:rFonts w:asciiTheme="minorBidi" w:hAnsiTheme="minorBidi" w:cstheme="minorBidi"/>
                <w:w w:val="90"/>
                <w:sz w:val="20"/>
                <w:szCs w:val="20"/>
              </w:rPr>
              <w:t>ALC≥1680</w:t>
            </w:r>
          </w:p>
          <w:p w:rsidR="006E00E7" w:rsidRPr="00E12142" w:rsidRDefault="006E00E7" w:rsidP="00C84151">
            <w:pPr>
              <w:pStyle w:val="TableParagraph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</w:p>
          <w:p w:rsidR="006E00E7" w:rsidRPr="00E12142" w:rsidRDefault="006E00E7" w:rsidP="00C84151">
            <w:pPr>
              <w:pStyle w:val="TableParagraph"/>
              <w:spacing w:before="161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ALC&lt;1680</w:t>
            </w:r>
          </w:p>
        </w:tc>
        <w:tc>
          <w:tcPr>
            <w:tcW w:w="2161" w:type="dxa"/>
          </w:tcPr>
          <w:p w:rsidR="006E00E7" w:rsidRPr="00E12142" w:rsidRDefault="006E00E7" w:rsidP="00C84151">
            <w:pPr>
              <w:pStyle w:val="TableParagraph"/>
              <w:spacing w:before="31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99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(57%)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1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106</w:t>
            </w:r>
            <w:r w:rsidRPr="00E12142">
              <w:rPr>
                <w:rFonts w:asciiTheme="minorBidi" w:hAnsiTheme="minorBidi" w:cstheme="minorBidi"/>
                <w:spacing w:val="-46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(59%)</w:t>
            </w:r>
          </w:p>
        </w:tc>
        <w:tc>
          <w:tcPr>
            <w:tcW w:w="2250" w:type="dxa"/>
          </w:tcPr>
          <w:p w:rsidR="006E00E7" w:rsidRPr="00E12142" w:rsidRDefault="006E00E7" w:rsidP="00C84151">
            <w:pPr>
              <w:pStyle w:val="TableParagraph"/>
              <w:spacing w:before="31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75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(43%)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10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73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(41%)</w:t>
            </w:r>
          </w:p>
        </w:tc>
        <w:tc>
          <w:tcPr>
            <w:tcW w:w="1172" w:type="dxa"/>
          </w:tcPr>
          <w:p w:rsidR="006E00E7" w:rsidRPr="00E12142" w:rsidRDefault="006E00E7" w:rsidP="00C84151">
            <w:pPr>
              <w:pStyle w:val="TableParagraph"/>
              <w:spacing w:before="2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0.65</w:t>
            </w:r>
          </w:p>
        </w:tc>
        <w:tc>
          <w:tcPr>
            <w:tcW w:w="990" w:type="dxa"/>
          </w:tcPr>
          <w:p w:rsidR="006E00E7" w:rsidRPr="00E12142" w:rsidRDefault="006E00E7" w:rsidP="00C84151">
            <w:pPr>
              <w:pStyle w:val="TableParagraph"/>
              <w:spacing w:before="2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0.9</w:t>
            </w:r>
          </w:p>
        </w:tc>
        <w:tc>
          <w:tcPr>
            <w:tcW w:w="1441" w:type="dxa"/>
          </w:tcPr>
          <w:p w:rsidR="006E00E7" w:rsidRPr="00E12142" w:rsidRDefault="006E00E7" w:rsidP="00C84151">
            <w:pPr>
              <w:pStyle w:val="TableParagraph"/>
              <w:spacing w:before="2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(0.6-1.4)</w:t>
            </w:r>
          </w:p>
        </w:tc>
      </w:tr>
      <w:tr w:rsidR="006E00E7" w:rsidRPr="00E12142" w:rsidTr="006E00E7">
        <w:trPr>
          <w:trHeight w:val="1757"/>
        </w:trPr>
        <w:tc>
          <w:tcPr>
            <w:tcW w:w="1983" w:type="dxa"/>
          </w:tcPr>
          <w:p w:rsidR="006E00E7" w:rsidRPr="00E12142" w:rsidRDefault="006E00E7" w:rsidP="00C84151">
            <w:pPr>
              <w:pStyle w:val="TableParagraph"/>
              <w:tabs>
                <w:tab w:val="left" w:pos="1278"/>
              </w:tabs>
              <w:spacing w:before="2" w:line="379" w:lineRule="auto"/>
              <w:ind w:left="107" w:right="100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ab/>
            </w:r>
            <w:r w:rsidRPr="00E12142">
              <w:rPr>
                <w:rFonts w:asciiTheme="minorBidi" w:hAnsiTheme="minorBidi" w:cstheme="minorBidi"/>
                <w:spacing w:val="-5"/>
                <w:sz w:val="20"/>
                <w:szCs w:val="20"/>
              </w:rPr>
              <w:t xml:space="preserve">AMC≥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600</w:t>
            </w:r>
          </w:p>
          <w:p w:rsidR="006E00E7" w:rsidRPr="00E12142" w:rsidRDefault="006E00E7" w:rsidP="00C84151">
            <w:pPr>
              <w:pStyle w:val="TableParagraph"/>
              <w:tabs>
                <w:tab w:val="left" w:pos="1278"/>
              </w:tabs>
              <w:spacing w:line="276" w:lineRule="exact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ab/>
              <w:t>AMC&lt;</w:t>
            </w:r>
          </w:p>
          <w:p w:rsidR="006E00E7" w:rsidRPr="00E12142" w:rsidRDefault="006E00E7" w:rsidP="00C84151">
            <w:pPr>
              <w:pStyle w:val="TableParagraph"/>
              <w:spacing w:before="161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600</w:t>
            </w:r>
          </w:p>
        </w:tc>
        <w:tc>
          <w:tcPr>
            <w:tcW w:w="2161" w:type="dxa"/>
          </w:tcPr>
          <w:p w:rsidR="006E00E7" w:rsidRPr="00E12142" w:rsidRDefault="006E00E7" w:rsidP="00C84151">
            <w:pPr>
              <w:pStyle w:val="TableParagraph"/>
              <w:spacing w:before="31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117</w:t>
            </w:r>
            <w:r w:rsidRPr="00E12142">
              <w:rPr>
                <w:rFonts w:asciiTheme="minorBidi" w:hAnsiTheme="minorBidi" w:cstheme="minorBidi"/>
                <w:spacing w:val="-46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(66%)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7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88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(50%)</w:t>
            </w:r>
          </w:p>
        </w:tc>
        <w:tc>
          <w:tcPr>
            <w:tcW w:w="2250" w:type="dxa"/>
          </w:tcPr>
          <w:p w:rsidR="006E00E7" w:rsidRPr="00E12142" w:rsidRDefault="006E00E7" w:rsidP="00C84151">
            <w:pPr>
              <w:pStyle w:val="TableParagraph"/>
              <w:spacing w:before="31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59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(34%)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7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89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(50%)</w:t>
            </w:r>
          </w:p>
        </w:tc>
        <w:tc>
          <w:tcPr>
            <w:tcW w:w="1172" w:type="dxa"/>
          </w:tcPr>
          <w:p w:rsidR="006E00E7" w:rsidRPr="00E12142" w:rsidRDefault="006E00E7" w:rsidP="00C84151">
            <w:pPr>
              <w:pStyle w:val="TableParagraph"/>
              <w:spacing w:before="2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0.001</w:t>
            </w:r>
          </w:p>
        </w:tc>
        <w:tc>
          <w:tcPr>
            <w:tcW w:w="990" w:type="dxa"/>
          </w:tcPr>
          <w:p w:rsidR="006E00E7" w:rsidRPr="00E12142" w:rsidRDefault="006E00E7" w:rsidP="00C84151">
            <w:pPr>
              <w:pStyle w:val="TableParagraph"/>
              <w:spacing w:before="2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2.0</w:t>
            </w:r>
          </w:p>
        </w:tc>
        <w:tc>
          <w:tcPr>
            <w:tcW w:w="1441" w:type="dxa"/>
          </w:tcPr>
          <w:p w:rsidR="006E00E7" w:rsidRPr="00E12142" w:rsidRDefault="006E00E7" w:rsidP="00C84151">
            <w:pPr>
              <w:pStyle w:val="TableParagraph"/>
              <w:spacing w:before="2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(1.3-3.0)</w:t>
            </w:r>
          </w:p>
        </w:tc>
      </w:tr>
      <w:tr w:rsidR="006E00E7" w:rsidRPr="00E12142" w:rsidTr="006E00E7">
        <w:trPr>
          <w:trHeight w:val="1758"/>
        </w:trPr>
        <w:tc>
          <w:tcPr>
            <w:tcW w:w="1983" w:type="dxa"/>
          </w:tcPr>
          <w:p w:rsidR="006E00E7" w:rsidRPr="00E12142" w:rsidRDefault="006E00E7" w:rsidP="00C84151">
            <w:pPr>
              <w:pStyle w:val="TableParagraph"/>
              <w:tabs>
                <w:tab w:val="left" w:pos="1367"/>
              </w:tabs>
              <w:spacing w:before="5" w:line="379" w:lineRule="auto"/>
              <w:ind w:left="107" w:right="99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ab/>
            </w:r>
            <w:r w:rsidRPr="00E12142">
              <w:rPr>
                <w:rFonts w:asciiTheme="minorBidi" w:hAnsiTheme="minorBidi" w:cstheme="minorBidi"/>
                <w:spacing w:val="-5"/>
                <w:w w:val="95"/>
                <w:sz w:val="20"/>
                <w:szCs w:val="20"/>
              </w:rPr>
              <w:t xml:space="preserve">AEC≥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143</w:t>
            </w:r>
          </w:p>
          <w:p w:rsidR="006E00E7" w:rsidRPr="00E12142" w:rsidRDefault="006E00E7" w:rsidP="00C84151">
            <w:pPr>
              <w:pStyle w:val="TableParagraph"/>
              <w:tabs>
                <w:tab w:val="left" w:pos="1367"/>
              </w:tabs>
              <w:spacing w:line="276" w:lineRule="exact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ab/>
              <w:t>AEC&lt;</w:t>
            </w:r>
          </w:p>
          <w:p w:rsidR="006E00E7" w:rsidRPr="00E12142" w:rsidRDefault="006E00E7" w:rsidP="00C84151">
            <w:pPr>
              <w:pStyle w:val="TableParagraph"/>
              <w:spacing w:before="160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143</w:t>
            </w:r>
          </w:p>
        </w:tc>
        <w:tc>
          <w:tcPr>
            <w:tcW w:w="2161" w:type="dxa"/>
          </w:tcPr>
          <w:p w:rsidR="006E00E7" w:rsidRPr="00E12142" w:rsidRDefault="006E00E7" w:rsidP="00C84151">
            <w:pPr>
              <w:pStyle w:val="TableParagraph"/>
              <w:spacing w:before="33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83 (62%)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76(57%)</w:t>
            </w:r>
          </w:p>
        </w:tc>
        <w:tc>
          <w:tcPr>
            <w:tcW w:w="2250" w:type="dxa"/>
          </w:tcPr>
          <w:p w:rsidR="006E00E7" w:rsidRPr="00E12142" w:rsidRDefault="006E00E7" w:rsidP="00C84151">
            <w:pPr>
              <w:pStyle w:val="TableParagraph"/>
              <w:spacing w:before="33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51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(38%)</w:t>
            </w:r>
          </w:p>
          <w:p w:rsidR="006E00E7" w:rsidRPr="00E12142" w:rsidRDefault="006E00E7" w:rsidP="00C84151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C84151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58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(43%)</w:t>
            </w:r>
          </w:p>
        </w:tc>
        <w:tc>
          <w:tcPr>
            <w:tcW w:w="1172" w:type="dxa"/>
          </w:tcPr>
          <w:p w:rsidR="006E00E7" w:rsidRPr="00E12142" w:rsidRDefault="006E00E7" w:rsidP="00C84151">
            <w:pPr>
              <w:pStyle w:val="TableParagraph"/>
              <w:spacing w:before="5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0.38</w:t>
            </w:r>
          </w:p>
        </w:tc>
        <w:tc>
          <w:tcPr>
            <w:tcW w:w="990" w:type="dxa"/>
          </w:tcPr>
          <w:p w:rsidR="006E00E7" w:rsidRPr="00E12142" w:rsidRDefault="006E00E7" w:rsidP="00C84151">
            <w:pPr>
              <w:pStyle w:val="TableParagraph"/>
              <w:spacing w:before="5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1.2</w:t>
            </w:r>
          </w:p>
        </w:tc>
        <w:tc>
          <w:tcPr>
            <w:tcW w:w="1441" w:type="dxa"/>
          </w:tcPr>
          <w:p w:rsidR="006E00E7" w:rsidRPr="00E12142" w:rsidRDefault="006E00E7" w:rsidP="00C84151">
            <w:pPr>
              <w:pStyle w:val="TableParagraph"/>
              <w:spacing w:before="5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(0.7-2.0)</w:t>
            </w:r>
          </w:p>
        </w:tc>
      </w:tr>
      <w:tr w:rsidR="006E00E7" w:rsidRPr="00E12142" w:rsidTr="006E00E7">
        <w:trPr>
          <w:trHeight w:val="498"/>
        </w:trPr>
        <w:tc>
          <w:tcPr>
            <w:tcW w:w="1983" w:type="dxa"/>
          </w:tcPr>
          <w:p w:rsidR="006E00E7" w:rsidRPr="00E12142" w:rsidRDefault="006E00E7" w:rsidP="00C84151">
            <w:pPr>
              <w:pStyle w:val="TableParagraph"/>
              <w:spacing w:before="2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</w:p>
        </w:tc>
        <w:tc>
          <w:tcPr>
            <w:tcW w:w="2161" w:type="dxa"/>
          </w:tcPr>
          <w:p w:rsidR="006E00E7" w:rsidRPr="00E12142" w:rsidRDefault="006E00E7" w:rsidP="00C84151">
            <w:pPr>
              <w:pStyle w:val="TableParagraph"/>
              <w:spacing w:before="31"/>
              <w:ind w:left="381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126 (69%)</w:t>
            </w:r>
          </w:p>
        </w:tc>
        <w:tc>
          <w:tcPr>
            <w:tcW w:w="2250" w:type="dxa"/>
          </w:tcPr>
          <w:p w:rsidR="006E00E7" w:rsidRPr="00E12142" w:rsidRDefault="006E00E7" w:rsidP="00C84151">
            <w:pPr>
              <w:pStyle w:val="TableParagraph"/>
              <w:spacing w:before="31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56 (31%)</w:t>
            </w:r>
          </w:p>
        </w:tc>
        <w:tc>
          <w:tcPr>
            <w:tcW w:w="1172" w:type="dxa"/>
          </w:tcPr>
          <w:p w:rsidR="006E00E7" w:rsidRPr="00E12142" w:rsidRDefault="006E00E7" w:rsidP="00C84151">
            <w:pPr>
              <w:pStyle w:val="TableParagraph"/>
              <w:spacing w:before="2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&lt;.0001</w:t>
            </w:r>
          </w:p>
        </w:tc>
        <w:tc>
          <w:tcPr>
            <w:tcW w:w="990" w:type="dxa"/>
          </w:tcPr>
          <w:p w:rsidR="006E00E7" w:rsidRPr="00E12142" w:rsidRDefault="006E00E7" w:rsidP="00C84151">
            <w:pPr>
              <w:pStyle w:val="TableParagraph"/>
              <w:spacing w:before="2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2.6</w:t>
            </w:r>
          </w:p>
        </w:tc>
        <w:tc>
          <w:tcPr>
            <w:tcW w:w="1441" w:type="dxa"/>
          </w:tcPr>
          <w:p w:rsidR="006E00E7" w:rsidRPr="00E12142" w:rsidRDefault="006E00E7" w:rsidP="00C84151">
            <w:pPr>
              <w:pStyle w:val="TableParagraph"/>
              <w:spacing w:before="2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(1.7-4.0)</w:t>
            </w:r>
          </w:p>
        </w:tc>
      </w:tr>
    </w:tbl>
    <w:p w:rsidR="006E00E7" w:rsidRPr="00E12142" w:rsidRDefault="006E00E7" w:rsidP="006E00E7">
      <w:pPr>
        <w:rPr>
          <w:rFonts w:asciiTheme="minorBidi" w:hAnsiTheme="minorBidi" w:cstheme="minorBidi"/>
          <w:szCs w:val="20"/>
        </w:rPr>
        <w:sectPr w:rsidR="006E00E7" w:rsidRPr="00E12142">
          <w:pgSz w:w="12240" w:h="15840"/>
          <w:pgMar w:top="1400" w:right="60" w:bottom="280" w:left="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261"/>
        <w:tblW w:w="9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161"/>
        <w:gridCol w:w="2250"/>
        <w:gridCol w:w="1172"/>
        <w:gridCol w:w="990"/>
        <w:gridCol w:w="1441"/>
      </w:tblGrid>
      <w:tr w:rsidR="006E00E7" w:rsidRPr="00E12142" w:rsidTr="006E00E7">
        <w:trPr>
          <w:trHeight w:val="1317"/>
        </w:trPr>
        <w:tc>
          <w:tcPr>
            <w:tcW w:w="1983" w:type="dxa"/>
          </w:tcPr>
          <w:p w:rsidR="006E00E7" w:rsidRPr="00E12142" w:rsidRDefault="006E00E7" w:rsidP="006E00E7">
            <w:pPr>
              <w:pStyle w:val="TableParagraph"/>
              <w:spacing w:before="2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NLR≥3.3</w:t>
            </w:r>
          </w:p>
          <w:p w:rsidR="006E00E7" w:rsidRPr="00E12142" w:rsidRDefault="006E00E7" w:rsidP="006E00E7">
            <w:pPr>
              <w:pStyle w:val="TableParagraph"/>
              <w:spacing w:line="440" w:lineRule="atLeast"/>
              <w:ind w:left="107" w:right="104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0"/>
                <w:sz w:val="20"/>
                <w:szCs w:val="20"/>
              </w:rPr>
              <w:t>Baseline NLR&lt;3.3</w:t>
            </w:r>
          </w:p>
        </w:tc>
        <w:tc>
          <w:tcPr>
            <w:tcW w:w="2161" w:type="dxa"/>
          </w:tcPr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192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79 (46%)</w:t>
            </w:r>
          </w:p>
        </w:tc>
        <w:tc>
          <w:tcPr>
            <w:tcW w:w="2250" w:type="dxa"/>
          </w:tcPr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192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92 (54%)</w:t>
            </w:r>
          </w:p>
        </w:tc>
        <w:tc>
          <w:tcPr>
            <w:tcW w:w="1172" w:type="dxa"/>
          </w:tcPr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0" w:type="dxa"/>
          </w:tcPr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41" w:type="dxa"/>
          </w:tcPr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E00E7" w:rsidRPr="00E12142" w:rsidTr="00E12142">
        <w:trPr>
          <w:trHeight w:val="1758"/>
        </w:trPr>
        <w:tc>
          <w:tcPr>
            <w:tcW w:w="1983" w:type="dxa"/>
          </w:tcPr>
          <w:p w:rsidR="006E00E7" w:rsidRPr="00E12142" w:rsidRDefault="006E00E7" w:rsidP="006E00E7">
            <w:pPr>
              <w:pStyle w:val="TableParagraph"/>
              <w:spacing w:before="5" w:line="379" w:lineRule="auto"/>
              <w:ind w:left="107" w:right="99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Baseline MLR≥0.3</w:t>
            </w:r>
          </w:p>
          <w:p w:rsidR="006E00E7" w:rsidRPr="00E12142" w:rsidRDefault="006E00E7" w:rsidP="006E00E7">
            <w:pPr>
              <w:pStyle w:val="TableParagraph"/>
              <w:spacing w:line="276" w:lineRule="exact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</w:p>
          <w:p w:rsidR="006E00E7" w:rsidRPr="00E12142" w:rsidRDefault="006E00E7" w:rsidP="006E00E7">
            <w:pPr>
              <w:pStyle w:val="TableParagraph"/>
              <w:spacing w:before="160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MLR&lt;0.3</w:t>
            </w:r>
          </w:p>
        </w:tc>
        <w:tc>
          <w:tcPr>
            <w:tcW w:w="2161" w:type="dxa"/>
          </w:tcPr>
          <w:p w:rsidR="006E00E7" w:rsidRPr="00E12142" w:rsidRDefault="006E00E7" w:rsidP="006E00E7">
            <w:pPr>
              <w:pStyle w:val="TableParagraph"/>
              <w:spacing w:before="33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130</w:t>
            </w:r>
            <w:r w:rsidRPr="00E12142">
              <w:rPr>
                <w:rFonts w:asciiTheme="minorBidi" w:hAnsiTheme="minorBidi" w:cstheme="minorBidi"/>
                <w:spacing w:val="-46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(68%)</w:t>
            </w:r>
          </w:p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75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(46%)</w:t>
            </w:r>
          </w:p>
        </w:tc>
        <w:tc>
          <w:tcPr>
            <w:tcW w:w="2250" w:type="dxa"/>
          </w:tcPr>
          <w:p w:rsidR="006E00E7" w:rsidRPr="00E12142" w:rsidRDefault="006E00E7" w:rsidP="006E00E7">
            <w:pPr>
              <w:pStyle w:val="TableParagraph"/>
              <w:spacing w:before="33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62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(32%)</w:t>
            </w:r>
          </w:p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86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(54%)</w:t>
            </w:r>
          </w:p>
        </w:tc>
        <w:tc>
          <w:tcPr>
            <w:tcW w:w="1172" w:type="dxa"/>
          </w:tcPr>
          <w:p w:rsidR="006E00E7" w:rsidRPr="00E12142" w:rsidRDefault="006E00E7" w:rsidP="006E00E7">
            <w:pPr>
              <w:pStyle w:val="TableParagraph"/>
              <w:spacing w:before="5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&lt;.0001</w:t>
            </w:r>
          </w:p>
        </w:tc>
        <w:tc>
          <w:tcPr>
            <w:tcW w:w="990" w:type="dxa"/>
          </w:tcPr>
          <w:p w:rsidR="006E00E7" w:rsidRPr="00E12142" w:rsidRDefault="006E00E7" w:rsidP="006E00E7">
            <w:pPr>
              <w:pStyle w:val="TableParagraph"/>
              <w:spacing w:before="5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2.4</w:t>
            </w:r>
          </w:p>
        </w:tc>
        <w:tc>
          <w:tcPr>
            <w:tcW w:w="1441" w:type="dxa"/>
          </w:tcPr>
          <w:p w:rsidR="006E00E7" w:rsidRPr="00E12142" w:rsidRDefault="006E00E7" w:rsidP="006E00E7">
            <w:pPr>
              <w:pStyle w:val="TableParagraph"/>
              <w:spacing w:before="5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>(1.5-3.7)</w:t>
            </w:r>
          </w:p>
        </w:tc>
      </w:tr>
      <w:tr w:rsidR="006E00E7" w:rsidRPr="00E12142" w:rsidTr="00E12142">
        <w:trPr>
          <w:trHeight w:val="1759"/>
        </w:trPr>
        <w:tc>
          <w:tcPr>
            <w:tcW w:w="1983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2" w:line="379" w:lineRule="auto"/>
              <w:ind w:left="107" w:right="958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w w:val="95"/>
                <w:sz w:val="20"/>
                <w:szCs w:val="20"/>
              </w:rPr>
              <w:t xml:space="preserve">Baseline </w:t>
            </w:r>
            <w:r w:rsidRPr="00E12142">
              <w:rPr>
                <w:rFonts w:asciiTheme="minorBidi" w:hAnsiTheme="minorBidi" w:cstheme="minorBidi"/>
                <w:w w:val="90"/>
                <w:sz w:val="20"/>
                <w:szCs w:val="20"/>
              </w:rPr>
              <w:t>PLR≥0.15</w:t>
            </w:r>
          </w:p>
          <w:p w:rsidR="00E12142" w:rsidRPr="00E12142" w:rsidRDefault="006E00E7" w:rsidP="00E12142">
            <w:pPr>
              <w:pStyle w:val="TableParagraph"/>
              <w:spacing w:line="277" w:lineRule="exact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Baseline</w:t>
            </w:r>
            <w:r w:rsidR="00E12142" w:rsidRPr="00E1214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:rsidR="006E00E7" w:rsidRPr="00E12142" w:rsidRDefault="006E00E7" w:rsidP="00E12142">
            <w:pPr>
              <w:pStyle w:val="TableParagraph"/>
              <w:spacing w:line="277" w:lineRule="exact"/>
              <w:ind w:left="107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PLR&lt;0.15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31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108</w:t>
            </w:r>
            <w:r w:rsidRPr="00E12142">
              <w:rPr>
                <w:rFonts w:asciiTheme="minorBidi" w:hAnsiTheme="minorBidi" w:cstheme="minorBidi"/>
                <w:spacing w:val="-46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(61%)</w:t>
            </w:r>
          </w:p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ind w:right="785"/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97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(55%)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31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68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(39%)</w:t>
            </w:r>
          </w:p>
          <w:p w:rsidR="006E00E7" w:rsidRPr="00E12142" w:rsidRDefault="006E00E7" w:rsidP="006E00E7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6E00E7" w:rsidRPr="00E12142" w:rsidRDefault="006E00E7" w:rsidP="006E00E7">
            <w:pPr>
              <w:pStyle w:val="TableParagraph"/>
              <w:ind w:left="5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80</w:t>
            </w:r>
            <w:r w:rsidRPr="00E12142">
              <w:rPr>
                <w:rFonts w:asciiTheme="minorBidi" w:hAnsiTheme="minorBidi" w:cstheme="minorBidi"/>
                <w:spacing w:val="-43"/>
                <w:sz w:val="20"/>
                <w:szCs w:val="20"/>
              </w:rPr>
              <w:t xml:space="preserve"> </w:t>
            </w:r>
            <w:r w:rsidRPr="00E12142">
              <w:rPr>
                <w:rFonts w:asciiTheme="minorBidi" w:hAnsiTheme="minorBidi" w:cstheme="minorBidi"/>
                <w:sz w:val="20"/>
                <w:szCs w:val="20"/>
              </w:rPr>
              <w:t>(45%)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2"/>
              <w:ind w:left="106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0.2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2"/>
              <w:ind w:left="103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1.3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6E00E7" w:rsidRPr="00E12142" w:rsidRDefault="006E00E7" w:rsidP="006E00E7">
            <w:pPr>
              <w:pStyle w:val="TableParagraph"/>
              <w:spacing w:before="2"/>
              <w:ind w:left="105"/>
              <w:rPr>
                <w:rFonts w:asciiTheme="minorBidi" w:hAnsiTheme="minorBidi" w:cstheme="minorBidi"/>
                <w:sz w:val="20"/>
                <w:szCs w:val="20"/>
              </w:rPr>
            </w:pPr>
            <w:r w:rsidRPr="00E12142">
              <w:rPr>
                <w:rFonts w:asciiTheme="minorBidi" w:hAnsiTheme="minorBidi" w:cstheme="minorBidi"/>
                <w:sz w:val="20"/>
                <w:szCs w:val="20"/>
              </w:rPr>
              <w:t>(0.85-2.0)</w:t>
            </w:r>
          </w:p>
        </w:tc>
      </w:tr>
    </w:tbl>
    <w:p w:rsidR="00E12142" w:rsidRDefault="00E12142" w:rsidP="00E12142">
      <w:pPr>
        <w:widowControl w:val="0"/>
        <w:rPr>
          <w:rFonts w:cs="Arial"/>
          <w:b/>
          <w:bCs/>
        </w:rPr>
      </w:pPr>
    </w:p>
    <w:p w:rsidR="00E12142" w:rsidRDefault="00E12142" w:rsidP="00E12142">
      <w:pPr>
        <w:widowControl w:val="0"/>
        <w:rPr>
          <w:rFonts w:cs="Arial"/>
          <w:b/>
          <w:bCs/>
        </w:rPr>
      </w:pPr>
    </w:p>
    <w:p w:rsidR="00E12142" w:rsidRDefault="00E12142" w:rsidP="0020743F">
      <w:pPr>
        <w:widowControl w:val="0"/>
        <w:rPr>
          <w:rFonts w:cs="Arial"/>
        </w:rPr>
      </w:pPr>
      <w:r>
        <w:rPr>
          <w:rFonts w:cs="Arial"/>
          <w:b/>
          <w:bCs/>
        </w:rPr>
        <w:t xml:space="preserve"> </w:t>
      </w:r>
    </w:p>
    <w:p w:rsidR="0020743F" w:rsidRDefault="0020743F" w:rsidP="0020743F">
      <w:pPr>
        <w:widowControl w:val="0"/>
        <w:rPr>
          <w:rFonts w:cs="Arial"/>
        </w:rPr>
      </w:pPr>
    </w:p>
    <w:p w:rsidR="0020743F" w:rsidRDefault="0020743F" w:rsidP="0020743F">
      <w:pPr>
        <w:pStyle w:val="BodyText"/>
        <w:rPr>
          <w:sz w:val="16"/>
        </w:rPr>
      </w:pPr>
      <w:r>
        <w:br w:type="column"/>
      </w:r>
    </w:p>
    <w:p w:rsidR="0020743F" w:rsidRDefault="0020743F" w:rsidP="0020743F">
      <w:pPr>
        <w:pStyle w:val="BodyText"/>
        <w:spacing w:before="11"/>
        <w:rPr>
          <w:sz w:val="23"/>
        </w:rPr>
      </w:pPr>
    </w:p>
    <w:p w:rsidR="0020743F" w:rsidRDefault="0020743F" w:rsidP="004730BD">
      <w:pPr>
        <w:spacing w:before="105"/>
        <w:ind w:left="1065"/>
        <w:rPr>
          <w:sz w:val="14"/>
        </w:rPr>
      </w:pPr>
      <w:r>
        <w:br w:type="column"/>
      </w:r>
    </w:p>
    <w:p w:rsidR="0020743F" w:rsidRDefault="0020743F" w:rsidP="0020743F">
      <w:pPr>
        <w:rPr>
          <w:sz w:val="14"/>
        </w:rPr>
        <w:sectPr w:rsidR="0020743F" w:rsidSect="0020743F">
          <w:pgSz w:w="11910" w:h="15600"/>
          <w:pgMar w:top="960" w:right="80" w:bottom="820" w:left="120" w:header="720" w:footer="720" w:gutter="0"/>
          <w:cols w:num="3" w:space="720" w:equalWidth="0">
            <w:col w:w="5494" w:space="56"/>
            <w:col w:w="1173" w:space="39"/>
            <w:col w:w="4948"/>
          </w:cols>
        </w:sectPr>
      </w:pPr>
    </w:p>
    <w:p w:rsidR="00E12142" w:rsidRDefault="00BB47BD" w:rsidP="00BB47BD">
      <w:pPr>
        <w:rPr>
          <w:sz w:val="18"/>
          <w:szCs w:val="18"/>
          <w:lang w:bidi="ar-JO"/>
        </w:rPr>
      </w:pPr>
      <w:r>
        <w:rPr>
          <w:rFonts w:cs="Arial"/>
          <w:b/>
          <w:bCs/>
        </w:rPr>
        <w:lastRenderedPageBreak/>
        <w:t xml:space="preserve">Supplementary Table-2 </w:t>
      </w:r>
      <w:r w:rsidRPr="006F4936">
        <w:rPr>
          <w:rFonts w:cs="Arial"/>
        </w:rPr>
        <w:t xml:space="preserve">The association between the various variables including hematologic indices with the presence of baseline </w:t>
      </w:r>
      <w:r>
        <w:rPr>
          <w:rFonts w:cs="Arial"/>
        </w:rPr>
        <w:t>d</w:t>
      </w:r>
      <w:r w:rsidRPr="006F4936">
        <w:rPr>
          <w:rFonts w:cs="Arial"/>
        </w:rPr>
        <w:t>istant metastases</w:t>
      </w:r>
      <w:r>
        <w:rPr>
          <w:rFonts w:cs="Arial"/>
        </w:rPr>
        <w:t xml:space="preserve"> in patients with gastric cancer</w:t>
      </w:r>
    </w:p>
    <w:p w:rsidR="00BB47BD" w:rsidRDefault="00BB47BD" w:rsidP="00BB47BD">
      <w:pPr>
        <w:rPr>
          <w:sz w:val="18"/>
          <w:szCs w:val="18"/>
          <w:lang w:bidi="ar-JO"/>
        </w:rPr>
      </w:pPr>
    </w:p>
    <w:tbl>
      <w:tblPr>
        <w:tblW w:w="8394" w:type="dxa"/>
        <w:jc w:val="center"/>
        <w:tblLayout w:type="fixed"/>
        <w:tblLook w:val="0000" w:firstRow="0" w:lastRow="0" w:firstColumn="0" w:lastColumn="0" w:noHBand="0" w:noVBand="0"/>
      </w:tblPr>
      <w:tblGrid>
        <w:gridCol w:w="1416"/>
        <w:gridCol w:w="1618"/>
        <w:gridCol w:w="983"/>
        <w:gridCol w:w="1849"/>
        <w:gridCol w:w="1416"/>
        <w:gridCol w:w="1112"/>
      </w:tblGrid>
      <w:tr w:rsidR="00BB47BD" w:rsidRPr="004F2DB1" w:rsidTr="00BB47BD">
        <w:trPr>
          <w:jc w:val="center"/>
        </w:trPr>
        <w:tc>
          <w:tcPr>
            <w:tcW w:w="1416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>Mets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name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value 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P-value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Age (grp) 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Age &gt; 57 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210 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55(26.2%)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155(73.8%)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0.005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Age&lt;=57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291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111(38.1%)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180(61.9%)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gender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FEMALE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221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75(33.9%)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146(66.1%)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0.734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MALE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280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91(32.5%)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189(67.5%)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ANC&lt;=5730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65(27.5%)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171(72.5%)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0.012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ANC&gt;5730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265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101(38.1%)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164(61.9%)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ANC&lt;=9214.38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348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103(29.6%)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245(70.4%)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0.011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ANC&gt;9214.38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63(41.2%)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90(58.8%)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AMC&lt;=634.4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232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73(31.5%)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159(68.5%)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0.461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AMC&gt;634.4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269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93(34.6%)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176(65.4%)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AMC&lt;=876.59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335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110(32.8%)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225(67.2%)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0.841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AMC&gt;876.59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56(33.7%)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110(66.3%)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ALC&lt;=1892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229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78(34.1%)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151(65.9%)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0.686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ALC&gt;1892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272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88(32.4%)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184(67.6%)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ALC&lt;=2383.54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309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104(33.7%)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205(66.3%)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0.752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ALC&gt;2383.54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192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62(32.3%)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130(67.7%)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23(  . 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40(  . 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0.271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AEC&lt;=171.8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191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57(29.8%)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134(70.2%)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AEC&gt;171.8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247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86(34.8%)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161(65.2%)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23(  . 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40(  . 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0.101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AEC&lt;=282.85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272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81(29.8%)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191(70.2%)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AEC&gt;282.85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62(37.3%)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104(62.7%)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NLR&lt;=3.29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249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67(26.9%)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182(73.1%)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0.003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NLR&gt;3.29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252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99(39.3%)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153(60.7%)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NLR&lt;=4.37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333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93(27.9%)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240(72.1%)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0.000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NLR&gt;4.37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168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73(43.5%)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95(56.5%)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 cutoff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NLR&lt;=3.2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240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62(25.8%)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178(74.2%)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0.001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NLR&gt;3.2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261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104(39.8%)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157(60.2%)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MLR&lt;=0.33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255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81(31.8%)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174(68.2%)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0.507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MLR&gt;0.33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85(34.6%)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161(65.4%)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MLR&lt;=0.411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333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106(31.8%)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227(68.2%)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0.383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MLR&gt;0.411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168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60(35.7%)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108(64.3%)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0.022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PLR&lt;=0.154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238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64(26.9%)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174(73.1%)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PLR&gt;0.154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237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87(36.7%)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150(63.3%)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0.106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PLR&lt;=0.181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274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79(28.8%)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195(71.2%)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PLR&gt;0.181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201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72(35.8%)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129(64.2%)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 median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WBC&lt;=8.1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283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77(27.2%)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206(72.8%)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0.001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WBC&gt;8.1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218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89(40.8%)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129(59.2%)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 mean </w:t>
            </w:r>
          </w:p>
        </w:tc>
        <w:tc>
          <w:tcPr>
            <w:tcW w:w="1618" w:type="dxa"/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WBC&lt;=9.17 </w:t>
            </w:r>
          </w:p>
        </w:tc>
        <w:tc>
          <w:tcPr>
            <w:tcW w:w="983" w:type="dxa"/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343 </w:t>
            </w:r>
          </w:p>
        </w:tc>
        <w:tc>
          <w:tcPr>
            <w:tcW w:w="1849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102(29.7%) </w:t>
            </w:r>
          </w:p>
        </w:tc>
        <w:tc>
          <w:tcPr>
            <w:tcW w:w="1416" w:type="dxa"/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241(70.3%) </w:t>
            </w:r>
          </w:p>
        </w:tc>
        <w:tc>
          <w:tcPr>
            <w:tcW w:w="1112" w:type="dxa"/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0.017 </w:t>
            </w:r>
          </w:p>
        </w:tc>
      </w:tr>
      <w:tr w:rsidR="00BB47BD" w:rsidRPr="004F2DB1" w:rsidTr="00BB47BD">
        <w:trPr>
          <w:jc w:val="center"/>
        </w:trPr>
        <w:tc>
          <w:tcPr>
            <w:tcW w:w="1416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-58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WBC&gt;9.17 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375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158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64(40.5%)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644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2DB1">
              <w:rPr>
                <w:rFonts w:ascii="Times New Roman" w:hAnsi="Times New Roman"/>
                <w:sz w:val="18"/>
                <w:szCs w:val="18"/>
              </w:rPr>
              <w:t xml:space="preserve">94(59.5%) 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BB47BD" w:rsidRPr="004F2DB1" w:rsidRDefault="00BB47BD" w:rsidP="00F909E4">
            <w:pPr>
              <w:widowControl w:val="0"/>
              <w:tabs>
                <w:tab w:val="decimal" w:pos="83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47BD" w:rsidRDefault="00BB47BD" w:rsidP="00BB47BD">
      <w:pPr>
        <w:rPr>
          <w:sz w:val="18"/>
          <w:szCs w:val="18"/>
          <w:lang w:bidi="ar-JO"/>
        </w:rPr>
      </w:pPr>
    </w:p>
    <w:p w:rsidR="00BB47BD" w:rsidRDefault="00BB47BD" w:rsidP="00BB47BD">
      <w:pPr>
        <w:rPr>
          <w:sz w:val="18"/>
          <w:szCs w:val="18"/>
          <w:lang w:bidi="ar-JO"/>
        </w:rPr>
      </w:pPr>
    </w:p>
    <w:p w:rsidR="00BB47BD" w:rsidRDefault="00BB47BD" w:rsidP="00BB47BD">
      <w:pPr>
        <w:rPr>
          <w:sz w:val="18"/>
          <w:szCs w:val="18"/>
          <w:lang w:bidi="ar-JO"/>
        </w:rPr>
      </w:pPr>
      <w:r>
        <w:rPr>
          <w:rFonts w:cs="Arial"/>
          <w:b/>
          <w:bCs/>
        </w:rPr>
        <w:lastRenderedPageBreak/>
        <w:t xml:space="preserve">Supplementary Table-3 </w:t>
      </w:r>
      <w:r w:rsidRPr="006F4936">
        <w:rPr>
          <w:rFonts w:cs="Arial"/>
        </w:rPr>
        <w:t xml:space="preserve">The association between the various variables including hematologic indices with the presence of baseline </w:t>
      </w:r>
      <w:r>
        <w:rPr>
          <w:rFonts w:cs="Arial"/>
        </w:rPr>
        <w:t>d</w:t>
      </w:r>
      <w:r w:rsidRPr="006F4936">
        <w:rPr>
          <w:rFonts w:cs="Arial"/>
        </w:rPr>
        <w:t>istant metastases</w:t>
      </w:r>
      <w:r>
        <w:rPr>
          <w:rFonts w:cs="Arial"/>
        </w:rPr>
        <w:t xml:space="preserve"> in patients with biliary tract cancer</w:t>
      </w:r>
    </w:p>
    <w:p w:rsidR="00BB47BD" w:rsidRDefault="00BB47BD" w:rsidP="00BB47BD">
      <w:pPr>
        <w:rPr>
          <w:sz w:val="18"/>
          <w:szCs w:val="18"/>
          <w:lang w:bidi="ar-JO"/>
        </w:rPr>
      </w:pPr>
    </w:p>
    <w:tbl>
      <w:tblPr>
        <w:tblW w:w="8275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1655"/>
        <w:gridCol w:w="1345"/>
        <w:gridCol w:w="1345"/>
        <w:gridCol w:w="1345"/>
        <w:gridCol w:w="1137"/>
      </w:tblGrid>
      <w:tr w:rsidR="00BB47BD" w:rsidRPr="002A77AC" w:rsidTr="00BB47BD">
        <w:trPr>
          <w:jc w:val="center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name 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value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CHI Sq. P-value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Age (grp) 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Age &gt; 57 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43 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23(53.5%) 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20(46.5%) 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0.901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Age&lt;=57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46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24(52.2%)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22(47.8%)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gender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FEMALE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18(45.0%)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22(55.0%)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0.182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MALE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29(59.2%)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20(40.8%)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0.370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ANC&lt;=5730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23(47.9%)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25(52.1%)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ANC&gt;5730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23(57.5%)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17(42.5%)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0.431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ANC&lt;=9214.38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34(50.0%)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34(50.0%)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ANC&gt;9214.38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12(60.0%)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8(40.0%)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0.733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AMC&lt;=634.4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23(54.8%)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19(45.2%)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AMC&gt;634.4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45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23(51.1%)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22(48.9%)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0.620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AMC&lt;=876.59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35(51.5%)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33(48.5%)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AMC&gt;876.59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11(57.9%)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8(42.1%)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0.776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ALC&lt;=1892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20(54.1%)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17(45.9%)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ALC&gt;1892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51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26(51.0%)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25(49.0%)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0.460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ALC&lt;=2383.54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66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36(54.5%)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30(45.5%)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ALC&gt;2383.54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10(45.5%)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12(54.5%)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7(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6(  . 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0.921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AEC&lt;=171.8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46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24(52.2%)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22(47.8%)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AEC&gt;171.8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16(53.3%)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14(46.7%)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7(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6(  . 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0.923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AEC&lt;=282.85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33(52.4%)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30(47.6%)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AEC&gt;282.85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7(53.8%)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6(46.2%)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0.357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NLR&lt;=3.29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50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24(48.0%)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26(52.0%)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NLR&gt;3.29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22(57.9%)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16(42.1%)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0.081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NLR&lt;=4.37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59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27(45.8%)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32(54.2%)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NLR&gt;4.37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19(65.5%)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10(34.5%)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 cutoff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1(  . 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0.185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NLR&lt;=3.2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48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22(45.8%)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26(54.2%)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NLR&gt;3.2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24(60.0%)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16(40.0%)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0.770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MLR&lt;=0.33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46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25(54.3%)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21(45.7%)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trHeight w:val="80"/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MLR&gt;0.33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21(51.2%)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20(48.8%)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0.950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MLR&lt;=0.411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57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30(52.6%)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27(47.4%)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MLR&gt;0.411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16(53.3%)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14(46.7%)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0.868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PLR&lt;=0.154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26(53.1%)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23(46.9%)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PLR&gt;0.154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39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20(51.3%)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19(48.7%)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0.958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PLR&lt;=0.181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61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32(52.5%)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29(47.5%)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PLR&gt;0.181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14(51.9%)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13(48.1%)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 median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WBC&lt;=8.1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36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17(47.2%)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19(52.8%)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0.384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WBC&gt;8.1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53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30(56.6%)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23(43.4%)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 mean </w:t>
            </w:r>
          </w:p>
        </w:tc>
        <w:tc>
          <w:tcPr>
            <w:tcW w:w="1655" w:type="dxa"/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WBC&lt;=9.17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47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24(51.1%) </w:t>
            </w:r>
          </w:p>
        </w:tc>
        <w:tc>
          <w:tcPr>
            <w:tcW w:w="1345" w:type="dxa"/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23(48.9%) </w:t>
            </w:r>
          </w:p>
        </w:tc>
        <w:tc>
          <w:tcPr>
            <w:tcW w:w="1137" w:type="dxa"/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0.727 </w:t>
            </w: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WBC&gt;9.17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38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42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23(54.8%)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19(45.2%)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7BD" w:rsidRPr="002A77AC" w:rsidTr="00BB47BD">
        <w:trPr>
          <w:jc w:val="center"/>
        </w:trPr>
        <w:tc>
          <w:tcPr>
            <w:tcW w:w="1448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-5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left" w:pos="200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7A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606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BB47BD" w:rsidRPr="002A77AC" w:rsidRDefault="00BB47BD" w:rsidP="00F909E4">
            <w:pPr>
              <w:widowControl w:val="0"/>
              <w:tabs>
                <w:tab w:val="decimal" w:pos="87"/>
              </w:tabs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47BD" w:rsidRDefault="00BB47BD" w:rsidP="00BB47BD">
      <w:pPr>
        <w:rPr>
          <w:sz w:val="18"/>
          <w:szCs w:val="18"/>
          <w:lang w:bidi="ar-JO"/>
        </w:rPr>
      </w:pPr>
    </w:p>
    <w:p w:rsidR="00294CCB" w:rsidRDefault="00294CCB" w:rsidP="00BB47BD">
      <w:pPr>
        <w:rPr>
          <w:sz w:val="18"/>
          <w:szCs w:val="18"/>
          <w:lang w:bidi="ar-JO"/>
        </w:rPr>
      </w:pPr>
    </w:p>
    <w:p w:rsidR="00294CCB" w:rsidRDefault="00294CCB" w:rsidP="00BB47BD">
      <w:pPr>
        <w:rPr>
          <w:sz w:val="18"/>
          <w:szCs w:val="18"/>
          <w:lang w:bidi="ar-JO"/>
        </w:rPr>
      </w:pPr>
    </w:p>
    <w:p w:rsidR="00294CCB" w:rsidRDefault="00294CCB" w:rsidP="00294CCB">
      <w:r>
        <w:rPr>
          <w:b/>
          <w:bCs/>
        </w:rPr>
        <w:t xml:space="preserve">Supplementary Figure 1A </w:t>
      </w:r>
      <w:r w:rsidRPr="00DA128A">
        <w:t>AUC for the training group</w:t>
      </w:r>
    </w:p>
    <w:p w:rsidR="00294CCB" w:rsidRPr="00DA128A" w:rsidRDefault="00294CCB" w:rsidP="00294CCB">
      <w:r w:rsidRPr="00DA128A">
        <w:rPr>
          <w:rFonts w:cs="Calibri"/>
          <w:noProof/>
          <w:color w:val="000000"/>
          <w:sz w:val="24"/>
        </w:rPr>
        <w:drawing>
          <wp:inline distT="0" distB="0" distL="0" distR="0" wp14:anchorId="66D46F95" wp14:editId="7EC9A2FB">
            <wp:extent cx="2333625" cy="1600200"/>
            <wp:effectExtent l="0" t="0" r="9525" b="0"/>
            <wp:docPr id="8" name="Picture 8" descr="C:\Users\mhussaini\Desktop\Solid tumor NLR_18 KHCC 54\Stomach_Pnacreas_bileduct_gallbladder_Maysa\New analysis with nomogram\ROC_A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hussaini\Desktop\Solid tumor NLR_18 KHCC 54\Stomach_Pnacreas_bileduct_gallbladder_Maysa\New analysis with nomogram\ROC_A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  <w:r>
        <w:rPr>
          <w:b/>
          <w:bCs/>
        </w:rPr>
        <w:t xml:space="preserve">Supplementary Figure 1B </w:t>
      </w:r>
      <w:r w:rsidRPr="00DA128A">
        <w:t xml:space="preserve">AUC for the </w:t>
      </w:r>
      <w:r>
        <w:t>validation</w:t>
      </w:r>
      <w:r w:rsidRPr="00DA128A">
        <w:t xml:space="preserve"> group</w:t>
      </w:r>
    </w:p>
    <w:p w:rsidR="00294CCB" w:rsidRDefault="00294CCB" w:rsidP="00294CCB">
      <w:pPr>
        <w:rPr>
          <w:b/>
          <w:bCs/>
        </w:rPr>
      </w:pPr>
      <w:r w:rsidRPr="00DA128A">
        <w:rPr>
          <w:rFonts w:cs="Calibri"/>
          <w:noProof/>
          <w:color w:val="000000"/>
          <w:sz w:val="24"/>
        </w:rPr>
        <w:drawing>
          <wp:inline distT="0" distB="0" distL="0" distR="0" wp14:anchorId="187E810E" wp14:editId="4829B1F4">
            <wp:extent cx="2209800" cy="1514475"/>
            <wp:effectExtent l="0" t="0" r="0" b="9525"/>
            <wp:docPr id="7" name="Picture 7" descr="C:\Users\mhussaini\Desktop\Solid tumor NLR_18 KHCC 54\Stomach_Pnacreas_bileduct_gallbladder_Maysa\New analysis with nomogram\ROC_B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hussaini\Desktop\Solid tumor NLR_18 KHCC 54\Stomach_Pnacreas_bileduct_gallbladder_Maysa\New analysis with nomogram\ROC_B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r>
        <w:rPr>
          <w:b/>
          <w:bCs/>
        </w:rPr>
        <w:t xml:space="preserve">Supplementary Figure 2 </w:t>
      </w:r>
      <w:r w:rsidRPr="00DA128A">
        <w:t>Receiver-Operating-Characteristic (ROC) and area under the curve (AUC) for NLR</w:t>
      </w:r>
    </w:p>
    <w:p w:rsidR="00294CCB" w:rsidRPr="00DA128A" w:rsidRDefault="00294CCB" w:rsidP="00294CCB">
      <w:r w:rsidRPr="00DA128A">
        <w:rPr>
          <w:rFonts w:cs="Calibri"/>
          <w:noProof/>
          <w:color w:val="000000"/>
          <w:sz w:val="24"/>
        </w:rPr>
        <w:lastRenderedPageBreak/>
        <w:drawing>
          <wp:inline distT="0" distB="0" distL="0" distR="0" wp14:anchorId="029CBC81" wp14:editId="51F852B1">
            <wp:extent cx="2486025" cy="2486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r>
        <w:rPr>
          <w:b/>
          <w:bCs/>
        </w:rPr>
        <w:t xml:space="preserve">Supplementary Figure 3A </w:t>
      </w:r>
      <w:r w:rsidRPr="00DA128A">
        <w:t>Kaplan Meier curve of OS for patients with ANC&gt;5730</w:t>
      </w:r>
    </w:p>
    <w:p w:rsidR="00294CCB" w:rsidRPr="00DA128A" w:rsidRDefault="00294CCB" w:rsidP="00294CCB">
      <w:r w:rsidRPr="00DA128A">
        <w:rPr>
          <w:noProof/>
          <w:sz w:val="24"/>
        </w:rPr>
        <w:drawing>
          <wp:inline distT="0" distB="0" distL="0" distR="0" wp14:anchorId="3E892220" wp14:editId="2DEEFD98">
            <wp:extent cx="240030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r>
        <w:rPr>
          <w:b/>
          <w:bCs/>
        </w:rPr>
        <w:t>Supplementary Figure 3B</w:t>
      </w:r>
      <w:r w:rsidRPr="00DA128A">
        <w:t xml:space="preserve"> Kaplan Meier curve of OS for patients with ALC&gt; 1892</w:t>
      </w:r>
    </w:p>
    <w:p w:rsidR="00294CCB" w:rsidRPr="00DA128A" w:rsidRDefault="00294CCB" w:rsidP="00294CCB">
      <w:r w:rsidRPr="00DA128A">
        <w:rPr>
          <w:noProof/>
          <w:sz w:val="24"/>
        </w:rPr>
        <w:drawing>
          <wp:inline distT="0" distB="0" distL="0" distR="0" wp14:anchorId="44836D23" wp14:editId="00FEA50C">
            <wp:extent cx="2352675" cy="1762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  <w:r>
        <w:rPr>
          <w:b/>
          <w:bCs/>
        </w:rPr>
        <w:t xml:space="preserve">Supplementary Figure 3C </w:t>
      </w:r>
      <w:r w:rsidRPr="00DA128A">
        <w:t>Kaplan Meier curve of OS for patients with NLR&gt; 3.29</w:t>
      </w:r>
    </w:p>
    <w:p w:rsidR="00294CCB" w:rsidRPr="00DA128A" w:rsidRDefault="00294CCB" w:rsidP="00294CCB">
      <w:pPr>
        <w:rPr>
          <w:b/>
          <w:bCs/>
        </w:rPr>
      </w:pPr>
      <w:r w:rsidRPr="00DA128A">
        <w:rPr>
          <w:noProof/>
          <w:sz w:val="24"/>
        </w:rPr>
        <w:lastRenderedPageBreak/>
        <w:drawing>
          <wp:inline distT="0" distB="0" distL="0" distR="0" wp14:anchorId="440E5BDB" wp14:editId="75E6B7A0">
            <wp:extent cx="2352675" cy="1762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pPr>
        <w:rPr>
          <w:b/>
          <w:bCs/>
        </w:rPr>
      </w:pPr>
      <w:r>
        <w:rPr>
          <w:b/>
          <w:bCs/>
        </w:rPr>
        <w:t xml:space="preserve">Supplementary Figure 3D </w:t>
      </w:r>
      <w:r w:rsidRPr="00DA128A">
        <w:t>Kaplan Meier curve of OS for patients with MLR&gt; 0.33</w:t>
      </w:r>
    </w:p>
    <w:p w:rsidR="00294CCB" w:rsidRPr="00DA128A" w:rsidRDefault="00294CCB" w:rsidP="00294CCB">
      <w:pPr>
        <w:rPr>
          <w:b/>
          <w:bCs/>
        </w:rPr>
      </w:pPr>
      <w:r w:rsidRPr="00DA128A">
        <w:rPr>
          <w:noProof/>
          <w:sz w:val="24"/>
        </w:rPr>
        <w:drawing>
          <wp:inline distT="0" distB="0" distL="0" distR="0" wp14:anchorId="2F1F5CFA" wp14:editId="613EB35E">
            <wp:extent cx="2419350" cy="1819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Default="00294CCB" w:rsidP="00294CCB">
      <w:pPr>
        <w:rPr>
          <w:b/>
          <w:bCs/>
        </w:rPr>
      </w:pPr>
    </w:p>
    <w:p w:rsidR="00294CCB" w:rsidRDefault="00294CCB" w:rsidP="00294CCB">
      <w:r>
        <w:rPr>
          <w:b/>
          <w:bCs/>
        </w:rPr>
        <w:t>Supplementary Figure 3E</w:t>
      </w:r>
      <w:r>
        <w:t xml:space="preserve"> </w:t>
      </w:r>
      <w:r w:rsidRPr="00DA128A">
        <w:t>Kaplan Meier curve of OS for patients with PLR&gt; 0.154</w:t>
      </w:r>
    </w:p>
    <w:p w:rsidR="00294CCB" w:rsidRDefault="00294CCB" w:rsidP="00294CCB">
      <w:r w:rsidRPr="00DA128A">
        <w:rPr>
          <w:noProof/>
          <w:sz w:val="24"/>
        </w:rPr>
        <w:drawing>
          <wp:inline distT="0" distB="0" distL="0" distR="0" wp14:anchorId="3D74011A" wp14:editId="265B2820">
            <wp:extent cx="222885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Pr="00DA128A" w:rsidRDefault="00294CCB" w:rsidP="00294CCB"/>
    <w:p w:rsidR="00294CCB" w:rsidRDefault="00294CCB" w:rsidP="00294CCB">
      <w:pPr>
        <w:rPr>
          <w:lang w:bidi="ar-JO"/>
        </w:rPr>
      </w:pPr>
      <w:r>
        <w:rPr>
          <w:b/>
          <w:bCs/>
        </w:rPr>
        <w:t xml:space="preserve">Supplementary Figure 4A: </w:t>
      </w:r>
      <w:r w:rsidRPr="00B41CFE">
        <w:rPr>
          <w:rFonts w:cs="Arial"/>
          <w:szCs w:val="20"/>
        </w:rPr>
        <w:t>median OS for the training</w:t>
      </w:r>
      <w:r>
        <w:rPr>
          <w:rFonts w:cs="Arial"/>
          <w:szCs w:val="20"/>
        </w:rPr>
        <w:t xml:space="preserve"> </w:t>
      </w:r>
      <w:r w:rsidRPr="00B41CFE">
        <w:rPr>
          <w:rFonts w:cs="Arial"/>
          <w:szCs w:val="20"/>
        </w:rPr>
        <w:t>group</w:t>
      </w:r>
    </w:p>
    <w:p w:rsidR="00294CCB" w:rsidRDefault="00294CCB" w:rsidP="00294CCB">
      <w:pPr>
        <w:rPr>
          <w:lang w:bidi="ar-JO"/>
        </w:rPr>
      </w:pPr>
      <w:r w:rsidRPr="00294250">
        <w:rPr>
          <w:noProof/>
        </w:rPr>
        <w:lastRenderedPageBreak/>
        <w:drawing>
          <wp:inline distT="0" distB="0" distL="0" distR="0" wp14:anchorId="121F19C3" wp14:editId="4E2C01EA">
            <wp:extent cx="2868708" cy="2152650"/>
            <wp:effectExtent l="0" t="0" r="8255" b="0"/>
            <wp:docPr id="9" name="Picture 9" descr="C:\Users\A.Mansour\Desktop\supp\OS A fig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.Mansour\Desktop\supp\OS A figure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29" cy="21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Pr="00294250" w:rsidRDefault="00294CCB" w:rsidP="00294CCB">
      <w:pPr>
        <w:rPr>
          <w:lang w:bidi="ar-JO"/>
        </w:rPr>
      </w:pPr>
    </w:p>
    <w:p w:rsidR="00294CCB" w:rsidRDefault="00294CCB" w:rsidP="00294CCB">
      <w:pPr>
        <w:rPr>
          <w:lang w:bidi="ar-JO"/>
        </w:rPr>
      </w:pPr>
      <w:r>
        <w:rPr>
          <w:b/>
          <w:bCs/>
        </w:rPr>
        <w:t xml:space="preserve">Supplementary Figure 4B: </w:t>
      </w:r>
      <w:r w:rsidRPr="00B41CFE">
        <w:rPr>
          <w:rFonts w:cs="Arial"/>
          <w:szCs w:val="20"/>
        </w:rPr>
        <w:t xml:space="preserve">median OS for the </w:t>
      </w:r>
      <w:r>
        <w:rPr>
          <w:rFonts w:cs="Arial"/>
          <w:szCs w:val="20"/>
        </w:rPr>
        <w:t xml:space="preserve">validation </w:t>
      </w:r>
      <w:r w:rsidRPr="00B41CFE">
        <w:rPr>
          <w:rFonts w:cs="Arial"/>
          <w:szCs w:val="20"/>
        </w:rPr>
        <w:t>group</w:t>
      </w:r>
    </w:p>
    <w:p w:rsidR="00294CCB" w:rsidRDefault="00294CCB" w:rsidP="00294CCB">
      <w:pPr>
        <w:rPr>
          <w:lang w:bidi="ar-JO"/>
        </w:rPr>
      </w:pPr>
      <w:r w:rsidRPr="00294250">
        <w:rPr>
          <w:noProof/>
        </w:rPr>
        <w:drawing>
          <wp:inline distT="0" distB="0" distL="0" distR="0" wp14:anchorId="09525111" wp14:editId="35FCB199">
            <wp:extent cx="3147963" cy="2362200"/>
            <wp:effectExtent l="0" t="0" r="0" b="0"/>
            <wp:docPr id="10" name="Picture 10" descr="C:\Users\A.Mansour\Desktop\supp\OS B fig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.Mansour\Desktop\supp\OS B figure 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64" cy="236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CB" w:rsidRPr="00294250" w:rsidRDefault="00294CCB" w:rsidP="00294CCB">
      <w:pPr>
        <w:rPr>
          <w:lang w:bidi="ar-JO"/>
        </w:rPr>
      </w:pPr>
    </w:p>
    <w:p w:rsidR="00294CCB" w:rsidRPr="004730BD" w:rsidRDefault="00294CCB" w:rsidP="00BB47BD">
      <w:pPr>
        <w:rPr>
          <w:sz w:val="18"/>
          <w:szCs w:val="18"/>
          <w:lang w:bidi="ar-JO"/>
        </w:rPr>
      </w:pPr>
      <w:bookmarkStart w:id="0" w:name="_GoBack"/>
      <w:bookmarkEnd w:id="0"/>
    </w:p>
    <w:sectPr w:rsidR="00294CCB" w:rsidRPr="004730BD" w:rsidSect="00CA105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6F" w:rsidRDefault="0035466F" w:rsidP="0020743F">
      <w:pPr>
        <w:spacing w:line="240" w:lineRule="auto"/>
      </w:pPr>
      <w:r>
        <w:separator/>
      </w:r>
    </w:p>
  </w:endnote>
  <w:endnote w:type="continuationSeparator" w:id="0">
    <w:p w:rsidR="0035466F" w:rsidRDefault="0035466F" w:rsidP="00207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6F" w:rsidRDefault="0035466F" w:rsidP="0020743F">
      <w:pPr>
        <w:spacing w:line="240" w:lineRule="auto"/>
      </w:pPr>
      <w:r>
        <w:separator/>
      </w:r>
    </w:p>
  </w:footnote>
  <w:footnote w:type="continuationSeparator" w:id="0">
    <w:p w:rsidR="0035466F" w:rsidRDefault="0035466F" w:rsidP="00207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D9"/>
    <w:rsid w:val="00015C95"/>
    <w:rsid w:val="00180AEC"/>
    <w:rsid w:val="00185D93"/>
    <w:rsid w:val="0020743F"/>
    <w:rsid w:val="00294CCB"/>
    <w:rsid w:val="0035466F"/>
    <w:rsid w:val="004730BD"/>
    <w:rsid w:val="0058450E"/>
    <w:rsid w:val="006E00E7"/>
    <w:rsid w:val="008E7DD9"/>
    <w:rsid w:val="009677A8"/>
    <w:rsid w:val="00BB47BD"/>
    <w:rsid w:val="00CA105E"/>
    <w:rsid w:val="00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4AFE6-CEDD-493B-A681-30C76DB3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E7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E00E7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0743F"/>
    <w:pPr>
      <w:widowControl w:val="0"/>
      <w:autoSpaceDE w:val="0"/>
      <w:autoSpaceDN w:val="0"/>
      <w:spacing w:line="240" w:lineRule="auto"/>
    </w:pPr>
    <w:rPr>
      <w:rFonts w:eastAsia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0743F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mansour</dc:creator>
  <cp:keywords/>
  <dc:description/>
  <cp:lastModifiedBy>razan mansour</cp:lastModifiedBy>
  <cp:revision>5</cp:revision>
  <dcterms:created xsi:type="dcterms:W3CDTF">2020-07-21T11:07:00Z</dcterms:created>
  <dcterms:modified xsi:type="dcterms:W3CDTF">2020-08-07T12:18:00Z</dcterms:modified>
</cp:coreProperties>
</file>