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60BBD" w14:textId="2F3FE93C" w:rsidR="00A80EC4" w:rsidRPr="00A80EC4" w:rsidRDefault="00A80EC4" w:rsidP="00A80EC4">
      <w:pPr>
        <w:rPr>
          <w:b/>
        </w:rPr>
      </w:pPr>
      <w:r w:rsidRPr="00A80EC4">
        <w:rPr>
          <w:rFonts w:ascii="Times New Roman" w:hAnsi="Times New Roman" w:cs="Times New Roman"/>
          <w:b/>
          <w:color w:val="000000"/>
          <w:kern w:val="0"/>
          <w:sz w:val="22"/>
        </w:rPr>
        <w:t>Supplementary Fig</w:t>
      </w:r>
      <w:r>
        <w:rPr>
          <w:rFonts w:ascii="Times New Roman" w:hAnsi="Times New Roman" w:cs="Times New Roman"/>
          <w:b/>
          <w:color w:val="000000"/>
          <w:kern w:val="0"/>
          <w:sz w:val="22"/>
        </w:rPr>
        <w:t>ure</w:t>
      </w:r>
      <w:r w:rsidRPr="00A80EC4">
        <w:rPr>
          <w:rFonts w:ascii="Times New Roman" w:hAnsi="Times New Roman" w:cs="Times New Roman"/>
          <w:b/>
          <w:color w:val="000000"/>
          <w:kern w:val="0"/>
          <w:sz w:val="22"/>
        </w:rPr>
        <w:t xml:space="preserve"> </w:t>
      </w:r>
      <w:r w:rsidR="00620915">
        <w:rPr>
          <w:rFonts w:ascii="Times New Roman" w:hAnsi="Times New Roman" w:cs="Times New Roman"/>
          <w:b/>
          <w:color w:val="000000"/>
          <w:kern w:val="0"/>
          <w:sz w:val="22"/>
        </w:rPr>
        <w:t>S</w:t>
      </w:r>
      <w:r w:rsidRPr="00A80EC4">
        <w:rPr>
          <w:rFonts w:ascii="Times New Roman" w:hAnsi="Times New Roman" w:cs="Times New Roman"/>
          <w:b/>
          <w:color w:val="000000"/>
          <w:kern w:val="0"/>
          <w:sz w:val="22"/>
        </w:rPr>
        <w:t>1</w:t>
      </w:r>
    </w:p>
    <w:p w14:paraId="63A15492" w14:textId="5BEC6DFF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  <w:r>
        <w:rPr>
          <w:noProof/>
        </w:rPr>
        <w:drawing>
          <wp:inline distT="0" distB="0" distL="0" distR="0" wp14:anchorId="1F067107" wp14:editId="7FB5606D">
            <wp:extent cx="5274310" cy="24161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95EE8" w14:textId="41E3700C" w:rsidR="002A1634" w:rsidRDefault="002A1634" w:rsidP="002A163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Supplementary 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>F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>ig</w:t>
      </w:r>
      <w:r w:rsidR="00A80EC4">
        <w:rPr>
          <w:rFonts w:ascii="Times New Roman" w:hAnsi="Times New Roman" w:cs="Times New Roman"/>
          <w:bCs/>
          <w:color w:val="000000"/>
          <w:kern w:val="0"/>
          <w:sz w:val="22"/>
        </w:rPr>
        <w:t>ure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</w:t>
      </w:r>
      <w:r w:rsidR="00620915">
        <w:rPr>
          <w:rFonts w:ascii="Times New Roman" w:hAnsi="Times New Roman" w:cs="Times New Roman"/>
          <w:bCs/>
          <w:color w:val="000000"/>
          <w:kern w:val="0"/>
          <w:sz w:val="22"/>
        </w:rPr>
        <w:t>S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>1. β-catenin signaling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was not the target pathway of </w:t>
      </w:r>
      <w:r>
        <w:rPr>
          <w:rFonts w:ascii="Times New Roman" w:hAnsi="Times New Roman" w:cs="Times New Roman"/>
          <w:color w:val="000000"/>
          <w:kern w:val="0"/>
          <w:sz w:val="22"/>
        </w:rPr>
        <w:t>miR‐708‐5p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. (A) The binding site of </w:t>
      </w:r>
      <w:r>
        <w:rPr>
          <w:rFonts w:ascii="Times New Roman" w:hAnsi="Times New Roman" w:cs="Times New Roman"/>
          <w:color w:val="000000"/>
          <w:kern w:val="0"/>
          <w:sz w:val="22"/>
        </w:rPr>
        <w:t>miR‐708‐5p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in the 3’UTR of 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β-catenin signaling 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was predicated by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2"/>
        </w:rPr>
        <w:t>TargetScan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. (B and C) Luciferase activity of the CD44 were detected by dual-luciferase reporter assay. (D, E and F) Expression of 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>β-catenin signaling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in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2"/>
        </w:rPr>
        <w:t>Lovo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and SW480 cells were examined by Western blot assays. </w:t>
      </w:r>
      <w:r w:rsidR="00600DB2" w:rsidRPr="00600DB2">
        <w:rPr>
          <w:rFonts w:ascii="Times New Roman" w:hAnsi="Times New Roman" w:cs="Times New Roman"/>
          <w:bCs/>
          <w:color w:val="000000"/>
          <w:kern w:val="0"/>
          <w:sz w:val="22"/>
        </w:rPr>
        <w:t>Data are presented as mean ± SD of 3 independent experiments</w:t>
      </w:r>
      <w:r w:rsidR="00600DB2">
        <w:rPr>
          <w:rFonts w:ascii="Times New Roman" w:hAnsi="Times New Roman" w:cs="Times New Roman" w:hint="eastAsia"/>
          <w:bCs/>
          <w:color w:val="000000"/>
          <w:kern w:val="0"/>
          <w:sz w:val="22"/>
        </w:rPr>
        <w:t>.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ns, p </w:t>
      </w:r>
      <w:r>
        <w:rPr>
          <w:rFonts w:ascii="Times New Roman" w:hAnsi="Times New Roman" w:cs="Times New Roman" w:hint="eastAsia"/>
          <w:bCs/>
          <w:color w:val="000000"/>
          <w:kern w:val="0"/>
          <w:sz w:val="22"/>
        </w:rPr>
        <w:t>&gt;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0.05 versus the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2"/>
        </w:rPr>
        <w:t>si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-NC group. ns, p </w:t>
      </w:r>
      <w:r>
        <w:rPr>
          <w:rFonts w:ascii="Times New Roman" w:hAnsi="Times New Roman" w:cs="Times New Roman" w:hint="eastAsia"/>
          <w:bCs/>
          <w:color w:val="000000"/>
          <w:kern w:val="0"/>
          <w:sz w:val="22"/>
        </w:rPr>
        <w:t>&gt;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0.05 versus the si-</w:t>
      </w:r>
      <w:r>
        <w:rPr>
          <w:rFonts w:ascii="Times New Roman" w:hAnsi="Times New Roman" w:cs="Times New Roman"/>
          <w:color w:val="000000"/>
          <w:kern w:val="0"/>
          <w:sz w:val="22"/>
        </w:rPr>
        <w:t>LOXL1-AS1 group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. </w:t>
      </w:r>
    </w:p>
    <w:p w14:paraId="515DA061" w14:textId="77777777" w:rsidR="002A1634" w:rsidRDefault="002A1634" w:rsidP="002A163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6C0CC6BC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0FADC20C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6BE3F90F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7C22BBC3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5EB619BD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0BC92921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6C2D1287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052B1B28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3EB493C5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7AE6CC99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6577477C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557525D1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3A304DE0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27E1C2F3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0673579C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720FE090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7BDBE799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3E740A86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027640AD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2F168C0B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28C82D80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17C71E7D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2F3F1091" w14:textId="77777777" w:rsidR="00A80EC4" w:rsidRDefault="00A80EC4" w:rsidP="00A80EC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75649F17" w14:textId="4D4E609D" w:rsidR="002A1634" w:rsidRDefault="002A1634" w:rsidP="00A80EC4"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lastRenderedPageBreak/>
        <w:t xml:space="preserve">Supplementary 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>F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>ig</w:t>
      </w:r>
      <w:r w:rsidR="00A80EC4">
        <w:rPr>
          <w:rFonts w:ascii="Times New Roman" w:hAnsi="Times New Roman" w:cs="Times New Roman"/>
          <w:bCs/>
          <w:color w:val="000000"/>
          <w:kern w:val="0"/>
          <w:sz w:val="22"/>
        </w:rPr>
        <w:t>ure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</w:t>
      </w:r>
      <w:r w:rsidR="00620915">
        <w:rPr>
          <w:rFonts w:ascii="Times New Roman" w:hAnsi="Times New Roman" w:cs="Times New Roman"/>
          <w:bCs/>
          <w:color w:val="000000"/>
          <w:kern w:val="0"/>
          <w:sz w:val="22"/>
        </w:rPr>
        <w:t>S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>2</w:t>
      </w:r>
    </w:p>
    <w:p w14:paraId="6798F315" w14:textId="29343D35" w:rsidR="00A80EC4" w:rsidRDefault="00A80EC4" w:rsidP="002A163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  <w:r>
        <w:rPr>
          <w:noProof/>
        </w:rPr>
        <w:drawing>
          <wp:inline distT="0" distB="0" distL="0" distR="0" wp14:anchorId="73349911" wp14:editId="7AFAE3AE">
            <wp:extent cx="5274310" cy="48190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A4019" w14:textId="52DD4239" w:rsidR="002A1634" w:rsidRDefault="002A1634" w:rsidP="002A163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Supplementary 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>F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>ig</w:t>
      </w:r>
      <w:r w:rsidR="00A80EC4">
        <w:rPr>
          <w:rFonts w:ascii="Times New Roman" w:hAnsi="Times New Roman" w:cs="Times New Roman"/>
          <w:bCs/>
          <w:color w:val="000000"/>
          <w:kern w:val="0"/>
          <w:sz w:val="22"/>
        </w:rPr>
        <w:t>ure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</w:t>
      </w:r>
      <w:r w:rsidR="00620915">
        <w:rPr>
          <w:rFonts w:ascii="Times New Roman" w:hAnsi="Times New Roman" w:cs="Times New Roman"/>
          <w:bCs/>
          <w:color w:val="000000"/>
          <w:kern w:val="0"/>
          <w:sz w:val="22"/>
        </w:rPr>
        <w:t>S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>2</w:t>
      </w:r>
      <w:r w:rsidRPr="002A1634">
        <w:rPr>
          <w:rFonts w:ascii="Times New Roman" w:hAnsi="Times New Roman" w:cs="Times New Roman"/>
          <w:bCs/>
          <w:color w:val="000000"/>
          <w:kern w:val="0"/>
          <w:sz w:val="22"/>
        </w:rPr>
        <w:t>. β-catenin signaling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was not the target pathway of </w:t>
      </w:r>
      <w:r>
        <w:rPr>
          <w:rFonts w:ascii="Times New Roman" w:hAnsi="Times New Roman" w:cs="Times New Roman"/>
          <w:color w:val="000000"/>
          <w:kern w:val="0"/>
          <w:sz w:val="22"/>
        </w:rPr>
        <w:t>miR‐708‐5p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>.</w:t>
      </w:r>
      <w:r>
        <w:rPr>
          <w:rFonts w:ascii="Times New Roman" w:hAnsi="Times New Roman" w:cs="Times New Roman" w:hint="eastAsia"/>
          <w:bCs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(A and B) Luciferase activity of CD44 and EGFR in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2"/>
        </w:rPr>
        <w:t>Lovo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and SW480 cells were examined by immunofluorescence Assay. Representative images of the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2"/>
        </w:rPr>
        <w:t>Lovo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and SW480 cells by photomicrographs (400×). </w:t>
      </w:r>
      <w:r w:rsidR="00600DB2" w:rsidRPr="00600DB2">
        <w:rPr>
          <w:rFonts w:ascii="Times New Roman" w:hAnsi="Times New Roman" w:cs="Times New Roman"/>
          <w:bCs/>
          <w:color w:val="000000"/>
          <w:kern w:val="0"/>
          <w:sz w:val="22"/>
        </w:rPr>
        <w:t>Data are presented as mean ± SD of 3 independent experiments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. ns, p </w:t>
      </w:r>
      <w:r>
        <w:rPr>
          <w:rFonts w:ascii="Times New Roman" w:hAnsi="Times New Roman" w:cs="Times New Roman" w:hint="eastAsia"/>
          <w:bCs/>
          <w:color w:val="000000"/>
          <w:kern w:val="0"/>
          <w:sz w:val="22"/>
        </w:rPr>
        <w:t>&gt;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0.05 versus the </w:t>
      </w:r>
      <w:proofErr w:type="spellStart"/>
      <w:r>
        <w:rPr>
          <w:rFonts w:ascii="Times New Roman" w:hAnsi="Times New Roman" w:cs="Times New Roman"/>
          <w:bCs/>
          <w:color w:val="000000"/>
          <w:kern w:val="0"/>
          <w:sz w:val="22"/>
        </w:rPr>
        <w:t>si</w:t>
      </w:r>
      <w:proofErr w:type="spellEnd"/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-NC group. ns, p </w:t>
      </w:r>
      <w:r>
        <w:rPr>
          <w:rFonts w:ascii="Times New Roman" w:hAnsi="Times New Roman" w:cs="Times New Roman" w:hint="eastAsia"/>
          <w:bCs/>
          <w:color w:val="000000"/>
          <w:kern w:val="0"/>
          <w:sz w:val="22"/>
        </w:rPr>
        <w:t>&gt;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 0.05 versus the si-</w:t>
      </w:r>
      <w:r>
        <w:rPr>
          <w:rFonts w:ascii="Times New Roman" w:hAnsi="Times New Roman" w:cs="Times New Roman"/>
          <w:color w:val="000000"/>
          <w:kern w:val="0"/>
          <w:sz w:val="22"/>
        </w:rPr>
        <w:t>LOXL1-AS1 group</w:t>
      </w:r>
      <w:r>
        <w:rPr>
          <w:rFonts w:ascii="Times New Roman" w:hAnsi="Times New Roman" w:cs="Times New Roman"/>
          <w:bCs/>
          <w:color w:val="000000"/>
          <w:kern w:val="0"/>
          <w:sz w:val="22"/>
        </w:rPr>
        <w:t xml:space="preserve">. </w:t>
      </w:r>
    </w:p>
    <w:p w14:paraId="527EBF4F" w14:textId="12B9EDAE" w:rsidR="002A1634" w:rsidRPr="002A1634" w:rsidRDefault="002A1634" w:rsidP="002A1634">
      <w:pPr>
        <w:rPr>
          <w:rFonts w:ascii="Times New Roman" w:hAnsi="Times New Roman" w:cs="Times New Roman"/>
          <w:bCs/>
          <w:color w:val="000000"/>
          <w:kern w:val="0"/>
          <w:sz w:val="22"/>
        </w:rPr>
      </w:pPr>
    </w:p>
    <w:p w14:paraId="4BA76F6B" w14:textId="01DFE396" w:rsidR="00A52516" w:rsidRDefault="00A52516"/>
    <w:sectPr w:rsidR="00A5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E47B7" w14:textId="77777777" w:rsidR="004563F9" w:rsidRDefault="004563F9" w:rsidP="002A1634">
      <w:r>
        <w:separator/>
      </w:r>
    </w:p>
  </w:endnote>
  <w:endnote w:type="continuationSeparator" w:id="0">
    <w:p w14:paraId="785B39EB" w14:textId="77777777" w:rsidR="004563F9" w:rsidRDefault="004563F9" w:rsidP="002A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840B3" w14:textId="77777777" w:rsidR="004563F9" w:rsidRDefault="004563F9" w:rsidP="002A1634">
      <w:r>
        <w:separator/>
      </w:r>
    </w:p>
  </w:footnote>
  <w:footnote w:type="continuationSeparator" w:id="0">
    <w:p w14:paraId="4E4490DB" w14:textId="77777777" w:rsidR="004563F9" w:rsidRDefault="004563F9" w:rsidP="002A1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D4"/>
    <w:rsid w:val="002A1634"/>
    <w:rsid w:val="004563F9"/>
    <w:rsid w:val="004D2BD8"/>
    <w:rsid w:val="00540EBA"/>
    <w:rsid w:val="005C5F5B"/>
    <w:rsid w:val="00600DB2"/>
    <w:rsid w:val="00620915"/>
    <w:rsid w:val="006912D4"/>
    <w:rsid w:val="00A52516"/>
    <w:rsid w:val="00A80EC4"/>
    <w:rsid w:val="00AE531C"/>
    <w:rsid w:val="00B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3C23A"/>
  <w15:chartTrackingRefBased/>
  <w15:docId w15:val="{DAE3C4B0-F3E8-47DE-AD8F-6E79A176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3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A163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1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A1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兰伟</dc:creator>
  <cp:keywords/>
  <dc:description/>
  <cp:lastModifiedBy>Mel Phimester</cp:lastModifiedBy>
  <cp:revision>2</cp:revision>
  <dcterms:created xsi:type="dcterms:W3CDTF">2020-07-15T07:01:00Z</dcterms:created>
  <dcterms:modified xsi:type="dcterms:W3CDTF">2020-07-15T07:01:00Z</dcterms:modified>
</cp:coreProperties>
</file>