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rPr>
          <w:rFonts w:ascii="Arial" w:hAnsi="Arial" w:cs="Arial"/>
          <w:b/>
          <w:bCs/>
          <w:sz w:val="20"/>
          <w:szCs w:val="20"/>
        </w:rPr>
      </w:pPr>
      <w:r>
        <w:rPr>
          <w:rFonts w:ascii="Arial" w:hAnsi="Arial" w:cs="Arial"/>
          <w:b/>
          <w:bCs/>
          <w:sz w:val="20"/>
          <w:szCs w:val="20"/>
        </w:rPr>
        <w:t>Supplementary Materials and Methods</w:t>
      </w:r>
    </w:p>
    <w:p>
      <w:pPr>
        <w:pStyle w:val="2"/>
      </w:pPr>
      <w:r>
        <w:t>Quantitative Phosphoproteomic Analysis</w:t>
      </w:r>
    </w:p>
    <w:p>
      <w:pPr>
        <w:spacing w:line="480" w:lineRule="auto"/>
        <w:rPr>
          <w:rFonts w:ascii="Arial" w:hAnsi="Arial" w:cs="Arial"/>
          <w:b/>
          <w:bCs/>
        </w:rPr>
      </w:pPr>
      <w:r>
        <w:rPr>
          <w:rFonts w:ascii="Arial" w:hAnsi="Arial" w:cs="Arial"/>
          <w:b/>
          <w:bCs/>
        </w:rPr>
        <w:t>Protein Extraction</w:t>
      </w:r>
    </w:p>
    <w:p>
      <w:pPr>
        <w:spacing w:line="480" w:lineRule="auto"/>
        <w:rPr>
          <w:rFonts w:ascii="Arial" w:hAnsi="Arial" w:cs="Arial"/>
        </w:rPr>
      </w:pPr>
      <w:r>
        <w:rPr>
          <w:rFonts w:ascii="Arial" w:hAnsi="Arial" w:cs="Arial"/>
        </w:rPr>
        <w:t>Sample was sonicated three times on ice using a high intensity ultrasonic processor (Scientz) in lysis buffer (8 M urea, 1% Protease Inhibitor Cocktail). The remaining debris was removed by centrifugation at 12,000 g at 4 °C for 10 min. Finally, the supernatant was collected and the protein concentration was determined with BCA kit according to the manufacturer’s instructions.</w:t>
      </w:r>
    </w:p>
    <w:p>
      <w:pPr>
        <w:spacing w:line="480" w:lineRule="auto"/>
        <w:rPr>
          <w:rFonts w:ascii="Arial" w:hAnsi="Arial" w:cs="Arial"/>
          <w:b/>
          <w:bCs/>
        </w:rPr>
      </w:pPr>
      <w:r>
        <w:rPr>
          <w:rFonts w:ascii="Arial" w:hAnsi="Arial" w:cs="Arial"/>
          <w:b/>
          <w:bCs/>
        </w:rPr>
        <w:t>Trypsin Digestion</w:t>
      </w:r>
    </w:p>
    <w:p>
      <w:pPr>
        <w:spacing w:line="480" w:lineRule="auto"/>
        <w:rPr>
          <w:rFonts w:ascii="Arial" w:hAnsi="Arial" w:cs="Arial"/>
        </w:rPr>
      </w:pPr>
      <w:r>
        <w:rPr>
          <w:rFonts w:ascii="Arial" w:hAnsi="Arial" w:cs="Arial"/>
        </w:rPr>
        <w:t>For digestion, the protein solution was reduced with 5 mM dithiothreitol for 30 min at 56 °C and alkylated with 11 mM iodoacetamide for 15 min at room temperature in darkness. The protein sample was then diluted by adding 100 mM TEAB to urea concentration less than 2M. Finally, trypsin was added at 1:50 trypsin-to-protein mass ratio for the first digestion overnight and 1:100 trypsin-to-protein mass ratio for a second 4 h-digestion.</w:t>
      </w:r>
    </w:p>
    <w:p>
      <w:pPr>
        <w:spacing w:line="480" w:lineRule="auto"/>
        <w:rPr>
          <w:rFonts w:ascii="Arial" w:hAnsi="Arial" w:cs="Arial"/>
          <w:b/>
          <w:bCs/>
        </w:rPr>
      </w:pPr>
      <w:r>
        <w:rPr>
          <w:rFonts w:ascii="Arial" w:hAnsi="Arial" w:cs="Arial"/>
          <w:b/>
          <w:bCs/>
        </w:rPr>
        <w:t>TMT Labeling</w:t>
      </w:r>
    </w:p>
    <w:p>
      <w:pPr>
        <w:spacing w:line="480" w:lineRule="auto"/>
        <w:rPr>
          <w:rFonts w:ascii="Arial" w:hAnsi="Arial" w:cs="Arial"/>
        </w:rPr>
      </w:pPr>
      <w:r>
        <w:rPr>
          <w:rFonts w:ascii="Arial" w:hAnsi="Arial" w:cs="Arial"/>
        </w:rPr>
        <w:t>After trypsin digestion, peptide was desalted by Strata X C18 SPE column (Phenomenex) and vacuum-dried. Peptide was reconstituted in 0.5 M TEAB and processed according to the manufacturer’s protocol for TMT kit. Briefly, one unit of TMT reagent were thawed and reconstituted in acetonitrile. The peptide mixtures were then incubated for 2 h at room temperature and pooled, desalted and dried by vacuum centrifugation.</w:t>
      </w:r>
    </w:p>
    <w:p>
      <w:pPr>
        <w:spacing w:line="480" w:lineRule="auto"/>
        <w:rPr>
          <w:rFonts w:ascii="Arial" w:hAnsi="Arial" w:cs="Arial"/>
          <w:b/>
          <w:bCs/>
        </w:rPr>
      </w:pPr>
      <w:r>
        <w:rPr>
          <w:rFonts w:ascii="Arial" w:hAnsi="Arial" w:cs="Arial"/>
          <w:b/>
          <w:bCs/>
        </w:rPr>
        <w:t>HPLC Fractionation</w:t>
      </w:r>
    </w:p>
    <w:p>
      <w:pPr>
        <w:spacing w:line="480" w:lineRule="auto"/>
        <w:rPr>
          <w:rFonts w:ascii="Arial" w:hAnsi="Arial" w:cs="Arial"/>
        </w:rPr>
      </w:pPr>
      <w:r>
        <w:rPr>
          <w:rFonts w:ascii="Arial" w:hAnsi="Arial" w:cs="Arial"/>
        </w:rPr>
        <w:t xml:space="preserve">The tryptic peptides were fractionated into fractions by high pH reverse-phase HPLC using </w:t>
      </w:r>
      <w:r>
        <w:rPr>
          <w:rFonts w:ascii="Arial" w:hAnsi="Arial" w:cs="Arial"/>
        </w:rPr>
        <w:lastRenderedPageBreak/>
        <w:t>Thermo Betasil C18 column (5 μm particles, 10 mm ID, 250 mm length). Briefly, peptides were first separated with a gradient of 8% to 32% acetonitrile (pH 9.0) over 60 min into 60 fractions. Then, the peptides were combined into 6 fractions and dried by vacuum centrifuging.</w:t>
      </w:r>
    </w:p>
    <w:p>
      <w:pPr>
        <w:spacing w:line="480" w:lineRule="auto"/>
        <w:rPr>
          <w:rFonts w:ascii="Arial" w:hAnsi="Arial" w:cs="Arial"/>
          <w:b/>
          <w:bCs/>
        </w:rPr>
      </w:pPr>
      <w:r>
        <w:rPr>
          <w:rFonts w:ascii="Arial" w:hAnsi="Arial" w:cs="Arial"/>
          <w:b/>
          <w:bCs/>
        </w:rPr>
        <w:t>Affinity Enrichment</w:t>
      </w:r>
    </w:p>
    <w:p>
      <w:pPr>
        <w:spacing w:line="480" w:lineRule="auto"/>
        <w:rPr>
          <w:rFonts w:ascii="Arial" w:hAnsi="Arial" w:cs="Arial"/>
        </w:rPr>
      </w:pPr>
      <w:r>
        <w:rPr>
          <w:rFonts w:ascii="Arial" w:hAnsi="Arial" w:cs="Arial"/>
        </w:rPr>
        <w:t>Peptide mixtures were first incubated with IMAC microspheres suspension with vibration in loading buffer (50% acetonitrile/6% trifluoroacetic acid). The IMAC microspheres with enriched phosphopeptides were collected by centrifugation, and the supernatant was removed. To remove nonspecifically adsorbed peptides, the IMAC microspheres were washed with 50% acetonitrile/6% trifluoroacetic acid and 30% acetonitrile/0.1% trifluoroacetic acid, sequentially. To elute the enriched phosphopeptides from the IMAC microspheres, elution buffer containing 10% NH4OH was added and the enriched phosphopeptides were eluted with vibration. The supernatant containing phosphopeptides was collected and lyophilized for LC-MS/MS analysis.</w:t>
      </w:r>
    </w:p>
    <w:p>
      <w:pPr>
        <w:spacing w:line="480" w:lineRule="auto"/>
        <w:rPr>
          <w:rFonts w:ascii="Arial" w:hAnsi="Arial" w:cs="Arial"/>
          <w:b/>
          <w:bCs/>
        </w:rPr>
      </w:pPr>
      <w:r>
        <w:rPr>
          <w:rFonts w:ascii="Arial" w:hAnsi="Arial" w:cs="Arial"/>
          <w:b/>
          <w:bCs/>
        </w:rPr>
        <w:t>LC-MS/MS Analysis</w:t>
      </w:r>
    </w:p>
    <w:p>
      <w:pPr>
        <w:spacing w:line="480" w:lineRule="auto"/>
        <w:rPr>
          <w:rFonts w:ascii="Arial" w:hAnsi="Arial" w:cs="Arial"/>
        </w:rPr>
      </w:pPr>
      <w:r>
        <w:rPr>
          <w:rFonts w:ascii="Arial" w:hAnsi="Arial" w:cs="Arial"/>
        </w:rPr>
        <w:t xml:space="preserve">The tryptic peptides were dissolved in 0.1% formic acid (solvent A), directly loaded onto a home-made reversed-phase analytical column (15-cm length, 75 μm i.d.). The gradient was comprised of an increase from 6% to 23% solvent B (0.1% formic acid in 98% acetonitrile) over 26 min, 23% to 35% in 8 min and climbing to 80% in 3 min then holding at 80% for the last 3 min, all at a constant flow rate of 400 nL/min on an EASY-nLC 1000 UPLC system. </w:t>
      </w:r>
    </w:p>
    <w:p>
      <w:pPr>
        <w:spacing w:line="480" w:lineRule="auto"/>
        <w:rPr>
          <w:rFonts w:ascii="Arial" w:hAnsi="Arial" w:cs="Arial"/>
        </w:rPr>
      </w:pPr>
      <w:r>
        <w:rPr>
          <w:rFonts w:ascii="Arial" w:hAnsi="Arial" w:cs="Arial"/>
        </w:rPr>
        <w:t xml:space="preserve">The peptides were subjected to NSI source followed by tandem mass spectrometry </w:t>
      </w:r>
      <w:r>
        <w:rPr>
          <w:rFonts w:ascii="Arial" w:hAnsi="Arial" w:cs="Arial"/>
        </w:rPr>
        <w:lastRenderedPageBreak/>
        <w:t>(MS/MS) in Q ExactiveTM Plus (Thermo) coupled online to the UPLC. The electrospray voltage applied was 2.0 kV. The m/z scan range was 350 to 1800 for full scan, and intact peptides were detected in the Orbitrap at a resolution of 70,000. Peptides were then selected for MS/MS using NCE setting as 28 and the fragments were detected in the Orbitrap at a resolution of 17,500. A data-dependent procedure that alternated between one MS scan followed by 20 MS/MS scans with 15.0s dynamic exclusion. Automatic gain control (AGC) was set at 5E4. Fixed first mass was set as 100 m/z.</w:t>
      </w:r>
    </w:p>
    <w:p>
      <w:pPr>
        <w:spacing w:line="480" w:lineRule="auto"/>
        <w:rPr>
          <w:rFonts w:ascii="Arial" w:hAnsi="Arial" w:cs="Arial"/>
          <w:b/>
          <w:bCs/>
        </w:rPr>
      </w:pPr>
      <w:bookmarkStart w:id="0" w:name="_Hlk40945584"/>
      <w:r>
        <w:rPr>
          <w:rFonts w:ascii="Arial" w:hAnsi="Arial" w:cs="Arial"/>
          <w:b/>
          <w:bCs/>
        </w:rPr>
        <w:t>Database Search</w:t>
      </w:r>
    </w:p>
    <w:p>
      <w:pPr>
        <w:spacing w:line="480" w:lineRule="auto"/>
        <w:rPr>
          <w:rFonts w:ascii="Arial" w:hAnsi="Arial" w:cs="Arial"/>
        </w:rPr>
      </w:pPr>
      <w:r>
        <w:rPr>
          <w:rFonts w:ascii="Arial" w:hAnsi="Arial" w:cs="Arial"/>
        </w:rPr>
        <w:t>The resulting MS/MS data were processed using Maxquant search engine (v.1.5.2.8). Tandem mass spectra were searched against human uniprot database concatenated with reverse decoy database. Trypsin/P was specified as cleavage enzyme allowing up to 4 missing cleavages. The mass tolerance for precursor ions was set as 20 ppm in First search and 5 ppm in Main search, and the mass tolerance for fragment ions was set as 0.02 Da. Carbamidomethyl on Cys was specified as fixed modification and Acetylation modification and oxidation on Met were specified as variable modifications. FDR was adjusted to &lt; 1% and minimum score for modified peptides was set &gt; 40.</w:t>
      </w:r>
    </w:p>
    <w:p>
      <w:pPr>
        <w:spacing w:line="480" w:lineRule="auto"/>
        <w:rPr>
          <w:rFonts w:ascii="Arial" w:hAnsi="Arial" w:cs="Arial"/>
          <w:b/>
          <w:bCs/>
        </w:rPr>
      </w:pPr>
      <w:r>
        <w:rPr>
          <w:rFonts w:ascii="Arial" w:hAnsi="Arial" w:cs="Arial"/>
          <w:b/>
          <w:bCs/>
        </w:rPr>
        <w:t>Functional Enrichment</w:t>
      </w:r>
    </w:p>
    <w:bookmarkEnd w:id="0"/>
    <w:p>
      <w:pPr>
        <w:spacing w:line="480" w:lineRule="auto"/>
        <w:rPr>
          <w:rFonts w:ascii="Arial" w:hAnsi="Arial" w:cs="Arial"/>
          <w:b/>
          <w:bCs/>
        </w:rPr>
      </w:pPr>
      <w:r>
        <w:rPr>
          <w:rFonts w:ascii="Arial" w:hAnsi="Arial" w:cs="Arial"/>
          <w:b/>
          <w:bCs/>
        </w:rPr>
        <w:t xml:space="preserve">Enrichment of Gene Ontology (GO) analysis </w:t>
      </w:r>
    </w:p>
    <w:p>
      <w:pPr>
        <w:spacing w:line="480" w:lineRule="auto"/>
        <w:rPr>
          <w:rFonts w:ascii="Arial" w:hAnsi="Arial" w:cs="Arial"/>
        </w:rPr>
      </w:pPr>
      <w:r>
        <w:rPr>
          <w:rFonts w:ascii="Arial" w:hAnsi="Arial" w:cs="Arial"/>
        </w:rPr>
        <w:t xml:space="preserve">Proteins were classified by GO annotation in biological process. A two-tailed Fisher’s exact test was employed to test the enrichment of the differentially modified protein against all identified proteins. The GO with a corrected P&lt;0.05 is considered significant. </w:t>
      </w:r>
    </w:p>
    <w:p>
      <w:pPr>
        <w:spacing w:line="480" w:lineRule="auto"/>
        <w:rPr>
          <w:rFonts w:ascii="Arial" w:hAnsi="Arial" w:cs="Arial"/>
          <w:b/>
          <w:bCs/>
        </w:rPr>
      </w:pPr>
      <w:r>
        <w:rPr>
          <w:rFonts w:ascii="Arial" w:hAnsi="Arial" w:cs="Arial"/>
          <w:b/>
          <w:bCs/>
        </w:rPr>
        <w:t>Enrichment of pathway analysis</w:t>
      </w:r>
    </w:p>
    <w:p>
      <w:pPr>
        <w:spacing w:line="480" w:lineRule="auto"/>
        <w:rPr>
          <w:rFonts w:ascii="Arial" w:hAnsi="Arial" w:cs="Arial"/>
        </w:rPr>
      </w:pPr>
      <w:r>
        <w:rPr>
          <w:rFonts w:ascii="Arial" w:hAnsi="Arial" w:cs="Arial"/>
        </w:rPr>
        <w:lastRenderedPageBreak/>
        <w:t>Encyclopedia of Genes and Genomes (KEGG) database was used to identify enriched pathways by a two-tailed Fisher’s exact test to test the enrichment of the differentially modified protein against all identified proteins. The pathway with a corrected P&lt;0.05 was considered significant. These pathways were classified into hierarchical categories according to the KEGG website.</w:t>
      </w:r>
    </w:p>
    <w:p>
      <w:pPr>
        <w:spacing w:line="480" w:lineRule="auto"/>
        <w:rPr>
          <w:rFonts w:ascii="Arial" w:hAnsi="Arial" w:cs="Arial"/>
        </w:rPr>
      </w:pPr>
    </w:p>
    <w:sect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AD56AA-FFC7-4D10-BBF9-05FA1DC3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qFormat/>
    <w:pPr>
      <w:keepNext/>
      <w:widowControl/>
      <w:spacing w:before="240" w:after="60" w:line="480" w:lineRule="auto"/>
      <w:jc w:val="left"/>
      <w:outlineLvl w:val="1"/>
    </w:pPr>
    <w:rPr>
      <w:rFonts w:ascii="Arial" w:hAnsi="Arial" w:cs="Arial"/>
      <w:b/>
      <w:bCs/>
      <w:i/>
      <w:iCs/>
      <w:kern w:val="0"/>
      <w:sz w:val="28"/>
      <w:szCs w:val="28"/>
      <w:lang w:eastAsia="en-US"/>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Pr>
      <w:rFonts w:ascii="Arial" w:hAnsi="Arial" w:cs="Arial"/>
      <w:b/>
      <w:bCs/>
      <w:i/>
      <w:iCs/>
      <w:kern w:val="0"/>
      <w:sz w:val="28"/>
      <w:szCs w:val="28"/>
      <w:lang w:eastAsia="en-US"/>
    </w:rPr>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paragraph" w:styleId="a7">
    <w:name w:val="Balloon Text"/>
    <w:basedOn w:val="a"/>
    <w:link w:val="a8"/>
    <w:uiPriority w:val="99"/>
    <w:semiHidden/>
    <w:unhideWhenUsed/>
    <w:rPr>
      <w:sz w:val="18"/>
      <w:szCs w:val="18"/>
    </w:rPr>
  </w:style>
  <w:style w:type="character" w:customStyle="1" w:styleId="a8">
    <w:name w:val="批注框文本 字符"/>
    <w:basedOn w:val="a0"/>
    <w:link w:val="a7"/>
    <w:uiPriority w:val="99"/>
    <w:semiHidden/>
    <w:rPr>
      <w:sz w:val="18"/>
      <w:szCs w:val="18"/>
    </w:rPr>
  </w:style>
  <w:style w:type="character" w:customStyle="1" w:styleId="30">
    <w:name w:val="标题 3 字符"/>
    <w:basedOn w:val="a0"/>
    <w:link w:val="3"/>
    <w:uiPriority w:val="9"/>
    <w:semiHidden/>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91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772</Words>
  <Characters>4246</Characters>
  <Application>Microsoft Office Word</Application>
  <DocSecurity>0</DocSecurity>
  <Lines>83</Lines>
  <Paragraphs>15</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siyuan yang</dc:creator>
  <cp:keywords/>
  <dc:description/>
  <cp:lastModifiedBy>siyuan yang</cp:lastModifiedBy>
  <cp:revision>5</cp:revision>
  <dcterms:created xsi:type="dcterms:W3CDTF">2020-04-08T13:00:00Z</dcterms:created>
  <dcterms:modified xsi:type="dcterms:W3CDTF">2020-05-21T13:06:00Z</dcterms:modified>
</cp:coreProperties>
</file>