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57" w:rsidRPr="008816E4" w:rsidRDefault="00045757" w:rsidP="00045757">
      <w:pPr>
        <w:pStyle w:val="Heading1"/>
        <w:rPr>
          <w:color w:val="000000"/>
        </w:rPr>
      </w:pPr>
      <w:r>
        <w:rPr>
          <w:color w:val="000000"/>
        </w:rPr>
        <w:t>Supplementary</w:t>
      </w:r>
      <w:r w:rsidRPr="008816E4">
        <w:rPr>
          <w:color w:val="000000"/>
        </w:rPr>
        <w:t xml:space="preserve"> file 1</w:t>
      </w:r>
    </w:p>
    <w:p w:rsidR="00045757" w:rsidRPr="008816E4" w:rsidRDefault="00045757" w:rsidP="00045757">
      <w:pPr>
        <w:pStyle w:val="Style1"/>
        <w:rPr>
          <w:color w:val="000000"/>
        </w:rPr>
      </w:pPr>
      <w:r w:rsidRPr="008816E4">
        <w:rPr>
          <w:color w:val="000000"/>
        </w:rPr>
        <w:t xml:space="preserve">With the literature overview, 22 records were included for full-text read during the first, the database literature search and 23 records were included during the second, the grey literature search. References to all these 45 records </w:t>
      </w:r>
      <w:proofErr w:type="gramStart"/>
      <w:r w:rsidRPr="008816E4">
        <w:rPr>
          <w:color w:val="000000"/>
        </w:rPr>
        <w:t>are listed</w:t>
      </w:r>
      <w:proofErr w:type="gramEnd"/>
      <w:r w:rsidRPr="008816E4">
        <w:rPr>
          <w:color w:val="000000"/>
        </w:rPr>
        <w:t xml:space="preserve"> below in alphabetical order.</w:t>
      </w:r>
    </w:p>
    <w:p w:rsidR="00045757" w:rsidRPr="008816E4" w:rsidRDefault="00045757" w:rsidP="00045757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5757" w:rsidRPr="008816E4" w:rsidRDefault="00045757" w:rsidP="00045757">
      <w:pPr>
        <w:pStyle w:val="Heading2"/>
        <w:rPr>
          <w:color w:val="000000"/>
        </w:rPr>
      </w:pPr>
      <w:r w:rsidRPr="008816E4">
        <w:rPr>
          <w:color w:val="000000"/>
        </w:rPr>
        <w:t>References records first, database literature search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Borcherding</w:t>
      </w:r>
      <w:proofErr w:type="spellEnd"/>
      <w:r w:rsidRPr="008816E4">
        <w:rPr>
          <w:color w:val="000000"/>
        </w:rPr>
        <w:t xml:space="preserve"> K, </w:t>
      </w:r>
      <w:proofErr w:type="spellStart"/>
      <w:r w:rsidRPr="008816E4">
        <w:rPr>
          <w:color w:val="000000"/>
        </w:rPr>
        <w:t>Schmeer</w:t>
      </w:r>
      <w:proofErr w:type="spellEnd"/>
      <w:r w:rsidRPr="008816E4">
        <w:rPr>
          <w:color w:val="000000"/>
        </w:rPr>
        <w:t xml:space="preserve"> S, Weber M. Biases in </w:t>
      </w:r>
      <w:proofErr w:type="spellStart"/>
      <w:r w:rsidRPr="008816E4">
        <w:rPr>
          <w:color w:val="000000"/>
        </w:rPr>
        <w:t>Multiattribute</w:t>
      </w:r>
      <w:proofErr w:type="spellEnd"/>
      <w:r w:rsidRPr="008816E4">
        <w:rPr>
          <w:color w:val="000000"/>
        </w:rPr>
        <w:t xml:space="preserve"> Weight Elicitation. </w:t>
      </w:r>
      <w:r w:rsidRPr="008816E4">
        <w:rPr>
          <w:i/>
          <w:color w:val="000000"/>
        </w:rPr>
        <w:t xml:space="preserve">Contributions to Decision Making - I. </w:t>
      </w:r>
      <w:r w:rsidRPr="008816E4">
        <w:rPr>
          <w:color w:val="000000"/>
        </w:rPr>
        <w:t>1995:3-28.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2.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Cabri</w:t>
      </w:r>
      <w:proofErr w:type="spellEnd"/>
      <w:r w:rsidRPr="008816E4">
        <w:rPr>
          <w:color w:val="000000"/>
        </w:rPr>
        <w:t xml:space="preserve"> J, Pollard M, Pena A, et al. Impact of a Decision Aid and Preference Assessment on </w:t>
      </w:r>
      <w:proofErr w:type="spellStart"/>
      <w:r w:rsidRPr="008816E4">
        <w:rPr>
          <w:color w:val="000000"/>
        </w:rPr>
        <w:t>Urolithiasis</w:t>
      </w:r>
      <w:proofErr w:type="spellEnd"/>
      <w:r w:rsidRPr="008816E4">
        <w:rPr>
          <w:color w:val="000000"/>
        </w:rPr>
        <w:t xml:space="preserve"> Patient Decision Making. </w:t>
      </w:r>
      <w:r w:rsidRPr="008816E4">
        <w:rPr>
          <w:i/>
          <w:color w:val="000000"/>
        </w:rPr>
        <w:t xml:space="preserve">J Urology. </w:t>
      </w:r>
      <w:r w:rsidRPr="008816E4">
        <w:rPr>
          <w:color w:val="000000"/>
        </w:rPr>
        <w:t>2018</w:t>
      </w:r>
      <w:proofErr w:type="gramStart"/>
      <w:r w:rsidRPr="008816E4">
        <w:rPr>
          <w:color w:val="000000"/>
        </w:rPr>
        <w:t>;199</w:t>
      </w:r>
      <w:proofErr w:type="gramEnd"/>
      <w:r w:rsidRPr="008816E4">
        <w:rPr>
          <w:color w:val="000000"/>
        </w:rPr>
        <w:t>(4):E982-E982.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3.</w:t>
      </w:r>
      <w:r w:rsidRPr="008816E4">
        <w:rPr>
          <w:color w:val="000000"/>
        </w:rPr>
        <w:tab/>
        <w:t xml:space="preserve">de Vries M, </w:t>
      </w:r>
      <w:proofErr w:type="spellStart"/>
      <w:r w:rsidRPr="008816E4">
        <w:rPr>
          <w:color w:val="000000"/>
        </w:rPr>
        <w:t>Fagerlin</w:t>
      </w:r>
      <w:proofErr w:type="spellEnd"/>
      <w:r w:rsidRPr="008816E4">
        <w:rPr>
          <w:color w:val="000000"/>
        </w:rPr>
        <w:t xml:space="preserve"> A, </w:t>
      </w:r>
      <w:proofErr w:type="spellStart"/>
      <w:r w:rsidRPr="008816E4">
        <w:rPr>
          <w:color w:val="000000"/>
        </w:rPr>
        <w:t>Witteman</w:t>
      </w:r>
      <w:proofErr w:type="spellEnd"/>
      <w:r w:rsidRPr="008816E4">
        <w:rPr>
          <w:color w:val="000000"/>
        </w:rPr>
        <w:t xml:space="preserve"> HO, Scherer LD. Combining deliberation and intuition in patient decision support. </w:t>
      </w:r>
      <w:r w:rsidRPr="008816E4">
        <w:rPr>
          <w:i/>
          <w:color w:val="000000"/>
        </w:rPr>
        <w:t xml:space="preserve">Patient </w:t>
      </w:r>
      <w:proofErr w:type="spellStart"/>
      <w:r w:rsidRPr="008816E4">
        <w:rPr>
          <w:i/>
          <w:color w:val="000000"/>
        </w:rPr>
        <w:t>Educ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Couns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2013</w:t>
      </w:r>
      <w:proofErr w:type="gramStart"/>
      <w:r w:rsidRPr="008816E4">
        <w:rPr>
          <w:color w:val="000000"/>
        </w:rPr>
        <w:t>;91</w:t>
      </w:r>
      <w:proofErr w:type="gramEnd"/>
      <w:r w:rsidRPr="008816E4">
        <w:rPr>
          <w:color w:val="000000"/>
        </w:rPr>
        <w:t>(2):154-160.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4.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Erdfelder</w:t>
      </w:r>
      <w:proofErr w:type="spellEnd"/>
      <w:r w:rsidRPr="008816E4">
        <w:rPr>
          <w:color w:val="000000"/>
        </w:rPr>
        <w:t xml:space="preserve"> E, </w:t>
      </w:r>
      <w:proofErr w:type="spellStart"/>
      <w:r w:rsidRPr="008816E4">
        <w:rPr>
          <w:color w:val="000000"/>
        </w:rPr>
        <w:t>Castela</w:t>
      </w:r>
      <w:proofErr w:type="spellEnd"/>
      <w:r w:rsidRPr="008816E4">
        <w:rPr>
          <w:color w:val="000000"/>
        </w:rPr>
        <w:t xml:space="preserve"> M, </w:t>
      </w:r>
      <w:proofErr w:type="spellStart"/>
      <w:r w:rsidRPr="008816E4">
        <w:rPr>
          <w:color w:val="000000"/>
        </w:rPr>
        <w:t>Michalkiewicz</w:t>
      </w:r>
      <w:proofErr w:type="spellEnd"/>
      <w:r w:rsidRPr="008816E4">
        <w:rPr>
          <w:color w:val="000000"/>
        </w:rPr>
        <w:t xml:space="preserve"> M, Heck DW. The advantages of model fitting compared to model simulation in research on preference construction. </w:t>
      </w:r>
      <w:r w:rsidRPr="008816E4">
        <w:rPr>
          <w:i/>
          <w:color w:val="000000"/>
        </w:rPr>
        <w:t xml:space="preserve">Front Psychol. </w:t>
      </w:r>
      <w:r w:rsidRPr="008816E4">
        <w:rPr>
          <w:color w:val="000000"/>
        </w:rPr>
        <w:t>2015</w:t>
      </w:r>
      <w:proofErr w:type="gramStart"/>
      <w:r w:rsidRPr="008816E4">
        <w:rPr>
          <w:color w:val="000000"/>
        </w:rPr>
        <w:t>;6:140</w:t>
      </w:r>
      <w:proofErr w:type="gramEnd"/>
      <w:r w:rsidRPr="008816E4">
        <w:rPr>
          <w:color w:val="000000"/>
        </w:rPr>
        <w:t>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5.</w:t>
      </w:r>
      <w:r w:rsidRPr="008816E4">
        <w:rPr>
          <w:color w:val="000000"/>
        </w:rPr>
        <w:tab/>
        <w:t xml:space="preserve">Feldman-Stewart D, </w:t>
      </w:r>
      <w:proofErr w:type="spellStart"/>
      <w:r w:rsidRPr="008816E4">
        <w:rPr>
          <w:color w:val="000000"/>
        </w:rPr>
        <w:t>Brundage</w:t>
      </w:r>
      <w:proofErr w:type="spellEnd"/>
      <w:r w:rsidRPr="008816E4">
        <w:rPr>
          <w:color w:val="000000"/>
        </w:rPr>
        <w:t xml:space="preserve"> MD, Van Manen L, </w:t>
      </w:r>
      <w:proofErr w:type="spellStart"/>
      <w:r w:rsidRPr="008816E4">
        <w:rPr>
          <w:color w:val="000000"/>
        </w:rPr>
        <w:t>Svenson</w:t>
      </w:r>
      <w:proofErr w:type="spellEnd"/>
      <w:r w:rsidRPr="008816E4">
        <w:rPr>
          <w:color w:val="000000"/>
        </w:rPr>
        <w:t xml:space="preserve"> O. Patient-</w:t>
      </w:r>
      <w:proofErr w:type="spellStart"/>
      <w:r w:rsidRPr="008816E4">
        <w:rPr>
          <w:color w:val="000000"/>
        </w:rPr>
        <w:t>focussed</w:t>
      </w:r>
      <w:proofErr w:type="spellEnd"/>
      <w:r w:rsidRPr="008816E4">
        <w:rPr>
          <w:color w:val="000000"/>
        </w:rPr>
        <w:t xml:space="preserve"> decision-making in early-stage prostate cancer: insights from a cognitively based decision aid. </w:t>
      </w:r>
      <w:r w:rsidRPr="008816E4">
        <w:rPr>
          <w:i/>
          <w:color w:val="000000"/>
        </w:rPr>
        <w:t xml:space="preserve">Health Expect. </w:t>
      </w:r>
      <w:r w:rsidRPr="008816E4">
        <w:rPr>
          <w:color w:val="000000"/>
        </w:rPr>
        <w:t>2004</w:t>
      </w:r>
      <w:proofErr w:type="gramStart"/>
      <w:r w:rsidRPr="008816E4">
        <w:rPr>
          <w:color w:val="000000"/>
        </w:rPr>
        <w:t>;7</w:t>
      </w:r>
      <w:proofErr w:type="gramEnd"/>
      <w:r w:rsidRPr="008816E4">
        <w:rPr>
          <w:color w:val="000000"/>
        </w:rPr>
        <w:t>(2):126-141.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045757">
        <w:rPr>
          <w:color w:val="000000"/>
        </w:rPr>
        <w:t>6.</w:t>
      </w:r>
      <w:r w:rsidRPr="00045757">
        <w:rPr>
          <w:color w:val="000000"/>
        </w:rPr>
        <w:tab/>
        <w:t xml:space="preserve">Friesen-Storms JH, Bours GJ, van der Weijden T, Beurskens AJ. </w:t>
      </w:r>
      <w:r w:rsidRPr="008816E4">
        <w:rPr>
          <w:color w:val="000000"/>
        </w:rPr>
        <w:t xml:space="preserve">Shared decision making in chronic care in the context of evidence based practice in nursing. </w:t>
      </w:r>
      <w:proofErr w:type="spellStart"/>
      <w:r w:rsidRPr="008816E4">
        <w:rPr>
          <w:i/>
          <w:color w:val="000000"/>
        </w:rPr>
        <w:t>Int</w:t>
      </w:r>
      <w:proofErr w:type="spellEnd"/>
      <w:r w:rsidRPr="008816E4">
        <w:rPr>
          <w:i/>
          <w:color w:val="000000"/>
        </w:rPr>
        <w:t xml:space="preserve"> J </w:t>
      </w:r>
      <w:proofErr w:type="spellStart"/>
      <w:r w:rsidRPr="008816E4">
        <w:rPr>
          <w:i/>
          <w:color w:val="000000"/>
        </w:rPr>
        <w:t>Nurs</w:t>
      </w:r>
      <w:proofErr w:type="spellEnd"/>
      <w:r w:rsidRPr="008816E4">
        <w:rPr>
          <w:i/>
          <w:color w:val="000000"/>
        </w:rPr>
        <w:t xml:space="preserve"> Stud. </w:t>
      </w:r>
      <w:r w:rsidRPr="008816E4">
        <w:rPr>
          <w:color w:val="000000"/>
        </w:rPr>
        <w:t>2015</w:t>
      </w:r>
      <w:proofErr w:type="gramStart"/>
      <w:r w:rsidRPr="008816E4">
        <w:rPr>
          <w:color w:val="000000"/>
        </w:rPr>
        <w:t>;52</w:t>
      </w:r>
      <w:proofErr w:type="gramEnd"/>
      <w:r w:rsidRPr="008816E4">
        <w:rPr>
          <w:color w:val="000000"/>
        </w:rPr>
        <w:t>(1):393-402.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7.</w:t>
      </w:r>
      <w:r w:rsidRPr="008816E4">
        <w:rPr>
          <w:color w:val="000000"/>
        </w:rPr>
        <w:tab/>
        <w:t xml:space="preserve">Gray J, Lie ML, </w:t>
      </w:r>
      <w:proofErr w:type="spellStart"/>
      <w:r w:rsidRPr="008816E4">
        <w:rPr>
          <w:color w:val="000000"/>
        </w:rPr>
        <w:t>Murtagh</w:t>
      </w:r>
      <w:proofErr w:type="spellEnd"/>
      <w:r w:rsidRPr="008816E4">
        <w:rPr>
          <w:color w:val="000000"/>
        </w:rPr>
        <w:t xml:space="preserve"> MJ, Ford GA, </w:t>
      </w:r>
      <w:proofErr w:type="spellStart"/>
      <w:r w:rsidRPr="008816E4">
        <w:rPr>
          <w:color w:val="000000"/>
        </w:rPr>
        <w:t>McMeekin</w:t>
      </w:r>
      <w:proofErr w:type="spellEnd"/>
      <w:r w:rsidRPr="008816E4">
        <w:rPr>
          <w:color w:val="000000"/>
        </w:rPr>
        <w:t xml:space="preserve"> P, Thomson RG. Health state descriptions to elicit stroke values: do they reflect patient experience of stroke? </w:t>
      </w:r>
      <w:r w:rsidRPr="008816E4">
        <w:rPr>
          <w:i/>
          <w:color w:val="000000"/>
        </w:rPr>
        <w:t xml:space="preserve">BMC Health </w:t>
      </w:r>
      <w:proofErr w:type="spellStart"/>
      <w:r w:rsidRPr="008816E4">
        <w:rPr>
          <w:i/>
          <w:color w:val="000000"/>
        </w:rPr>
        <w:t>Serv</w:t>
      </w:r>
      <w:proofErr w:type="spellEnd"/>
      <w:r w:rsidRPr="008816E4">
        <w:rPr>
          <w:i/>
          <w:color w:val="000000"/>
        </w:rPr>
        <w:t xml:space="preserve"> Res. </w:t>
      </w:r>
      <w:r w:rsidRPr="008816E4">
        <w:rPr>
          <w:color w:val="000000"/>
        </w:rPr>
        <w:t>2014</w:t>
      </w:r>
      <w:proofErr w:type="gramStart"/>
      <w:r w:rsidRPr="008816E4">
        <w:rPr>
          <w:color w:val="000000"/>
        </w:rPr>
        <w:t>;14:573</w:t>
      </w:r>
      <w:proofErr w:type="gramEnd"/>
      <w:r w:rsidRPr="008816E4">
        <w:rPr>
          <w:color w:val="000000"/>
        </w:rPr>
        <w:t>.</w:t>
      </w:r>
    </w:p>
    <w:p w:rsidR="00045757" w:rsidRPr="00045757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8816E4">
        <w:rPr>
          <w:color w:val="000000"/>
        </w:rPr>
        <w:t>8.</w:t>
      </w:r>
      <w:r w:rsidRPr="008816E4">
        <w:rPr>
          <w:color w:val="000000"/>
        </w:rPr>
        <w:tab/>
        <w:t xml:space="preserve">Hansen H. Managing to beat death: the narrative construction process. </w:t>
      </w:r>
      <w:r w:rsidRPr="00045757">
        <w:rPr>
          <w:i/>
          <w:color w:val="000000"/>
          <w:lang w:val="nl-NL"/>
        </w:rPr>
        <w:t xml:space="preserve">J </w:t>
      </w:r>
      <w:proofErr w:type="spellStart"/>
      <w:r w:rsidRPr="00045757">
        <w:rPr>
          <w:i/>
          <w:color w:val="000000"/>
          <w:lang w:val="nl-NL"/>
        </w:rPr>
        <w:t>Organ</w:t>
      </w:r>
      <w:proofErr w:type="spellEnd"/>
      <w:r w:rsidRPr="00045757">
        <w:rPr>
          <w:i/>
          <w:color w:val="000000"/>
          <w:lang w:val="nl-NL"/>
        </w:rPr>
        <w:t xml:space="preserve"> Change </w:t>
      </w:r>
      <w:proofErr w:type="spellStart"/>
      <w:r w:rsidRPr="00045757">
        <w:rPr>
          <w:i/>
          <w:color w:val="000000"/>
          <w:lang w:val="nl-NL"/>
        </w:rPr>
        <w:t>Manag</w:t>
      </w:r>
      <w:proofErr w:type="spellEnd"/>
      <w:r w:rsidRPr="00045757">
        <w:rPr>
          <w:i/>
          <w:color w:val="000000"/>
          <w:lang w:val="nl-NL"/>
        </w:rPr>
        <w:t xml:space="preserve">. </w:t>
      </w:r>
      <w:r w:rsidRPr="00045757">
        <w:rPr>
          <w:color w:val="000000"/>
          <w:lang w:val="nl-NL"/>
        </w:rPr>
        <w:t>2011;24(4):442-463.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9.</w:t>
      </w:r>
      <w:r w:rsidRPr="002C4C52">
        <w:rPr>
          <w:color w:val="000000"/>
          <w:lang w:val="nl-NL"/>
        </w:rPr>
        <w:tab/>
        <w:t xml:space="preserve">Huber M, van Vliet M, </w:t>
      </w:r>
      <w:proofErr w:type="spellStart"/>
      <w:r w:rsidRPr="002C4C52">
        <w:rPr>
          <w:color w:val="000000"/>
          <w:lang w:val="nl-NL"/>
        </w:rPr>
        <w:t>Giezenberg</w:t>
      </w:r>
      <w:proofErr w:type="spellEnd"/>
      <w:r w:rsidRPr="002C4C52">
        <w:rPr>
          <w:color w:val="000000"/>
          <w:lang w:val="nl-NL"/>
        </w:rPr>
        <w:t xml:space="preserve"> M, et al. </w:t>
      </w:r>
      <w:r w:rsidRPr="008816E4">
        <w:rPr>
          <w:color w:val="000000"/>
        </w:rPr>
        <w:t>Towards a 'patient-</w:t>
      </w:r>
      <w:proofErr w:type="spellStart"/>
      <w:r w:rsidRPr="008816E4">
        <w:rPr>
          <w:color w:val="000000"/>
        </w:rPr>
        <w:t>centred</w:t>
      </w:r>
      <w:proofErr w:type="spellEnd"/>
      <w:r w:rsidRPr="008816E4">
        <w:rPr>
          <w:color w:val="000000"/>
        </w:rPr>
        <w:t xml:space="preserve">' </w:t>
      </w:r>
      <w:proofErr w:type="spellStart"/>
      <w:r w:rsidRPr="008816E4">
        <w:rPr>
          <w:color w:val="000000"/>
        </w:rPr>
        <w:t>operationalisation</w:t>
      </w:r>
      <w:proofErr w:type="spellEnd"/>
      <w:r w:rsidRPr="008816E4">
        <w:rPr>
          <w:color w:val="000000"/>
        </w:rPr>
        <w:t xml:space="preserve"> of the new dynamic concept of health: a mixed methods study. </w:t>
      </w:r>
      <w:r w:rsidRPr="008816E4">
        <w:rPr>
          <w:i/>
          <w:color w:val="000000"/>
        </w:rPr>
        <w:t xml:space="preserve">BMJ Open. </w:t>
      </w:r>
      <w:r w:rsidRPr="008816E4">
        <w:rPr>
          <w:color w:val="000000"/>
        </w:rPr>
        <w:t>2016</w:t>
      </w:r>
      <w:proofErr w:type="gramStart"/>
      <w:r w:rsidRPr="008816E4">
        <w:rPr>
          <w:color w:val="000000"/>
        </w:rPr>
        <w:t>;6</w:t>
      </w:r>
      <w:proofErr w:type="gramEnd"/>
      <w:r w:rsidRPr="008816E4">
        <w:rPr>
          <w:color w:val="000000"/>
        </w:rPr>
        <w:t>(1):e010091.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lastRenderedPageBreak/>
        <w:t>10.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Jayadevappa</w:t>
      </w:r>
      <w:proofErr w:type="spellEnd"/>
      <w:r w:rsidRPr="008816E4">
        <w:rPr>
          <w:color w:val="000000"/>
        </w:rPr>
        <w:t xml:space="preserve"> R, </w:t>
      </w:r>
      <w:proofErr w:type="spellStart"/>
      <w:r w:rsidRPr="008816E4">
        <w:rPr>
          <w:color w:val="000000"/>
        </w:rPr>
        <w:t>Chhatre</w:t>
      </w:r>
      <w:proofErr w:type="spellEnd"/>
      <w:r w:rsidRPr="008816E4">
        <w:rPr>
          <w:color w:val="000000"/>
        </w:rPr>
        <w:t xml:space="preserve"> S, Gallo JJ, et al. Treatment preference and patient centered prostate cancer care: Design and rationale. </w:t>
      </w:r>
      <w:proofErr w:type="spellStart"/>
      <w:r w:rsidRPr="008816E4">
        <w:rPr>
          <w:i/>
          <w:color w:val="000000"/>
        </w:rPr>
        <w:t>Contemp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Clin</w:t>
      </w:r>
      <w:proofErr w:type="spellEnd"/>
      <w:r w:rsidRPr="008816E4">
        <w:rPr>
          <w:i/>
          <w:color w:val="000000"/>
        </w:rPr>
        <w:t xml:space="preserve"> Trials. </w:t>
      </w:r>
      <w:r w:rsidRPr="008816E4">
        <w:rPr>
          <w:color w:val="000000"/>
        </w:rPr>
        <w:t>2015</w:t>
      </w:r>
      <w:proofErr w:type="gramStart"/>
      <w:r w:rsidRPr="008816E4">
        <w:rPr>
          <w:color w:val="000000"/>
        </w:rPr>
        <w:t>;45</w:t>
      </w:r>
      <w:proofErr w:type="gramEnd"/>
      <w:r w:rsidRPr="008816E4">
        <w:rPr>
          <w:color w:val="000000"/>
        </w:rPr>
        <w:t>(Pt B):296-301.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11.</w:t>
      </w:r>
      <w:r w:rsidRPr="008816E4">
        <w:rPr>
          <w:color w:val="000000"/>
        </w:rPr>
        <w:tab/>
        <w:t>Kaiser K, Beaumont JL, Webster K, et al. Development and validation of the functional assessment of cancer therapy-</w:t>
      </w:r>
      <w:proofErr w:type="spellStart"/>
      <w:r w:rsidRPr="008816E4">
        <w:rPr>
          <w:color w:val="000000"/>
        </w:rPr>
        <w:t>antiangiogenesis</w:t>
      </w:r>
      <w:proofErr w:type="spellEnd"/>
      <w:r w:rsidRPr="008816E4">
        <w:rPr>
          <w:color w:val="000000"/>
        </w:rPr>
        <w:t xml:space="preserve"> subscale. </w:t>
      </w:r>
      <w:r w:rsidRPr="008816E4">
        <w:rPr>
          <w:i/>
          <w:color w:val="000000"/>
        </w:rPr>
        <w:t xml:space="preserve">Cancer Med. </w:t>
      </w:r>
      <w:r w:rsidRPr="008816E4">
        <w:rPr>
          <w:color w:val="000000"/>
        </w:rPr>
        <w:t>2015</w:t>
      </w:r>
      <w:proofErr w:type="gramStart"/>
      <w:r w:rsidRPr="008816E4">
        <w:rPr>
          <w:color w:val="000000"/>
        </w:rPr>
        <w:t>;4</w:t>
      </w:r>
      <w:proofErr w:type="gramEnd"/>
      <w:r w:rsidRPr="008816E4">
        <w:rPr>
          <w:color w:val="000000"/>
        </w:rPr>
        <w:t>(5):690-698.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12.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Kerstholt</w:t>
      </w:r>
      <w:proofErr w:type="spellEnd"/>
      <w:r w:rsidRPr="008816E4">
        <w:rPr>
          <w:color w:val="000000"/>
        </w:rPr>
        <w:t xml:space="preserve"> JH, van der </w:t>
      </w:r>
      <w:proofErr w:type="spellStart"/>
      <w:r w:rsidRPr="008816E4">
        <w:rPr>
          <w:color w:val="000000"/>
        </w:rPr>
        <w:t>Zwaard</w:t>
      </w:r>
      <w:proofErr w:type="spellEnd"/>
      <w:r w:rsidRPr="008816E4">
        <w:rPr>
          <w:color w:val="000000"/>
        </w:rPr>
        <w:t xml:space="preserve"> F, Bart H, </w:t>
      </w:r>
      <w:proofErr w:type="spellStart"/>
      <w:r w:rsidRPr="008816E4">
        <w:rPr>
          <w:color w:val="000000"/>
        </w:rPr>
        <w:t>Cremers</w:t>
      </w:r>
      <w:proofErr w:type="spellEnd"/>
      <w:r w:rsidRPr="008816E4">
        <w:rPr>
          <w:color w:val="000000"/>
        </w:rPr>
        <w:t xml:space="preserve"> A. Construction of health preferences: a comparison of direct value assessment and personal narratives. </w:t>
      </w:r>
      <w:r w:rsidRPr="008816E4">
        <w:rPr>
          <w:i/>
          <w:color w:val="000000"/>
        </w:rPr>
        <w:t xml:space="preserve">Med </w:t>
      </w:r>
      <w:proofErr w:type="spellStart"/>
      <w:r w:rsidRPr="008816E4">
        <w:rPr>
          <w:i/>
          <w:color w:val="000000"/>
        </w:rPr>
        <w:t>Decis</w:t>
      </w:r>
      <w:proofErr w:type="spellEnd"/>
      <w:r w:rsidRPr="008816E4">
        <w:rPr>
          <w:i/>
          <w:color w:val="000000"/>
        </w:rPr>
        <w:t xml:space="preserve"> Making. </w:t>
      </w:r>
      <w:r w:rsidRPr="008816E4">
        <w:rPr>
          <w:color w:val="000000"/>
        </w:rPr>
        <w:t>2009</w:t>
      </w:r>
      <w:proofErr w:type="gramStart"/>
      <w:r w:rsidRPr="008816E4">
        <w:rPr>
          <w:color w:val="000000"/>
        </w:rPr>
        <w:t>;29</w:t>
      </w:r>
      <w:proofErr w:type="gramEnd"/>
      <w:r w:rsidRPr="008816E4">
        <w:rPr>
          <w:color w:val="000000"/>
        </w:rPr>
        <w:t>(4):513-520.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13.</w:t>
      </w:r>
      <w:r w:rsidRPr="008816E4">
        <w:rPr>
          <w:color w:val="000000"/>
        </w:rPr>
        <w:tab/>
        <w:t xml:space="preserve">Lenzen SA, Daniels R, van Bokhoven MA, van der Weijden T, Beurskens A. Development of a conversation approach for practice nurses aimed at making shared decisions on goals and action plans with primary care patients. </w:t>
      </w:r>
      <w:r w:rsidRPr="008816E4">
        <w:rPr>
          <w:i/>
          <w:color w:val="000000"/>
        </w:rPr>
        <w:t xml:space="preserve">BMC Health </w:t>
      </w:r>
      <w:proofErr w:type="spellStart"/>
      <w:r w:rsidRPr="008816E4">
        <w:rPr>
          <w:i/>
          <w:color w:val="000000"/>
        </w:rPr>
        <w:t>Serv</w:t>
      </w:r>
      <w:proofErr w:type="spellEnd"/>
      <w:r w:rsidRPr="008816E4">
        <w:rPr>
          <w:i/>
          <w:color w:val="000000"/>
        </w:rPr>
        <w:t xml:space="preserve"> Res. </w:t>
      </w:r>
      <w:r w:rsidRPr="008816E4">
        <w:rPr>
          <w:color w:val="000000"/>
        </w:rPr>
        <w:t>2018</w:t>
      </w:r>
      <w:proofErr w:type="gramStart"/>
      <w:r w:rsidRPr="008816E4">
        <w:rPr>
          <w:color w:val="000000"/>
        </w:rPr>
        <w:t>;18</w:t>
      </w:r>
      <w:proofErr w:type="gramEnd"/>
      <w:r w:rsidRPr="008816E4">
        <w:rPr>
          <w:color w:val="000000"/>
        </w:rPr>
        <w:t>(1):891.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045757">
        <w:rPr>
          <w:color w:val="000000"/>
        </w:rPr>
        <w:t>14.</w:t>
      </w:r>
      <w:r w:rsidRPr="00045757">
        <w:rPr>
          <w:color w:val="000000"/>
        </w:rPr>
        <w:tab/>
        <w:t xml:space="preserve">Li LC, Adam PM, Townsend AF, et al. </w:t>
      </w:r>
      <w:r w:rsidRPr="008816E4">
        <w:rPr>
          <w:color w:val="000000"/>
        </w:rPr>
        <w:t xml:space="preserve">Usability testing of ANSWER: a web-based methotrexate decision aid for patients with rheumatoid arthritis. </w:t>
      </w:r>
      <w:r w:rsidRPr="008816E4">
        <w:rPr>
          <w:i/>
          <w:color w:val="000000"/>
        </w:rPr>
        <w:t xml:space="preserve">BMC Med Inform </w:t>
      </w:r>
      <w:proofErr w:type="spellStart"/>
      <w:r w:rsidRPr="008816E4">
        <w:rPr>
          <w:i/>
          <w:color w:val="000000"/>
        </w:rPr>
        <w:t>Decis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Mak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2013</w:t>
      </w:r>
      <w:proofErr w:type="gramStart"/>
      <w:r w:rsidRPr="008816E4">
        <w:rPr>
          <w:color w:val="000000"/>
        </w:rPr>
        <w:t>;13:131</w:t>
      </w:r>
      <w:proofErr w:type="gramEnd"/>
      <w:r w:rsidRPr="008816E4">
        <w:rPr>
          <w:color w:val="000000"/>
        </w:rPr>
        <w:t>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8816E4">
        <w:rPr>
          <w:color w:val="000000"/>
        </w:rPr>
        <w:t>15.</w:t>
      </w:r>
      <w:r w:rsidRPr="008816E4">
        <w:rPr>
          <w:color w:val="000000"/>
        </w:rPr>
        <w:tab/>
        <w:t xml:space="preserve">Schweitzer ME, Hershey JC. </w:t>
      </w:r>
      <w:proofErr w:type="spellStart"/>
      <w:r w:rsidRPr="008816E4">
        <w:rPr>
          <w:color w:val="000000"/>
        </w:rPr>
        <w:t>Undercontribution</w:t>
      </w:r>
      <w:proofErr w:type="spellEnd"/>
      <w:r w:rsidRPr="008816E4">
        <w:rPr>
          <w:color w:val="000000"/>
        </w:rPr>
        <w:t xml:space="preserve"> bias in health care spending account decisions. </w:t>
      </w:r>
      <w:r w:rsidRPr="002C4C52">
        <w:rPr>
          <w:i/>
          <w:color w:val="000000"/>
          <w:lang w:val="nl-NL"/>
        </w:rPr>
        <w:t xml:space="preserve">Benefits Q. </w:t>
      </w:r>
      <w:r w:rsidRPr="002C4C52">
        <w:rPr>
          <w:color w:val="000000"/>
          <w:lang w:val="nl-NL"/>
        </w:rPr>
        <w:t>1997;13(2):36-46.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16.</w:t>
      </w:r>
      <w:r w:rsidRPr="002C4C52">
        <w:rPr>
          <w:color w:val="000000"/>
          <w:lang w:val="nl-NL"/>
        </w:rPr>
        <w:tab/>
        <w:t xml:space="preserve">ter Hoeven CL, Zandbelt LC, Fransen S, et al. </w:t>
      </w:r>
      <w:r w:rsidRPr="008816E4">
        <w:rPr>
          <w:color w:val="000000"/>
        </w:rPr>
        <w:t xml:space="preserve">Measuring cancer patients' reasons for their information preference: construction of the Considerations Concerning Cancer Information (CCCI) questionnaire. </w:t>
      </w:r>
      <w:proofErr w:type="spellStart"/>
      <w:r w:rsidRPr="008816E4">
        <w:rPr>
          <w:i/>
          <w:color w:val="000000"/>
        </w:rPr>
        <w:t>Psychooncology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2011</w:t>
      </w:r>
      <w:proofErr w:type="gramStart"/>
      <w:r w:rsidRPr="008816E4">
        <w:rPr>
          <w:color w:val="000000"/>
        </w:rPr>
        <w:t>;20</w:t>
      </w:r>
      <w:proofErr w:type="gramEnd"/>
      <w:r w:rsidRPr="008816E4">
        <w:rPr>
          <w:color w:val="000000"/>
        </w:rPr>
        <w:t>(11):1228-1235.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17.</w:t>
      </w:r>
      <w:r w:rsidRPr="008816E4">
        <w:rPr>
          <w:color w:val="000000"/>
        </w:rPr>
        <w:tab/>
        <w:t xml:space="preserve">Trevena LJ, </w:t>
      </w:r>
      <w:proofErr w:type="spellStart"/>
      <w:r w:rsidRPr="008816E4">
        <w:rPr>
          <w:color w:val="000000"/>
        </w:rPr>
        <w:t>Zikmund</w:t>
      </w:r>
      <w:proofErr w:type="spellEnd"/>
      <w:r w:rsidRPr="008816E4">
        <w:rPr>
          <w:color w:val="000000"/>
        </w:rPr>
        <w:t xml:space="preserve">-Fisher BJ, Edwards A, et al. </w:t>
      </w:r>
      <w:proofErr w:type="gramStart"/>
      <w:r w:rsidRPr="008816E4">
        <w:rPr>
          <w:color w:val="000000"/>
        </w:rPr>
        <w:t>Presenting</w:t>
      </w:r>
      <w:proofErr w:type="gramEnd"/>
      <w:r w:rsidRPr="008816E4">
        <w:rPr>
          <w:color w:val="000000"/>
        </w:rPr>
        <w:t xml:space="preserve"> quantitative information about decision outcomes: a risk communication primer for patient decision aid developers. </w:t>
      </w:r>
      <w:r w:rsidRPr="008816E4">
        <w:rPr>
          <w:i/>
          <w:color w:val="000000"/>
        </w:rPr>
        <w:t xml:space="preserve">BMC Med Inform </w:t>
      </w:r>
      <w:proofErr w:type="spellStart"/>
      <w:r w:rsidRPr="008816E4">
        <w:rPr>
          <w:i/>
          <w:color w:val="000000"/>
        </w:rPr>
        <w:t>Decis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Mak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2013</w:t>
      </w:r>
      <w:proofErr w:type="gramStart"/>
      <w:r w:rsidRPr="008816E4">
        <w:rPr>
          <w:color w:val="000000"/>
        </w:rPr>
        <w:t>;13</w:t>
      </w:r>
      <w:proofErr w:type="gramEnd"/>
      <w:r w:rsidRPr="008816E4">
        <w:rPr>
          <w:color w:val="000000"/>
        </w:rPr>
        <w:t xml:space="preserve"> </w:t>
      </w:r>
      <w:proofErr w:type="spellStart"/>
      <w:r w:rsidRPr="008816E4">
        <w:rPr>
          <w:color w:val="000000"/>
        </w:rPr>
        <w:t>Suppl</w:t>
      </w:r>
      <w:proofErr w:type="spellEnd"/>
      <w:r w:rsidRPr="008816E4">
        <w:rPr>
          <w:color w:val="000000"/>
        </w:rPr>
        <w:t xml:space="preserve"> 2:S7.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18.</w:t>
      </w:r>
      <w:r w:rsidRPr="008816E4">
        <w:rPr>
          <w:color w:val="000000"/>
        </w:rPr>
        <w:tab/>
        <w:t xml:space="preserve">Vaessen J. </w:t>
      </w:r>
      <w:proofErr w:type="spellStart"/>
      <w:r w:rsidRPr="008816E4">
        <w:rPr>
          <w:color w:val="000000"/>
        </w:rPr>
        <w:t>Programme</w:t>
      </w:r>
      <w:proofErr w:type="spellEnd"/>
      <w:r w:rsidRPr="008816E4">
        <w:rPr>
          <w:color w:val="000000"/>
        </w:rPr>
        <w:t xml:space="preserve"> Theory Evaluation, </w:t>
      </w:r>
      <w:proofErr w:type="spellStart"/>
      <w:r w:rsidRPr="008816E4">
        <w:rPr>
          <w:color w:val="000000"/>
        </w:rPr>
        <w:t>Multidriteria</w:t>
      </w:r>
      <w:proofErr w:type="spellEnd"/>
      <w:r w:rsidRPr="008816E4">
        <w:rPr>
          <w:color w:val="000000"/>
        </w:rPr>
        <w:t xml:space="preserve"> </w:t>
      </w:r>
      <w:proofErr w:type="spellStart"/>
      <w:r w:rsidRPr="008816E4">
        <w:rPr>
          <w:color w:val="000000"/>
        </w:rPr>
        <w:t>Decicion</w:t>
      </w:r>
      <w:proofErr w:type="spellEnd"/>
      <w:r w:rsidRPr="008816E4">
        <w:rPr>
          <w:color w:val="000000"/>
        </w:rPr>
        <w:t xml:space="preserve"> Aid and Stakeholder Value: A methodological Framework. </w:t>
      </w:r>
      <w:r w:rsidRPr="008816E4">
        <w:rPr>
          <w:i/>
          <w:color w:val="000000"/>
        </w:rPr>
        <w:t xml:space="preserve">Evaluation. </w:t>
      </w:r>
      <w:r w:rsidRPr="008816E4">
        <w:rPr>
          <w:color w:val="000000"/>
        </w:rPr>
        <w:t>2006</w:t>
      </w:r>
      <w:proofErr w:type="gramStart"/>
      <w:r w:rsidRPr="008816E4">
        <w:rPr>
          <w:color w:val="000000"/>
        </w:rPr>
        <w:t>;12</w:t>
      </w:r>
      <w:proofErr w:type="gramEnd"/>
      <w:r w:rsidRPr="008816E4">
        <w:rPr>
          <w:color w:val="000000"/>
        </w:rPr>
        <w:t>(4):397-417.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8816E4">
        <w:rPr>
          <w:color w:val="000000"/>
        </w:rPr>
        <w:t>19.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Virues</w:t>
      </w:r>
      <w:proofErr w:type="spellEnd"/>
      <w:r w:rsidRPr="008816E4">
        <w:rPr>
          <w:color w:val="000000"/>
        </w:rPr>
        <w:t xml:space="preserve">-Ortega J, Pritchard K, Grant RL, et al. Clinical Decision Making and Preference Assessment for Individuals With Intellectual and Developmental Disabilities. </w:t>
      </w:r>
      <w:proofErr w:type="spellStart"/>
      <w:r w:rsidRPr="002C4C52">
        <w:rPr>
          <w:i/>
          <w:color w:val="000000"/>
          <w:lang w:val="nl-NL"/>
        </w:rPr>
        <w:t>Ajidd</w:t>
      </w:r>
      <w:proofErr w:type="spellEnd"/>
      <w:r w:rsidRPr="002C4C52">
        <w:rPr>
          <w:i/>
          <w:color w:val="000000"/>
          <w:lang w:val="nl-NL"/>
        </w:rPr>
        <w:t xml:space="preserve">-Am J Intellect. </w:t>
      </w:r>
      <w:r w:rsidRPr="002C4C52">
        <w:rPr>
          <w:color w:val="000000"/>
          <w:lang w:val="nl-NL"/>
        </w:rPr>
        <w:t>2014;119(2):151-170.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20.</w:t>
      </w:r>
      <w:r w:rsidRPr="002C4C52">
        <w:rPr>
          <w:color w:val="000000"/>
          <w:lang w:val="nl-NL"/>
        </w:rPr>
        <w:tab/>
      </w:r>
      <w:proofErr w:type="spellStart"/>
      <w:r w:rsidRPr="002C4C52">
        <w:rPr>
          <w:color w:val="000000"/>
          <w:lang w:val="nl-NL"/>
        </w:rPr>
        <w:t>Westermann</w:t>
      </w:r>
      <w:proofErr w:type="spellEnd"/>
      <w:r w:rsidRPr="002C4C52">
        <w:rPr>
          <w:color w:val="000000"/>
          <w:lang w:val="nl-NL"/>
        </w:rPr>
        <w:t xml:space="preserve"> GM, Verheij F, Winkens B, Verhulst FC, Van Oort FV. </w:t>
      </w:r>
      <w:r w:rsidRPr="008816E4">
        <w:rPr>
          <w:color w:val="000000"/>
        </w:rPr>
        <w:t xml:space="preserve">Structured shared decision-making using dialogue and visualization: a randomized controlled trial. </w:t>
      </w:r>
      <w:r w:rsidRPr="008816E4">
        <w:rPr>
          <w:i/>
          <w:color w:val="000000"/>
        </w:rPr>
        <w:t xml:space="preserve">Patient </w:t>
      </w:r>
      <w:proofErr w:type="spellStart"/>
      <w:r w:rsidRPr="008816E4">
        <w:rPr>
          <w:i/>
          <w:color w:val="000000"/>
        </w:rPr>
        <w:t>Educ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Couns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2013</w:t>
      </w:r>
      <w:proofErr w:type="gramStart"/>
      <w:r w:rsidRPr="008816E4">
        <w:rPr>
          <w:color w:val="000000"/>
        </w:rPr>
        <w:t>;90</w:t>
      </w:r>
      <w:proofErr w:type="gramEnd"/>
      <w:r w:rsidRPr="008816E4">
        <w:rPr>
          <w:color w:val="000000"/>
        </w:rPr>
        <w:t>(1):74-81.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21.</w:t>
      </w:r>
      <w:r w:rsidRPr="008816E4">
        <w:rPr>
          <w:color w:val="000000"/>
        </w:rPr>
        <w:tab/>
        <w:t xml:space="preserve">White MT. Uncharted terrain: preference construction at the end of life. </w:t>
      </w:r>
      <w:r w:rsidRPr="008816E4">
        <w:rPr>
          <w:i/>
          <w:color w:val="000000"/>
        </w:rPr>
        <w:t xml:space="preserve">J </w:t>
      </w:r>
      <w:proofErr w:type="spellStart"/>
      <w:r w:rsidRPr="008816E4">
        <w:rPr>
          <w:i/>
          <w:color w:val="000000"/>
        </w:rPr>
        <w:t>Clin</w:t>
      </w:r>
      <w:proofErr w:type="spellEnd"/>
      <w:r w:rsidRPr="008816E4">
        <w:rPr>
          <w:i/>
          <w:color w:val="000000"/>
        </w:rPr>
        <w:t xml:space="preserve"> Ethics. </w:t>
      </w:r>
      <w:r w:rsidRPr="008816E4">
        <w:rPr>
          <w:color w:val="000000"/>
        </w:rPr>
        <w:t>2014</w:t>
      </w:r>
      <w:proofErr w:type="gramStart"/>
      <w:r w:rsidRPr="008816E4">
        <w:rPr>
          <w:color w:val="000000"/>
        </w:rPr>
        <w:t>;25</w:t>
      </w:r>
      <w:proofErr w:type="gramEnd"/>
      <w:r w:rsidRPr="008816E4">
        <w:rPr>
          <w:color w:val="000000"/>
        </w:rPr>
        <w:t>(2):120-130.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lastRenderedPageBreak/>
        <w:t>22.</w:t>
      </w:r>
      <w:r w:rsidRPr="008816E4">
        <w:rPr>
          <w:color w:val="000000"/>
        </w:rPr>
        <w:tab/>
        <w:t xml:space="preserve">Witt J, </w:t>
      </w:r>
      <w:proofErr w:type="spellStart"/>
      <w:r w:rsidRPr="008816E4">
        <w:rPr>
          <w:color w:val="000000"/>
        </w:rPr>
        <w:t>Elwyn</w:t>
      </w:r>
      <w:proofErr w:type="spellEnd"/>
      <w:r w:rsidRPr="008816E4">
        <w:rPr>
          <w:color w:val="000000"/>
        </w:rPr>
        <w:t xml:space="preserve"> G, Wood F, Brain K. Decision making and coping in healthcare: the Coping in Deliberation (CODE) framework. </w:t>
      </w:r>
      <w:r w:rsidRPr="008816E4">
        <w:rPr>
          <w:i/>
          <w:color w:val="000000"/>
        </w:rPr>
        <w:t xml:space="preserve">Patient </w:t>
      </w:r>
      <w:proofErr w:type="spellStart"/>
      <w:r w:rsidRPr="008816E4">
        <w:rPr>
          <w:i/>
          <w:color w:val="000000"/>
        </w:rPr>
        <w:t>Educ</w:t>
      </w:r>
      <w:proofErr w:type="spellEnd"/>
      <w:r w:rsidRPr="008816E4">
        <w:rPr>
          <w:i/>
          <w:color w:val="000000"/>
        </w:rPr>
        <w:t xml:space="preserve"> </w:t>
      </w:r>
      <w:proofErr w:type="spellStart"/>
      <w:r w:rsidRPr="008816E4">
        <w:rPr>
          <w:i/>
          <w:color w:val="000000"/>
        </w:rPr>
        <w:t>Couns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2012</w:t>
      </w:r>
      <w:proofErr w:type="gramStart"/>
      <w:r w:rsidRPr="008816E4">
        <w:rPr>
          <w:color w:val="000000"/>
        </w:rPr>
        <w:t>;88</w:t>
      </w:r>
      <w:proofErr w:type="gramEnd"/>
      <w:r w:rsidRPr="008816E4">
        <w:rPr>
          <w:color w:val="000000"/>
        </w:rPr>
        <w:t>(2):256-261.</w:t>
      </w:r>
    </w:p>
    <w:p w:rsidR="00045757" w:rsidRPr="008816E4" w:rsidRDefault="00045757" w:rsidP="00045757">
      <w:pPr>
        <w:pStyle w:val="Style1"/>
        <w:rPr>
          <w:color w:val="000000"/>
        </w:rPr>
      </w:pPr>
    </w:p>
    <w:p w:rsidR="00045757" w:rsidRPr="008816E4" w:rsidRDefault="00045757" w:rsidP="00045757">
      <w:pPr>
        <w:pStyle w:val="Heading2"/>
        <w:rPr>
          <w:color w:val="000000"/>
        </w:rPr>
      </w:pPr>
      <w:r w:rsidRPr="008816E4">
        <w:rPr>
          <w:color w:val="000000"/>
        </w:rPr>
        <w:t>References records second, grey literature search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C97BAA">
        <w:rPr>
          <w:color w:val="000000"/>
        </w:rPr>
        <w:t>23.</w:t>
      </w:r>
      <w:r w:rsidRPr="00C97BAA">
        <w:rPr>
          <w:color w:val="000000"/>
        </w:rPr>
        <w:tab/>
      </w:r>
      <w:proofErr w:type="spellStart"/>
      <w:r w:rsidRPr="00C97BAA">
        <w:rPr>
          <w:color w:val="000000"/>
        </w:rPr>
        <w:t>Actiz</w:t>
      </w:r>
      <w:proofErr w:type="spellEnd"/>
      <w:r w:rsidRPr="00C97BAA">
        <w:rPr>
          <w:color w:val="000000"/>
        </w:rPr>
        <w:t xml:space="preserve">. </w:t>
      </w:r>
      <w:r w:rsidRPr="002C4C52">
        <w:rPr>
          <w:color w:val="000000"/>
          <w:lang w:val="nl-NL"/>
        </w:rPr>
        <w:t xml:space="preserve">Eigen regie een sociaal begrip: Sleutel in de transitie naar echte participatie. </w:t>
      </w:r>
      <w:proofErr w:type="spellStart"/>
      <w:r w:rsidRPr="002C4C52">
        <w:rPr>
          <w:i/>
          <w:color w:val="000000"/>
          <w:lang w:val="nl-NL"/>
        </w:rPr>
        <w:t>Position</w:t>
      </w:r>
      <w:proofErr w:type="spellEnd"/>
      <w:r w:rsidRPr="002C4C52">
        <w:rPr>
          <w:i/>
          <w:color w:val="000000"/>
          <w:lang w:val="nl-NL"/>
        </w:rPr>
        <w:t xml:space="preserve"> paper eigen regie. </w:t>
      </w:r>
      <w:r w:rsidRPr="002C4C52">
        <w:rPr>
          <w:color w:val="000000"/>
          <w:lang w:val="nl-NL"/>
        </w:rPr>
        <w:t>2014.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24.</w:t>
      </w:r>
      <w:r w:rsidRPr="002C4C52">
        <w:rPr>
          <w:color w:val="000000"/>
          <w:lang w:val="nl-NL"/>
        </w:rPr>
        <w:tab/>
      </w:r>
      <w:proofErr w:type="spellStart"/>
      <w:r w:rsidRPr="002C4C52">
        <w:rPr>
          <w:color w:val="000000"/>
          <w:lang w:val="nl-NL"/>
        </w:rPr>
        <w:t>AlzheimerNederland</w:t>
      </w:r>
      <w:proofErr w:type="spellEnd"/>
      <w:r w:rsidRPr="002C4C52">
        <w:rPr>
          <w:color w:val="000000"/>
          <w:lang w:val="nl-NL"/>
        </w:rPr>
        <w:t>. 10 tips voor het keukentafelgesprek. 2015.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25.</w:t>
      </w:r>
      <w:r w:rsidRPr="002C4C52">
        <w:rPr>
          <w:color w:val="000000"/>
          <w:lang w:val="nl-NL"/>
        </w:rPr>
        <w:tab/>
        <w:t xml:space="preserve">Boshuizen D. Aan de slag met het Individueel </w:t>
      </w:r>
      <w:proofErr w:type="spellStart"/>
      <w:r w:rsidRPr="002C4C52">
        <w:rPr>
          <w:color w:val="000000"/>
          <w:lang w:val="nl-NL"/>
        </w:rPr>
        <w:t>Zorgplamn</w:t>
      </w:r>
      <w:proofErr w:type="spellEnd"/>
      <w:r w:rsidRPr="002C4C52">
        <w:rPr>
          <w:color w:val="000000"/>
          <w:lang w:val="nl-NL"/>
        </w:rPr>
        <w:t xml:space="preserve"> Diabetes. </w:t>
      </w:r>
      <w:proofErr w:type="spellStart"/>
      <w:r w:rsidRPr="002C4C52">
        <w:rPr>
          <w:i/>
          <w:color w:val="000000"/>
          <w:lang w:val="nl-NL"/>
        </w:rPr>
        <w:t>Vilans</w:t>
      </w:r>
      <w:proofErr w:type="spellEnd"/>
      <w:r w:rsidRPr="002C4C52">
        <w:rPr>
          <w:i/>
          <w:color w:val="000000"/>
          <w:lang w:val="nl-NL"/>
        </w:rPr>
        <w:t xml:space="preserve">. </w:t>
      </w:r>
      <w:r w:rsidRPr="002C4C52">
        <w:rPr>
          <w:color w:val="000000"/>
          <w:lang w:val="nl-NL"/>
        </w:rPr>
        <w:t>2012.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26.</w:t>
      </w:r>
      <w:r w:rsidRPr="002C4C52">
        <w:rPr>
          <w:color w:val="000000"/>
          <w:lang w:val="nl-NL"/>
        </w:rPr>
        <w:tab/>
        <w:t xml:space="preserve">Botjes E. Methodebeschrijving </w:t>
      </w:r>
      <w:proofErr w:type="spellStart"/>
      <w:r w:rsidRPr="002C4C52">
        <w:rPr>
          <w:color w:val="000000"/>
          <w:lang w:val="nl-NL"/>
        </w:rPr>
        <w:t>EigenKrachtWijzer</w:t>
      </w:r>
      <w:proofErr w:type="spellEnd"/>
      <w:r w:rsidRPr="002C4C52">
        <w:rPr>
          <w:color w:val="000000"/>
          <w:lang w:val="nl-NL"/>
        </w:rPr>
        <w:t xml:space="preserve">: Databank Effectieve sociale interventies. </w:t>
      </w:r>
      <w:proofErr w:type="spellStart"/>
      <w:r w:rsidRPr="002C4C52">
        <w:rPr>
          <w:i/>
          <w:color w:val="000000"/>
          <w:lang w:val="nl-NL"/>
        </w:rPr>
        <w:t>Movisie</w:t>
      </w:r>
      <w:proofErr w:type="spellEnd"/>
      <w:r w:rsidRPr="002C4C52">
        <w:rPr>
          <w:i/>
          <w:color w:val="000000"/>
          <w:lang w:val="nl-NL"/>
        </w:rPr>
        <w:t xml:space="preserve">. </w:t>
      </w:r>
      <w:r w:rsidRPr="008816E4">
        <w:rPr>
          <w:color w:val="000000"/>
        </w:rPr>
        <w:t>2013.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8816E4">
        <w:rPr>
          <w:color w:val="000000"/>
        </w:rPr>
        <w:t>27.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Bult</w:t>
      </w:r>
      <w:proofErr w:type="spellEnd"/>
      <w:r w:rsidRPr="008816E4">
        <w:rPr>
          <w:color w:val="000000"/>
        </w:rPr>
        <w:t xml:space="preserve"> MK, </w:t>
      </w:r>
      <w:proofErr w:type="spellStart"/>
      <w:r w:rsidRPr="008816E4">
        <w:rPr>
          <w:color w:val="000000"/>
        </w:rPr>
        <w:t>Verschuren</w:t>
      </w:r>
      <w:proofErr w:type="spellEnd"/>
      <w:r w:rsidRPr="008816E4">
        <w:rPr>
          <w:color w:val="000000"/>
        </w:rPr>
        <w:t xml:space="preserve"> O, </w:t>
      </w:r>
      <w:proofErr w:type="spellStart"/>
      <w:r w:rsidRPr="008816E4">
        <w:rPr>
          <w:color w:val="000000"/>
        </w:rPr>
        <w:t>Gorter</w:t>
      </w:r>
      <w:proofErr w:type="spellEnd"/>
      <w:r w:rsidRPr="008816E4">
        <w:rPr>
          <w:color w:val="000000"/>
        </w:rPr>
        <w:t xml:space="preserve"> JW, </w:t>
      </w:r>
      <w:proofErr w:type="spellStart"/>
      <w:r w:rsidRPr="008816E4">
        <w:rPr>
          <w:color w:val="000000"/>
        </w:rPr>
        <w:t>Jongmans</w:t>
      </w:r>
      <w:proofErr w:type="spellEnd"/>
      <w:r w:rsidRPr="008816E4">
        <w:rPr>
          <w:color w:val="000000"/>
        </w:rPr>
        <w:t xml:space="preserve"> MJ, </w:t>
      </w:r>
      <w:proofErr w:type="spellStart"/>
      <w:r w:rsidRPr="008816E4">
        <w:rPr>
          <w:color w:val="000000"/>
        </w:rPr>
        <w:t>Piskur</w:t>
      </w:r>
      <w:proofErr w:type="spellEnd"/>
      <w:r w:rsidRPr="008816E4">
        <w:rPr>
          <w:color w:val="000000"/>
        </w:rPr>
        <w:t xml:space="preserve"> B, </w:t>
      </w:r>
      <w:proofErr w:type="spellStart"/>
      <w:r w:rsidRPr="008816E4">
        <w:rPr>
          <w:color w:val="000000"/>
        </w:rPr>
        <w:t>Ketelaar</w:t>
      </w:r>
      <w:proofErr w:type="spellEnd"/>
      <w:r w:rsidRPr="008816E4">
        <w:rPr>
          <w:color w:val="000000"/>
        </w:rPr>
        <w:t xml:space="preserve"> M. Cross-cultural validation and psychometric evaluation of the Dutch language version of the Children's Assessment of Participation and Enjoyment (CAPE) in children with and without physical disabilities. </w:t>
      </w:r>
      <w:proofErr w:type="spellStart"/>
      <w:r w:rsidRPr="002C4C52">
        <w:rPr>
          <w:i/>
          <w:color w:val="000000"/>
          <w:lang w:val="nl-NL"/>
        </w:rPr>
        <w:t>Clin</w:t>
      </w:r>
      <w:proofErr w:type="spellEnd"/>
      <w:r w:rsidRPr="002C4C52">
        <w:rPr>
          <w:i/>
          <w:color w:val="000000"/>
          <w:lang w:val="nl-NL"/>
        </w:rPr>
        <w:t xml:space="preserve"> </w:t>
      </w:r>
      <w:proofErr w:type="spellStart"/>
      <w:r w:rsidRPr="002C4C52">
        <w:rPr>
          <w:i/>
          <w:color w:val="000000"/>
          <w:lang w:val="nl-NL"/>
        </w:rPr>
        <w:t>Rehabil</w:t>
      </w:r>
      <w:proofErr w:type="spellEnd"/>
      <w:r w:rsidRPr="002C4C52">
        <w:rPr>
          <w:i/>
          <w:color w:val="000000"/>
          <w:lang w:val="nl-NL"/>
        </w:rPr>
        <w:t xml:space="preserve">. </w:t>
      </w:r>
      <w:r w:rsidRPr="002C4C52">
        <w:rPr>
          <w:color w:val="000000"/>
          <w:lang w:val="nl-NL"/>
        </w:rPr>
        <w:t>2010;24(9):843-853.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28.</w:t>
      </w:r>
      <w:r w:rsidRPr="002C4C52">
        <w:rPr>
          <w:color w:val="000000"/>
          <w:lang w:val="nl-NL"/>
        </w:rPr>
        <w:tab/>
        <w:t xml:space="preserve">Cicero. Wensboom - Werkwijze. </w:t>
      </w:r>
      <w:proofErr w:type="spellStart"/>
      <w:r w:rsidRPr="002C4C52">
        <w:rPr>
          <w:i/>
          <w:color w:val="000000"/>
          <w:lang w:val="nl-NL"/>
        </w:rPr>
        <w:t>Vilans</w:t>
      </w:r>
      <w:proofErr w:type="spellEnd"/>
      <w:r w:rsidRPr="002C4C52">
        <w:rPr>
          <w:i/>
          <w:color w:val="000000"/>
          <w:lang w:val="nl-NL"/>
        </w:rPr>
        <w:t xml:space="preserve">. </w:t>
      </w:r>
      <w:r w:rsidRPr="002C4C52">
        <w:rPr>
          <w:color w:val="000000"/>
          <w:lang w:val="nl-NL"/>
        </w:rPr>
        <w:t>2019.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29.</w:t>
      </w:r>
      <w:r w:rsidRPr="002C4C52">
        <w:rPr>
          <w:color w:val="000000"/>
          <w:lang w:val="nl-NL"/>
        </w:rPr>
        <w:tab/>
        <w:t xml:space="preserve">CZ. </w:t>
      </w:r>
      <w:proofErr w:type="spellStart"/>
      <w:r w:rsidRPr="002C4C52">
        <w:rPr>
          <w:color w:val="000000"/>
          <w:lang w:val="nl-NL"/>
        </w:rPr>
        <w:t>ZoWel</w:t>
      </w:r>
      <w:proofErr w:type="spellEnd"/>
      <w:r w:rsidRPr="002C4C52">
        <w:rPr>
          <w:color w:val="000000"/>
          <w:lang w:val="nl-NL"/>
        </w:rPr>
        <w:t xml:space="preserve"> Model. </w:t>
      </w:r>
      <w:proofErr w:type="spellStart"/>
      <w:r w:rsidRPr="002C4C52">
        <w:rPr>
          <w:i/>
          <w:color w:val="000000"/>
          <w:lang w:val="nl-NL"/>
        </w:rPr>
        <w:t>CZnl</w:t>
      </w:r>
      <w:proofErr w:type="spellEnd"/>
      <w:r w:rsidRPr="002C4C52">
        <w:rPr>
          <w:i/>
          <w:color w:val="000000"/>
          <w:lang w:val="nl-NL"/>
        </w:rPr>
        <w:t xml:space="preserve"> Alles voor betere zorg. </w:t>
      </w:r>
      <w:r w:rsidRPr="002C4C52">
        <w:rPr>
          <w:color w:val="000000"/>
          <w:lang w:val="nl-NL"/>
        </w:rPr>
        <w:t>2013.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2C4C52">
        <w:rPr>
          <w:color w:val="000000"/>
          <w:lang w:val="nl-NL"/>
        </w:rPr>
        <w:t>30.</w:t>
      </w:r>
      <w:r w:rsidRPr="002C4C52">
        <w:rPr>
          <w:color w:val="000000"/>
          <w:lang w:val="nl-NL"/>
        </w:rPr>
        <w:tab/>
        <w:t xml:space="preserve">Daniëls R, Vogelzang F, de Boer J. Handreiking Gezamenlijke besluitvorming over doelen en zorgafspraken. </w:t>
      </w:r>
      <w:r w:rsidRPr="002C4C52">
        <w:rPr>
          <w:i/>
          <w:color w:val="000000"/>
          <w:lang w:val="nl-NL"/>
        </w:rPr>
        <w:t xml:space="preserve">Ineen. </w:t>
      </w:r>
      <w:r w:rsidRPr="002C4C52">
        <w:rPr>
          <w:color w:val="000000"/>
          <w:lang w:val="nl-NL"/>
        </w:rPr>
        <w:t>2017.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31.</w:t>
      </w:r>
      <w:r w:rsidRPr="002C4C52">
        <w:rPr>
          <w:color w:val="000000"/>
          <w:lang w:val="nl-NL"/>
        </w:rPr>
        <w:tab/>
      </w:r>
      <w:proofErr w:type="spellStart"/>
      <w:r w:rsidRPr="002C4C52">
        <w:rPr>
          <w:color w:val="000000"/>
          <w:lang w:val="nl-NL"/>
        </w:rPr>
        <w:t>DeHart&amp;Vaatgroep</w:t>
      </w:r>
      <w:proofErr w:type="spellEnd"/>
      <w:r w:rsidRPr="002C4C52">
        <w:rPr>
          <w:color w:val="000000"/>
          <w:lang w:val="nl-NL"/>
        </w:rPr>
        <w:t>. Individueel Zorgplan Hartfalen. 2017.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32.</w:t>
      </w:r>
      <w:r w:rsidRPr="002C4C52">
        <w:rPr>
          <w:color w:val="000000"/>
          <w:lang w:val="nl-NL"/>
        </w:rPr>
        <w:tab/>
        <w:t xml:space="preserve">de Jong Y, Schutte W, van Tienhoven P. Wensen, verwachtingen en grenzen in de driehoek. </w:t>
      </w:r>
      <w:proofErr w:type="spellStart"/>
      <w:r w:rsidRPr="008816E4">
        <w:rPr>
          <w:i/>
          <w:color w:val="000000"/>
        </w:rPr>
        <w:t>Vilans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2019.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C97BAA">
        <w:rPr>
          <w:color w:val="000000"/>
          <w:lang w:val="nl-NL"/>
        </w:rPr>
        <w:t>33.</w:t>
      </w:r>
      <w:r w:rsidRPr="00C97BAA">
        <w:rPr>
          <w:color w:val="000000"/>
          <w:lang w:val="nl-NL"/>
        </w:rPr>
        <w:tab/>
      </w:r>
      <w:proofErr w:type="spellStart"/>
      <w:r w:rsidRPr="00C97BAA">
        <w:rPr>
          <w:color w:val="000000"/>
          <w:lang w:val="nl-NL"/>
        </w:rPr>
        <w:t>Erdman</w:t>
      </w:r>
      <w:proofErr w:type="spellEnd"/>
      <w:r w:rsidRPr="00C97BAA">
        <w:rPr>
          <w:color w:val="000000"/>
          <w:lang w:val="nl-NL"/>
        </w:rPr>
        <w:t xml:space="preserve"> RA, </w:t>
      </w:r>
      <w:proofErr w:type="spellStart"/>
      <w:r w:rsidRPr="00C97BAA">
        <w:rPr>
          <w:color w:val="000000"/>
          <w:lang w:val="nl-NL"/>
        </w:rPr>
        <w:t>Passchier</w:t>
      </w:r>
      <w:proofErr w:type="spellEnd"/>
      <w:r w:rsidRPr="00C97BAA">
        <w:rPr>
          <w:color w:val="000000"/>
          <w:lang w:val="nl-NL"/>
        </w:rPr>
        <w:t xml:space="preserve"> J, Kooijman M, </w:t>
      </w:r>
      <w:proofErr w:type="spellStart"/>
      <w:r w:rsidRPr="00C97BAA">
        <w:rPr>
          <w:color w:val="000000"/>
          <w:lang w:val="nl-NL"/>
        </w:rPr>
        <w:t>Stronks</w:t>
      </w:r>
      <w:proofErr w:type="spellEnd"/>
      <w:r w:rsidRPr="00C97BAA">
        <w:rPr>
          <w:color w:val="000000"/>
          <w:lang w:val="nl-NL"/>
        </w:rPr>
        <w:t xml:space="preserve"> DL. </w:t>
      </w:r>
      <w:r w:rsidRPr="008816E4">
        <w:rPr>
          <w:color w:val="000000"/>
        </w:rPr>
        <w:t xml:space="preserve">The Dutch version of the Nottingham Health Profile: investigations of psychometric aspects. </w:t>
      </w:r>
      <w:proofErr w:type="spellStart"/>
      <w:r w:rsidRPr="008816E4">
        <w:rPr>
          <w:i/>
          <w:color w:val="000000"/>
        </w:rPr>
        <w:t>Psychol</w:t>
      </w:r>
      <w:proofErr w:type="spellEnd"/>
      <w:r w:rsidRPr="008816E4">
        <w:rPr>
          <w:i/>
          <w:color w:val="000000"/>
        </w:rPr>
        <w:t xml:space="preserve"> Rep. </w:t>
      </w:r>
      <w:r w:rsidRPr="008816E4">
        <w:rPr>
          <w:color w:val="000000"/>
        </w:rPr>
        <w:t>1993</w:t>
      </w:r>
      <w:proofErr w:type="gramStart"/>
      <w:r w:rsidRPr="008816E4">
        <w:rPr>
          <w:color w:val="000000"/>
        </w:rPr>
        <w:t>;72</w:t>
      </w:r>
      <w:proofErr w:type="gramEnd"/>
      <w:r w:rsidRPr="008816E4">
        <w:rPr>
          <w:color w:val="000000"/>
        </w:rPr>
        <w:t>(3 Pt 1):1027-1035.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34.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Fougeyrollas</w:t>
      </w:r>
      <w:proofErr w:type="spellEnd"/>
      <w:r w:rsidRPr="008816E4">
        <w:rPr>
          <w:color w:val="000000"/>
        </w:rPr>
        <w:t xml:space="preserve"> P, </w:t>
      </w:r>
      <w:proofErr w:type="spellStart"/>
      <w:r w:rsidRPr="008816E4">
        <w:rPr>
          <w:color w:val="000000"/>
        </w:rPr>
        <w:t>Noreau</w:t>
      </w:r>
      <w:proofErr w:type="spellEnd"/>
      <w:r w:rsidRPr="008816E4">
        <w:rPr>
          <w:color w:val="000000"/>
        </w:rPr>
        <w:t xml:space="preserve"> L, Bergeron H, </w:t>
      </w:r>
      <w:proofErr w:type="spellStart"/>
      <w:r w:rsidRPr="008816E4">
        <w:rPr>
          <w:color w:val="000000"/>
        </w:rPr>
        <w:t>Cloutier</w:t>
      </w:r>
      <w:proofErr w:type="spellEnd"/>
      <w:r w:rsidRPr="008816E4">
        <w:rPr>
          <w:color w:val="000000"/>
        </w:rPr>
        <w:t xml:space="preserve"> R, Dion SA, St-Michel G. Social consequences of long term impairments and disabilities: conceptual approach and assessment of handicap. </w:t>
      </w:r>
      <w:proofErr w:type="spellStart"/>
      <w:r w:rsidRPr="008816E4">
        <w:rPr>
          <w:i/>
          <w:color w:val="000000"/>
        </w:rPr>
        <w:t>Int</w:t>
      </w:r>
      <w:proofErr w:type="spellEnd"/>
      <w:r w:rsidRPr="008816E4">
        <w:rPr>
          <w:i/>
          <w:color w:val="000000"/>
        </w:rPr>
        <w:t xml:space="preserve"> J </w:t>
      </w:r>
      <w:proofErr w:type="spellStart"/>
      <w:r w:rsidRPr="008816E4">
        <w:rPr>
          <w:i/>
          <w:color w:val="000000"/>
        </w:rPr>
        <w:t>Rehabil</w:t>
      </w:r>
      <w:proofErr w:type="spellEnd"/>
      <w:r w:rsidRPr="008816E4">
        <w:rPr>
          <w:i/>
          <w:color w:val="000000"/>
        </w:rPr>
        <w:t xml:space="preserve"> Res. </w:t>
      </w:r>
      <w:r w:rsidRPr="008816E4">
        <w:rPr>
          <w:color w:val="000000"/>
        </w:rPr>
        <w:t>1998</w:t>
      </w:r>
      <w:proofErr w:type="gramStart"/>
      <w:r w:rsidRPr="008816E4">
        <w:rPr>
          <w:color w:val="000000"/>
        </w:rPr>
        <w:t>;21</w:t>
      </w:r>
      <w:proofErr w:type="gramEnd"/>
      <w:r w:rsidRPr="008816E4">
        <w:rPr>
          <w:color w:val="000000"/>
        </w:rPr>
        <w:t>(2):127-141.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35.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Fugl</w:t>
      </w:r>
      <w:proofErr w:type="spellEnd"/>
      <w:r w:rsidRPr="008816E4">
        <w:rPr>
          <w:color w:val="000000"/>
        </w:rPr>
        <w:t xml:space="preserve">-Meyer AR, </w:t>
      </w:r>
      <w:proofErr w:type="spellStart"/>
      <w:r w:rsidRPr="008816E4">
        <w:rPr>
          <w:color w:val="000000"/>
        </w:rPr>
        <w:t>Branholm</w:t>
      </w:r>
      <w:proofErr w:type="spellEnd"/>
      <w:r w:rsidRPr="008816E4">
        <w:rPr>
          <w:color w:val="000000"/>
        </w:rPr>
        <w:t xml:space="preserve"> I-B, </w:t>
      </w:r>
      <w:proofErr w:type="spellStart"/>
      <w:r w:rsidRPr="008816E4">
        <w:rPr>
          <w:color w:val="000000"/>
        </w:rPr>
        <w:t>Fugl</w:t>
      </w:r>
      <w:proofErr w:type="spellEnd"/>
      <w:r w:rsidRPr="008816E4">
        <w:rPr>
          <w:color w:val="000000"/>
        </w:rPr>
        <w:t xml:space="preserve">-Meyer KS. Happiness and domain-specific life satisfaction in adult northern Swedes. </w:t>
      </w:r>
      <w:r w:rsidRPr="008816E4">
        <w:rPr>
          <w:i/>
          <w:color w:val="000000"/>
        </w:rPr>
        <w:t xml:space="preserve">Clinical Rehabilitation. </w:t>
      </w:r>
      <w:r w:rsidRPr="008816E4">
        <w:rPr>
          <w:color w:val="000000"/>
        </w:rPr>
        <w:t>1991</w:t>
      </w:r>
      <w:proofErr w:type="gramStart"/>
      <w:r w:rsidRPr="008816E4">
        <w:rPr>
          <w:color w:val="000000"/>
        </w:rPr>
        <w:t>;5:25</w:t>
      </w:r>
      <w:proofErr w:type="gramEnd"/>
      <w:r w:rsidRPr="008816E4">
        <w:rPr>
          <w:color w:val="000000"/>
        </w:rPr>
        <w:t>-33.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8816E4">
        <w:rPr>
          <w:color w:val="000000"/>
        </w:rPr>
        <w:lastRenderedPageBreak/>
        <w:t>36.</w:t>
      </w:r>
      <w:r w:rsidRPr="008816E4">
        <w:rPr>
          <w:color w:val="000000"/>
        </w:rPr>
        <w:tab/>
        <w:t xml:space="preserve">Jacobs HM, </w:t>
      </w:r>
      <w:proofErr w:type="spellStart"/>
      <w:r w:rsidRPr="008816E4">
        <w:rPr>
          <w:color w:val="000000"/>
        </w:rPr>
        <w:t>Luttik</w:t>
      </w:r>
      <w:proofErr w:type="spellEnd"/>
      <w:r w:rsidRPr="008816E4">
        <w:rPr>
          <w:color w:val="000000"/>
        </w:rPr>
        <w:t xml:space="preserve"> A, </w:t>
      </w:r>
      <w:proofErr w:type="spellStart"/>
      <w:r w:rsidRPr="008816E4">
        <w:rPr>
          <w:color w:val="000000"/>
        </w:rPr>
        <w:t>Touw</w:t>
      </w:r>
      <w:proofErr w:type="spellEnd"/>
      <w:r w:rsidRPr="008816E4">
        <w:rPr>
          <w:color w:val="000000"/>
        </w:rPr>
        <w:t xml:space="preserve">-Otten FW, de </w:t>
      </w:r>
      <w:proofErr w:type="spellStart"/>
      <w:r w:rsidRPr="008816E4">
        <w:rPr>
          <w:color w:val="000000"/>
        </w:rPr>
        <w:t>Melker</w:t>
      </w:r>
      <w:proofErr w:type="spellEnd"/>
      <w:r w:rsidRPr="008816E4">
        <w:rPr>
          <w:color w:val="000000"/>
        </w:rPr>
        <w:t xml:space="preserve"> RA. [The sickness impact profile; results of an evaluation study of the Dutch version]. </w:t>
      </w:r>
      <w:proofErr w:type="spellStart"/>
      <w:r w:rsidRPr="002C4C52">
        <w:rPr>
          <w:i/>
          <w:color w:val="000000"/>
          <w:lang w:val="nl-NL"/>
        </w:rPr>
        <w:t>Ned</w:t>
      </w:r>
      <w:proofErr w:type="spellEnd"/>
      <w:r w:rsidRPr="002C4C52">
        <w:rPr>
          <w:i/>
          <w:color w:val="000000"/>
          <w:lang w:val="nl-NL"/>
        </w:rPr>
        <w:t xml:space="preserve"> </w:t>
      </w:r>
      <w:proofErr w:type="spellStart"/>
      <w:r w:rsidRPr="002C4C52">
        <w:rPr>
          <w:i/>
          <w:color w:val="000000"/>
          <w:lang w:val="nl-NL"/>
        </w:rPr>
        <w:t>Tijdschr</w:t>
      </w:r>
      <w:proofErr w:type="spellEnd"/>
      <w:r w:rsidRPr="002C4C52">
        <w:rPr>
          <w:i/>
          <w:color w:val="000000"/>
          <w:lang w:val="nl-NL"/>
        </w:rPr>
        <w:t xml:space="preserve"> </w:t>
      </w:r>
      <w:proofErr w:type="spellStart"/>
      <w:r w:rsidRPr="002C4C52">
        <w:rPr>
          <w:i/>
          <w:color w:val="000000"/>
          <w:lang w:val="nl-NL"/>
        </w:rPr>
        <w:t>Geneeskd</w:t>
      </w:r>
      <w:proofErr w:type="spellEnd"/>
      <w:r w:rsidRPr="002C4C52">
        <w:rPr>
          <w:i/>
          <w:color w:val="000000"/>
          <w:lang w:val="nl-NL"/>
        </w:rPr>
        <w:t xml:space="preserve">. </w:t>
      </w:r>
      <w:r w:rsidRPr="002C4C52">
        <w:rPr>
          <w:color w:val="000000"/>
          <w:lang w:val="nl-NL"/>
        </w:rPr>
        <w:t>1990;134(40):1950-1954.</w:t>
      </w:r>
    </w:p>
    <w:p w:rsidR="00045757" w:rsidRPr="002C4C52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2C4C52">
        <w:rPr>
          <w:color w:val="000000"/>
          <w:lang w:val="nl-NL"/>
        </w:rPr>
        <w:t>37.</w:t>
      </w:r>
      <w:r w:rsidRPr="002C4C52">
        <w:rPr>
          <w:color w:val="000000"/>
          <w:lang w:val="nl-NL"/>
        </w:rPr>
        <w:tab/>
      </w:r>
      <w:proofErr w:type="spellStart"/>
      <w:r w:rsidRPr="002C4C52">
        <w:rPr>
          <w:color w:val="000000"/>
          <w:lang w:val="nl-NL"/>
        </w:rPr>
        <w:t>Lauriks</w:t>
      </w:r>
      <w:proofErr w:type="spellEnd"/>
      <w:r w:rsidRPr="002C4C52">
        <w:rPr>
          <w:color w:val="000000"/>
          <w:lang w:val="nl-NL"/>
        </w:rPr>
        <w:t xml:space="preserve"> S, </w:t>
      </w:r>
      <w:proofErr w:type="spellStart"/>
      <w:r w:rsidRPr="002C4C52">
        <w:rPr>
          <w:color w:val="000000"/>
          <w:lang w:val="nl-NL"/>
        </w:rPr>
        <w:t>Buster</w:t>
      </w:r>
      <w:proofErr w:type="spellEnd"/>
      <w:r w:rsidRPr="002C4C52">
        <w:rPr>
          <w:color w:val="000000"/>
          <w:lang w:val="nl-NL"/>
        </w:rPr>
        <w:t xml:space="preserve"> MCA, De Wit MAS, van de Weerd S, Tigchelaar G, </w:t>
      </w:r>
      <w:proofErr w:type="spellStart"/>
      <w:r w:rsidRPr="002C4C52">
        <w:rPr>
          <w:color w:val="000000"/>
          <w:lang w:val="nl-NL"/>
        </w:rPr>
        <w:t>Fassaert</w:t>
      </w:r>
      <w:proofErr w:type="spellEnd"/>
      <w:r w:rsidRPr="002C4C52">
        <w:rPr>
          <w:color w:val="000000"/>
          <w:lang w:val="nl-NL"/>
        </w:rPr>
        <w:t xml:space="preserve"> T. Zelfredzaamheid-Matrix. </w:t>
      </w:r>
      <w:r w:rsidRPr="002C4C52">
        <w:rPr>
          <w:i/>
          <w:color w:val="000000"/>
          <w:lang w:val="nl-NL"/>
        </w:rPr>
        <w:t xml:space="preserve">GGD Amsterdam. </w:t>
      </w:r>
      <w:r w:rsidRPr="002C4C52">
        <w:rPr>
          <w:color w:val="000000"/>
          <w:lang w:val="nl-NL"/>
        </w:rPr>
        <w:t>2013.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38.</w:t>
      </w:r>
      <w:r w:rsidRPr="002C4C52">
        <w:rPr>
          <w:color w:val="000000"/>
          <w:lang w:val="nl-NL"/>
        </w:rPr>
        <w:tab/>
      </w:r>
      <w:proofErr w:type="spellStart"/>
      <w:r w:rsidRPr="002C4C52">
        <w:rPr>
          <w:color w:val="000000"/>
          <w:lang w:val="nl-NL"/>
        </w:rPr>
        <w:t>Meppelder</w:t>
      </w:r>
      <w:proofErr w:type="spellEnd"/>
      <w:r w:rsidRPr="002C4C52">
        <w:rPr>
          <w:color w:val="000000"/>
          <w:lang w:val="nl-NL"/>
        </w:rPr>
        <w:t xml:space="preserve"> M, Engels J, van Tienhoven P, Vermunt P, Hofman C. Op weg naar meer persoonsgerichte zorg een methodiek. </w:t>
      </w:r>
      <w:proofErr w:type="spellStart"/>
      <w:r w:rsidRPr="008816E4">
        <w:rPr>
          <w:i/>
          <w:color w:val="000000"/>
        </w:rPr>
        <w:t>Vilans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2017.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39.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Nieboer</w:t>
      </w:r>
      <w:proofErr w:type="spellEnd"/>
      <w:r w:rsidRPr="008816E4">
        <w:rPr>
          <w:color w:val="000000"/>
        </w:rPr>
        <w:t xml:space="preserve"> AP, </w:t>
      </w:r>
      <w:proofErr w:type="spellStart"/>
      <w:r w:rsidRPr="008816E4">
        <w:rPr>
          <w:color w:val="000000"/>
        </w:rPr>
        <w:t>Cramm</w:t>
      </w:r>
      <w:proofErr w:type="spellEnd"/>
      <w:r w:rsidRPr="008816E4">
        <w:rPr>
          <w:color w:val="000000"/>
        </w:rPr>
        <w:t xml:space="preserve"> JM, van der Meij B, </w:t>
      </w:r>
      <w:proofErr w:type="spellStart"/>
      <w:r w:rsidRPr="008816E4">
        <w:rPr>
          <w:color w:val="000000"/>
        </w:rPr>
        <w:t>Huijsman</w:t>
      </w:r>
      <w:proofErr w:type="spellEnd"/>
      <w:r w:rsidRPr="008816E4">
        <w:rPr>
          <w:color w:val="000000"/>
        </w:rPr>
        <w:t xml:space="preserve"> R. Choice processes and satisfaction with care according to parents of children and young adults with intellectual disability in The Netherlands. </w:t>
      </w:r>
      <w:r w:rsidRPr="008816E4">
        <w:rPr>
          <w:i/>
          <w:color w:val="000000"/>
        </w:rPr>
        <w:t xml:space="preserve">J Intellect Dev </w:t>
      </w:r>
      <w:proofErr w:type="spellStart"/>
      <w:r w:rsidRPr="008816E4">
        <w:rPr>
          <w:i/>
          <w:color w:val="000000"/>
        </w:rPr>
        <w:t>Disabil</w:t>
      </w:r>
      <w:proofErr w:type="spellEnd"/>
      <w:r w:rsidRPr="008816E4">
        <w:rPr>
          <w:i/>
          <w:color w:val="000000"/>
        </w:rPr>
        <w:t xml:space="preserve">. </w:t>
      </w:r>
      <w:r w:rsidRPr="008816E4">
        <w:rPr>
          <w:color w:val="000000"/>
        </w:rPr>
        <w:t>2011</w:t>
      </w:r>
      <w:proofErr w:type="gramStart"/>
      <w:r w:rsidRPr="008816E4">
        <w:rPr>
          <w:color w:val="000000"/>
        </w:rPr>
        <w:t>;36</w:t>
      </w:r>
      <w:proofErr w:type="gramEnd"/>
      <w:r w:rsidRPr="008816E4">
        <w:rPr>
          <w:color w:val="000000"/>
        </w:rPr>
        <w:t>(2):127-136.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40.</w:t>
      </w:r>
      <w:r w:rsidRPr="008816E4">
        <w:rPr>
          <w:color w:val="000000"/>
        </w:rPr>
        <w:tab/>
      </w:r>
      <w:proofErr w:type="spellStart"/>
      <w:r w:rsidRPr="008816E4">
        <w:rPr>
          <w:color w:val="000000"/>
        </w:rPr>
        <w:t>Schuurmans</w:t>
      </w:r>
      <w:proofErr w:type="spellEnd"/>
      <w:r w:rsidRPr="008816E4">
        <w:rPr>
          <w:color w:val="000000"/>
        </w:rPr>
        <w:t xml:space="preserve"> H, </w:t>
      </w:r>
      <w:proofErr w:type="spellStart"/>
      <w:r w:rsidRPr="008816E4">
        <w:rPr>
          <w:color w:val="000000"/>
        </w:rPr>
        <w:t>Steverink</w:t>
      </w:r>
      <w:proofErr w:type="spellEnd"/>
      <w:r w:rsidRPr="008816E4">
        <w:rPr>
          <w:color w:val="000000"/>
        </w:rPr>
        <w:t xml:space="preserve"> N, </w:t>
      </w:r>
      <w:proofErr w:type="spellStart"/>
      <w:r w:rsidRPr="008816E4">
        <w:rPr>
          <w:color w:val="000000"/>
        </w:rPr>
        <w:t>Frieswijk</w:t>
      </w:r>
      <w:proofErr w:type="spellEnd"/>
      <w:r w:rsidRPr="008816E4">
        <w:rPr>
          <w:color w:val="000000"/>
        </w:rPr>
        <w:t xml:space="preserve"> N, </w:t>
      </w:r>
      <w:proofErr w:type="spellStart"/>
      <w:r w:rsidRPr="008816E4">
        <w:rPr>
          <w:color w:val="000000"/>
        </w:rPr>
        <w:t>Buunk</w:t>
      </w:r>
      <w:proofErr w:type="spellEnd"/>
      <w:r w:rsidRPr="008816E4">
        <w:rPr>
          <w:color w:val="000000"/>
        </w:rPr>
        <w:t xml:space="preserve"> BP, </w:t>
      </w:r>
      <w:proofErr w:type="spellStart"/>
      <w:r w:rsidRPr="008816E4">
        <w:rPr>
          <w:color w:val="000000"/>
        </w:rPr>
        <w:t>Slaets</w:t>
      </w:r>
      <w:proofErr w:type="spellEnd"/>
      <w:r w:rsidRPr="008816E4">
        <w:rPr>
          <w:color w:val="000000"/>
        </w:rPr>
        <w:t xml:space="preserve"> JP, </w:t>
      </w:r>
      <w:proofErr w:type="spellStart"/>
      <w:r w:rsidRPr="008816E4">
        <w:rPr>
          <w:color w:val="000000"/>
        </w:rPr>
        <w:t>Lindenberg</w:t>
      </w:r>
      <w:proofErr w:type="spellEnd"/>
      <w:r w:rsidRPr="008816E4">
        <w:rPr>
          <w:color w:val="000000"/>
        </w:rPr>
        <w:t xml:space="preserve"> S. How to measure self-management abilities in older people by self-report. The development of the SMAS-30. </w:t>
      </w:r>
      <w:proofErr w:type="spellStart"/>
      <w:r w:rsidRPr="008816E4">
        <w:rPr>
          <w:i/>
          <w:color w:val="000000"/>
        </w:rPr>
        <w:t>Qual</w:t>
      </w:r>
      <w:proofErr w:type="spellEnd"/>
      <w:r w:rsidRPr="008816E4">
        <w:rPr>
          <w:i/>
          <w:color w:val="000000"/>
        </w:rPr>
        <w:t xml:space="preserve"> Life Res. </w:t>
      </w:r>
      <w:r w:rsidRPr="008816E4">
        <w:rPr>
          <w:color w:val="000000"/>
        </w:rPr>
        <w:t>2005</w:t>
      </w:r>
      <w:proofErr w:type="gramStart"/>
      <w:r w:rsidRPr="008816E4">
        <w:rPr>
          <w:color w:val="000000"/>
        </w:rPr>
        <w:t>;14</w:t>
      </w:r>
      <w:proofErr w:type="gramEnd"/>
      <w:r w:rsidRPr="008816E4">
        <w:rPr>
          <w:color w:val="000000"/>
        </w:rPr>
        <w:t>(10):2215-2228.</w:t>
      </w:r>
    </w:p>
    <w:p w:rsidR="00045757" w:rsidRPr="008816E4" w:rsidRDefault="00045757" w:rsidP="00045757">
      <w:pPr>
        <w:pStyle w:val="Style1"/>
        <w:ind w:left="705" w:hanging="705"/>
        <w:rPr>
          <w:color w:val="000000"/>
        </w:rPr>
      </w:pPr>
      <w:r w:rsidRPr="008816E4">
        <w:rPr>
          <w:color w:val="000000"/>
        </w:rPr>
        <w:t>41.</w:t>
      </w:r>
      <w:r w:rsidRPr="008816E4">
        <w:rPr>
          <w:color w:val="000000"/>
        </w:rPr>
        <w:tab/>
        <w:t xml:space="preserve">Span M, Smits C, </w:t>
      </w:r>
      <w:proofErr w:type="spellStart"/>
      <w:r w:rsidRPr="008816E4">
        <w:rPr>
          <w:color w:val="000000"/>
        </w:rPr>
        <w:t>Groen</w:t>
      </w:r>
      <w:proofErr w:type="spellEnd"/>
      <w:r w:rsidRPr="008816E4">
        <w:rPr>
          <w:color w:val="000000"/>
        </w:rPr>
        <w:t xml:space="preserve">-van de </w:t>
      </w:r>
      <w:proofErr w:type="spellStart"/>
      <w:r w:rsidRPr="008816E4">
        <w:rPr>
          <w:color w:val="000000"/>
        </w:rPr>
        <w:t>Ven</w:t>
      </w:r>
      <w:proofErr w:type="spellEnd"/>
      <w:r w:rsidRPr="008816E4">
        <w:rPr>
          <w:color w:val="000000"/>
        </w:rPr>
        <w:t xml:space="preserve"> L, et al. Towards an interactive web tool that supports shared decision-making in dementia: identifying user requirements. </w:t>
      </w:r>
      <w:r w:rsidRPr="008816E4">
        <w:rPr>
          <w:i/>
          <w:color w:val="000000"/>
        </w:rPr>
        <w:t xml:space="preserve">International Journal on Advances in Life Sciences. </w:t>
      </w:r>
      <w:r w:rsidRPr="008816E4">
        <w:rPr>
          <w:color w:val="000000"/>
        </w:rPr>
        <w:t>2014</w:t>
      </w:r>
      <w:proofErr w:type="gramStart"/>
      <w:r w:rsidRPr="008816E4">
        <w:rPr>
          <w:color w:val="000000"/>
        </w:rPr>
        <w:t>;6</w:t>
      </w:r>
      <w:proofErr w:type="gramEnd"/>
      <w:r w:rsidRPr="008816E4">
        <w:rPr>
          <w:color w:val="000000"/>
        </w:rPr>
        <w:t>(3&amp;4).</w:t>
      </w:r>
    </w:p>
    <w:p w:rsidR="00045757" w:rsidRPr="00045757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C97BAA">
        <w:rPr>
          <w:color w:val="000000"/>
          <w:lang w:val="nl-NL"/>
        </w:rPr>
        <w:t>42.</w:t>
      </w:r>
      <w:r w:rsidRPr="00C97BAA">
        <w:rPr>
          <w:color w:val="000000"/>
          <w:lang w:val="nl-NL"/>
        </w:rPr>
        <w:tab/>
        <w:t xml:space="preserve">van Bergen A-M. </w:t>
      </w:r>
      <w:r w:rsidRPr="002C4C52">
        <w:rPr>
          <w:color w:val="000000"/>
          <w:lang w:val="nl-NL"/>
        </w:rPr>
        <w:t xml:space="preserve">Een model voor vraagverheldering en toegang tot voorzieningen. </w:t>
      </w:r>
      <w:r w:rsidRPr="00045757">
        <w:rPr>
          <w:i/>
          <w:color w:val="000000"/>
          <w:lang w:val="nl-NL"/>
        </w:rPr>
        <w:t xml:space="preserve">MOVISIE. </w:t>
      </w:r>
      <w:r w:rsidRPr="00045757">
        <w:rPr>
          <w:color w:val="000000"/>
          <w:lang w:val="nl-NL"/>
        </w:rPr>
        <w:t>2012.</w:t>
      </w:r>
    </w:p>
    <w:p w:rsidR="00045757" w:rsidRPr="00045757" w:rsidRDefault="00045757" w:rsidP="00045757">
      <w:pPr>
        <w:pStyle w:val="Style1"/>
        <w:ind w:left="705" w:hanging="705"/>
        <w:rPr>
          <w:color w:val="000000"/>
          <w:lang w:val="nl-NL"/>
        </w:rPr>
      </w:pPr>
      <w:r w:rsidRPr="002C4C52">
        <w:rPr>
          <w:color w:val="000000"/>
          <w:lang w:val="nl-NL"/>
        </w:rPr>
        <w:t>43.</w:t>
      </w:r>
      <w:r w:rsidRPr="002C4C52">
        <w:rPr>
          <w:color w:val="000000"/>
          <w:lang w:val="nl-NL"/>
        </w:rPr>
        <w:tab/>
        <w:t xml:space="preserve">van de Pol MH, Fluit CR, </w:t>
      </w:r>
      <w:proofErr w:type="spellStart"/>
      <w:r w:rsidRPr="002C4C52">
        <w:rPr>
          <w:color w:val="000000"/>
          <w:lang w:val="nl-NL"/>
        </w:rPr>
        <w:t>Lagro</w:t>
      </w:r>
      <w:proofErr w:type="spellEnd"/>
      <w:r w:rsidRPr="002C4C52">
        <w:rPr>
          <w:color w:val="000000"/>
          <w:lang w:val="nl-NL"/>
        </w:rPr>
        <w:t xml:space="preserve"> J, </w:t>
      </w:r>
      <w:proofErr w:type="spellStart"/>
      <w:r w:rsidRPr="002C4C52">
        <w:rPr>
          <w:color w:val="000000"/>
          <w:lang w:val="nl-NL"/>
        </w:rPr>
        <w:t>Slaats</w:t>
      </w:r>
      <w:proofErr w:type="spellEnd"/>
      <w:r w:rsidRPr="002C4C52">
        <w:rPr>
          <w:color w:val="000000"/>
          <w:lang w:val="nl-NL"/>
        </w:rPr>
        <w:t xml:space="preserve"> YH, Olde Rikkert MG, </w:t>
      </w:r>
      <w:proofErr w:type="spellStart"/>
      <w:r w:rsidRPr="002C4C52">
        <w:rPr>
          <w:color w:val="000000"/>
          <w:lang w:val="nl-NL"/>
        </w:rPr>
        <w:t>Lagro</w:t>
      </w:r>
      <w:proofErr w:type="spellEnd"/>
      <w:r w:rsidRPr="002C4C52">
        <w:rPr>
          <w:color w:val="000000"/>
          <w:lang w:val="nl-NL"/>
        </w:rPr>
        <w:t xml:space="preserve">-Janssen AL. </w:t>
      </w:r>
      <w:r w:rsidRPr="008816E4">
        <w:rPr>
          <w:color w:val="000000"/>
        </w:rPr>
        <w:t xml:space="preserve">Expert and patient consensus on a dynamic model for shared decision-making in frail older patients. </w:t>
      </w:r>
      <w:proofErr w:type="spellStart"/>
      <w:r w:rsidRPr="00045757">
        <w:rPr>
          <w:i/>
          <w:color w:val="000000"/>
          <w:lang w:val="nl-NL"/>
        </w:rPr>
        <w:t>Patient</w:t>
      </w:r>
      <w:proofErr w:type="spellEnd"/>
      <w:r w:rsidRPr="00045757">
        <w:rPr>
          <w:i/>
          <w:color w:val="000000"/>
          <w:lang w:val="nl-NL"/>
        </w:rPr>
        <w:t xml:space="preserve"> </w:t>
      </w:r>
      <w:proofErr w:type="spellStart"/>
      <w:r w:rsidRPr="00045757">
        <w:rPr>
          <w:i/>
          <w:color w:val="000000"/>
          <w:lang w:val="nl-NL"/>
        </w:rPr>
        <w:t>Educ</w:t>
      </w:r>
      <w:proofErr w:type="spellEnd"/>
      <w:r w:rsidRPr="00045757">
        <w:rPr>
          <w:i/>
          <w:color w:val="000000"/>
          <w:lang w:val="nl-NL"/>
        </w:rPr>
        <w:t xml:space="preserve"> </w:t>
      </w:r>
      <w:proofErr w:type="spellStart"/>
      <w:r w:rsidRPr="00045757">
        <w:rPr>
          <w:i/>
          <w:color w:val="000000"/>
          <w:lang w:val="nl-NL"/>
        </w:rPr>
        <w:t>Couns</w:t>
      </w:r>
      <w:proofErr w:type="spellEnd"/>
      <w:r w:rsidRPr="00045757">
        <w:rPr>
          <w:i/>
          <w:color w:val="000000"/>
          <w:lang w:val="nl-NL"/>
        </w:rPr>
        <w:t xml:space="preserve">. </w:t>
      </w:r>
      <w:r w:rsidRPr="00045757">
        <w:rPr>
          <w:color w:val="000000"/>
          <w:lang w:val="nl-NL"/>
        </w:rPr>
        <w:t>2016;99(6):1069-1077.</w:t>
      </w:r>
    </w:p>
    <w:p w:rsidR="00045757" w:rsidRPr="002C4C52" w:rsidRDefault="00045757" w:rsidP="00045757">
      <w:pPr>
        <w:pStyle w:val="Style1"/>
        <w:rPr>
          <w:color w:val="000000"/>
          <w:lang w:val="nl-NL"/>
        </w:rPr>
      </w:pPr>
      <w:r w:rsidRPr="002C4C52">
        <w:rPr>
          <w:color w:val="000000"/>
          <w:lang w:val="nl-NL"/>
        </w:rPr>
        <w:t>44.</w:t>
      </w:r>
      <w:r w:rsidRPr="002C4C52">
        <w:rPr>
          <w:color w:val="000000"/>
          <w:lang w:val="nl-NL"/>
        </w:rPr>
        <w:tab/>
        <w:t xml:space="preserve">Vlek H. Plan van eigen generiek Individueel </w:t>
      </w:r>
      <w:proofErr w:type="spellStart"/>
      <w:r w:rsidRPr="002C4C52">
        <w:rPr>
          <w:color w:val="000000"/>
          <w:lang w:val="nl-NL"/>
        </w:rPr>
        <w:t>ZorgPlan</w:t>
      </w:r>
      <w:proofErr w:type="spellEnd"/>
      <w:r w:rsidRPr="002C4C52">
        <w:rPr>
          <w:color w:val="000000"/>
          <w:lang w:val="nl-NL"/>
        </w:rPr>
        <w:t xml:space="preserve">. </w:t>
      </w:r>
      <w:proofErr w:type="spellStart"/>
      <w:r w:rsidRPr="002C4C52">
        <w:rPr>
          <w:i/>
          <w:color w:val="000000"/>
          <w:lang w:val="nl-NL"/>
        </w:rPr>
        <w:t>Vilans</w:t>
      </w:r>
      <w:proofErr w:type="spellEnd"/>
      <w:r w:rsidRPr="002C4C52">
        <w:rPr>
          <w:i/>
          <w:color w:val="000000"/>
          <w:lang w:val="nl-NL"/>
        </w:rPr>
        <w:t xml:space="preserve">. </w:t>
      </w:r>
      <w:proofErr w:type="gramStart"/>
      <w:r w:rsidRPr="002C4C52">
        <w:rPr>
          <w:color w:val="000000"/>
          <w:lang w:val="nl-NL"/>
        </w:rPr>
        <w:t>2014;januari</w:t>
      </w:r>
      <w:proofErr w:type="gramEnd"/>
      <w:r w:rsidRPr="002C4C52">
        <w:rPr>
          <w:color w:val="000000"/>
          <w:lang w:val="nl-NL"/>
        </w:rPr>
        <w:t>.</w:t>
      </w:r>
    </w:p>
    <w:p w:rsidR="00C97BAA" w:rsidRDefault="00045757" w:rsidP="00045757">
      <w:pPr>
        <w:pStyle w:val="Style1"/>
        <w:ind w:left="705" w:hanging="705"/>
        <w:rPr>
          <w:color w:val="000000"/>
        </w:rPr>
      </w:pPr>
      <w:r w:rsidRPr="002C4C52">
        <w:rPr>
          <w:color w:val="000000"/>
          <w:lang w:val="nl-NL"/>
        </w:rPr>
        <w:t>45.</w:t>
      </w:r>
      <w:r w:rsidRPr="002C4C52">
        <w:rPr>
          <w:color w:val="000000"/>
          <w:lang w:val="nl-NL"/>
        </w:rPr>
        <w:tab/>
        <w:t xml:space="preserve">Wolf JRLM. </w:t>
      </w:r>
      <w:proofErr w:type="spellStart"/>
      <w:r w:rsidRPr="002C4C52">
        <w:rPr>
          <w:i/>
          <w:color w:val="000000"/>
          <w:lang w:val="nl-NL"/>
        </w:rPr>
        <w:t>Kracthwerk</w:t>
      </w:r>
      <w:proofErr w:type="spellEnd"/>
      <w:r w:rsidRPr="002C4C52">
        <w:rPr>
          <w:i/>
          <w:color w:val="000000"/>
          <w:lang w:val="nl-NL"/>
        </w:rPr>
        <w:t>: Methodisch werken aan participatie en zelfregie.</w:t>
      </w:r>
      <w:r w:rsidRPr="002C4C52">
        <w:rPr>
          <w:color w:val="000000"/>
          <w:lang w:val="nl-NL"/>
        </w:rPr>
        <w:t xml:space="preserve"> </w:t>
      </w:r>
      <w:proofErr w:type="gramStart"/>
      <w:r w:rsidRPr="008816E4">
        <w:rPr>
          <w:color w:val="000000"/>
        </w:rPr>
        <w:t>2</w:t>
      </w:r>
      <w:proofErr w:type="gramEnd"/>
      <w:r w:rsidRPr="008816E4">
        <w:rPr>
          <w:color w:val="000000"/>
        </w:rPr>
        <w:t xml:space="preserve"> ed. </w:t>
      </w:r>
      <w:proofErr w:type="spellStart"/>
      <w:r w:rsidRPr="008816E4">
        <w:rPr>
          <w:color w:val="000000"/>
        </w:rPr>
        <w:t>Bussum</w:t>
      </w:r>
      <w:proofErr w:type="spellEnd"/>
      <w:r w:rsidRPr="008816E4">
        <w:rPr>
          <w:color w:val="000000"/>
        </w:rPr>
        <w:t xml:space="preserve">: </w:t>
      </w:r>
      <w:proofErr w:type="spellStart"/>
      <w:r w:rsidRPr="008816E4">
        <w:rPr>
          <w:color w:val="000000"/>
        </w:rPr>
        <w:t>Uitgeverij</w:t>
      </w:r>
      <w:proofErr w:type="spellEnd"/>
      <w:r w:rsidRPr="008816E4">
        <w:rPr>
          <w:color w:val="000000"/>
        </w:rPr>
        <w:t xml:space="preserve"> </w:t>
      </w:r>
      <w:proofErr w:type="spellStart"/>
      <w:r w:rsidRPr="008816E4">
        <w:rPr>
          <w:color w:val="000000"/>
        </w:rPr>
        <w:t>Coutinho</w:t>
      </w:r>
      <w:proofErr w:type="spellEnd"/>
      <w:r w:rsidRPr="008816E4">
        <w:rPr>
          <w:color w:val="000000"/>
        </w:rPr>
        <w:t>; 2016.</w:t>
      </w:r>
    </w:p>
    <w:p w:rsidR="00C97BAA" w:rsidRDefault="00C97BAA" w:rsidP="00C97BAA">
      <w:pPr>
        <w:rPr>
          <w:rFonts w:ascii="Arial" w:hAnsi="Arial" w:cs="Arial"/>
          <w:sz w:val="20"/>
          <w:szCs w:val="20"/>
        </w:rPr>
      </w:pPr>
      <w:r>
        <w:br w:type="page"/>
      </w:r>
    </w:p>
    <w:p w:rsidR="00C97BAA" w:rsidRPr="008816E4" w:rsidRDefault="00C97BAA" w:rsidP="00C97BAA">
      <w:pPr>
        <w:pStyle w:val="Heading1"/>
        <w:rPr>
          <w:color w:val="000000"/>
        </w:rPr>
      </w:pPr>
      <w:r>
        <w:rPr>
          <w:color w:val="000000"/>
        </w:rPr>
        <w:lastRenderedPageBreak/>
        <w:t>Supplementary</w:t>
      </w:r>
      <w:r w:rsidRPr="008816E4">
        <w:rPr>
          <w:color w:val="000000"/>
        </w:rPr>
        <w:t xml:space="preserve"> file 2</w:t>
      </w:r>
    </w:p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816E4">
        <w:rPr>
          <w:rFonts w:ascii="Arial" w:hAnsi="Arial" w:cs="Arial"/>
          <w:color w:val="000000"/>
          <w:sz w:val="20"/>
          <w:szCs w:val="20"/>
        </w:rPr>
        <w:t xml:space="preserve">From the literature overview, five models </w:t>
      </w:r>
      <w:proofErr w:type="gramStart"/>
      <w:r w:rsidRPr="008816E4">
        <w:rPr>
          <w:rFonts w:ascii="Arial" w:hAnsi="Arial" w:cs="Arial"/>
          <w:color w:val="000000"/>
          <w:sz w:val="20"/>
          <w:szCs w:val="20"/>
        </w:rPr>
        <w:t>are explored</w:t>
      </w:r>
      <w:proofErr w:type="gramEnd"/>
      <w:r w:rsidRPr="008816E4">
        <w:rPr>
          <w:rFonts w:ascii="Arial" w:hAnsi="Arial" w:cs="Arial"/>
          <w:color w:val="000000"/>
          <w:sz w:val="20"/>
          <w:szCs w:val="20"/>
        </w:rPr>
        <w:t xml:space="preserve"> in further detail. These models </w:t>
      </w:r>
      <w:proofErr w:type="gramStart"/>
      <w:r w:rsidRPr="008816E4">
        <w:rPr>
          <w:rFonts w:ascii="Arial" w:hAnsi="Arial" w:cs="Arial"/>
          <w:color w:val="000000"/>
          <w:sz w:val="20"/>
          <w:szCs w:val="20"/>
        </w:rPr>
        <w:t>are all used</w:t>
      </w:r>
      <w:proofErr w:type="gramEnd"/>
      <w:r w:rsidRPr="008816E4">
        <w:rPr>
          <w:rFonts w:ascii="Arial" w:hAnsi="Arial" w:cs="Arial"/>
          <w:color w:val="000000"/>
          <w:sz w:val="20"/>
          <w:szCs w:val="20"/>
        </w:rPr>
        <w:t xml:space="preserve"> in healthcare setting and have a focus on preference elicitation. From these models the five domains, ‘Health’, ‘Daily life’, ‘Family and friends’, ‘Living’, and ‘Finances’, are determined. Table 3-7 show the domains with the definitions and/or proposed content of each model.</w:t>
      </w:r>
    </w:p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7BAA" w:rsidRPr="008816E4" w:rsidRDefault="00C97BAA" w:rsidP="00C97BAA">
      <w:pPr>
        <w:pStyle w:val="Caption"/>
        <w:keepNext/>
        <w:spacing w:after="0" w:line="480" w:lineRule="auto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 xml:space="preserve">Table </w: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begin"/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instrText xml:space="preserve"> SEQ Table \* ARABIC </w:instrTex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separate"/>
      </w:r>
      <w:proofErr w:type="gramStart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>3</w:t>
      </w:r>
      <w:proofErr w:type="gramEnd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end"/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The model </w:t>
      </w:r>
      <w:r w:rsidRPr="008816E4">
        <w:rPr>
          <w:rFonts w:ascii="Arial" w:hAnsi="Arial" w:cs="Arial"/>
          <w:color w:val="000000"/>
          <w:sz w:val="20"/>
          <w:szCs w:val="20"/>
        </w:rPr>
        <w:t>Positive Health</w:t>
      </w:r>
      <w:r>
        <w:rPr>
          <w:rFonts w:ascii="Arial" w:hAnsi="Arial" w:cs="Arial"/>
          <w:i w:val="0"/>
          <w:color w:val="000000"/>
          <w:sz w:val="20"/>
          <w:szCs w:val="20"/>
          <w:vertAlign w:val="superscript"/>
        </w:rPr>
        <w:t>1</w:t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for the elicitation of preferences obtained from the literature with all domains and proposed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2950"/>
        <w:gridCol w:w="3826"/>
      </w:tblGrid>
      <w:tr w:rsidR="00C97BAA" w:rsidRPr="008816E4" w:rsidTr="00FD6B9B">
        <w:tc>
          <w:tcPr>
            <w:tcW w:w="171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Definition/proposed content</w:t>
            </w:r>
          </w:p>
        </w:tc>
      </w:tr>
      <w:tr w:rsidR="00C97BAA" w:rsidRPr="008816E4" w:rsidTr="00FD6B9B">
        <w:trPr>
          <w:trHeight w:val="45"/>
        </w:trPr>
        <w:tc>
          <w:tcPr>
            <w:tcW w:w="1712" w:type="dxa"/>
            <w:vMerge w:val="restart"/>
          </w:tcPr>
          <w:p w:rsidR="00C97BAA" w:rsidRPr="008816E4" w:rsidRDefault="00C97BAA" w:rsidP="00C97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i/>
                <w:color w:val="000000"/>
                <w:sz w:val="20"/>
                <w:szCs w:val="20"/>
              </w:rPr>
              <w:t>Positive Health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Physical functions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The medical facts, observations, physical functioning, symptoms and pain, and energy</w:t>
            </w:r>
          </w:p>
        </w:tc>
      </w:tr>
      <w:tr w:rsidR="00C97BAA" w:rsidRPr="008816E4" w:rsidTr="00FD6B9B">
        <w:trPr>
          <w:trHeight w:val="44"/>
        </w:trPr>
        <w:tc>
          <w:tcPr>
            <w:tcW w:w="1712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Mental functions and perception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The cognitive functioning and emotional state, self-respect, manageability and self-management, and resilience</w:t>
            </w:r>
          </w:p>
        </w:tc>
      </w:tr>
      <w:tr w:rsidR="00C97BAA" w:rsidRPr="008816E4" w:rsidTr="00FD6B9B">
        <w:trPr>
          <w:trHeight w:val="44"/>
        </w:trPr>
        <w:tc>
          <w:tcPr>
            <w:tcW w:w="1712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Spiritual/existential dimension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Meaning or mindfulness, striving for goals, future, and acceptance</w:t>
            </w:r>
          </w:p>
        </w:tc>
      </w:tr>
      <w:tr w:rsidR="00C97BAA" w:rsidRPr="008816E4" w:rsidTr="00FD6B9B">
        <w:trPr>
          <w:trHeight w:val="44"/>
        </w:trPr>
        <w:tc>
          <w:tcPr>
            <w:tcW w:w="1712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Quality of life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Well-being, experiencing happiness and enjoyment, perceived health, zest for life, and balance</w:t>
            </w:r>
          </w:p>
        </w:tc>
      </w:tr>
      <w:tr w:rsidR="00C97BAA" w:rsidRPr="008816E4" w:rsidTr="00FD6B9B">
        <w:trPr>
          <w:trHeight w:val="44"/>
        </w:trPr>
        <w:tc>
          <w:tcPr>
            <w:tcW w:w="1712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Social participation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Social skills, meaningful relationships and contacts, experience being accepted, community involvement, and work</w:t>
            </w:r>
          </w:p>
        </w:tc>
      </w:tr>
      <w:tr w:rsidR="00C97BAA" w:rsidRPr="008816E4" w:rsidTr="00FD6B9B">
        <w:trPr>
          <w:trHeight w:val="44"/>
        </w:trPr>
        <w:tc>
          <w:tcPr>
            <w:tcW w:w="1712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5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Daily functioning</w:t>
            </w:r>
          </w:p>
        </w:tc>
        <w:tc>
          <w:tcPr>
            <w:tcW w:w="382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Basic and instrumental daily activities, ability to work, and health literacy</w:t>
            </w:r>
          </w:p>
        </w:tc>
      </w:tr>
    </w:tbl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7BAA" w:rsidRPr="008816E4" w:rsidRDefault="00C97BAA" w:rsidP="00C97BAA">
      <w:pPr>
        <w:pStyle w:val="Caption"/>
        <w:keepNext/>
        <w:spacing w:after="0" w:line="480" w:lineRule="auto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 xml:space="preserve">Table </w: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begin"/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instrText xml:space="preserve"> SEQ Table \* ARABIC </w:instrTex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separate"/>
      </w:r>
      <w:proofErr w:type="gramStart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>4</w:t>
      </w:r>
      <w:proofErr w:type="gramEnd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end"/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The model </w:t>
      </w:r>
      <w:r w:rsidRPr="008816E4">
        <w:rPr>
          <w:rFonts w:ascii="Arial" w:hAnsi="Arial" w:cs="Arial"/>
          <w:color w:val="000000"/>
          <w:sz w:val="20"/>
          <w:szCs w:val="20"/>
        </w:rPr>
        <w:t>Four-Circles</w:t>
      </w:r>
      <w:r>
        <w:rPr>
          <w:rFonts w:ascii="Arial" w:hAnsi="Arial" w:cs="Arial"/>
          <w:i w:val="0"/>
          <w:color w:val="000000"/>
          <w:sz w:val="20"/>
          <w:szCs w:val="20"/>
          <w:vertAlign w:val="superscript"/>
        </w:rPr>
        <w:t>2</w:t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for the elicitation of preferences obtained from the literature with all domains and proposed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7"/>
        <w:gridCol w:w="2919"/>
        <w:gridCol w:w="3832"/>
      </w:tblGrid>
      <w:tr w:rsidR="00C97BAA" w:rsidRPr="008816E4" w:rsidTr="00FD6B9B">
        <w:trPr>
          <w:trHeight w:val="67"/>
        </w:trPr>
        <w:tc>
          <w:tcPr>
            <w:tcW w:w="1737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91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83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Definition/proposed content</w:t>
            </w:r>
          </w:p>
        </w:tc>
      </w:tr>
      <w:tr w:rsidR="00C97BAA" w:rsidRPr="008816E4" w:rsidTr="00FD6B9B">
        <w:trPr>
          <w:trHeight w:val="67"/>
        </w:trPr>
        <w:tc>
          <w:tcPr>
            <w:tcW w:w="1737" w:type="dxa"/>
            <w:vMerge w:val="restart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i/>
                <w:color w:val="000000"/>
                <w:sz w:val="20"/>
                <w:szCs w:val="20"/>
              </w:rPr>
              <w:t>Four-Circles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91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My health</w:t>
            </w:r>
          </w:p>
        </w:tc>
        <w:tc>
          <w:tcPr>
            <w:tcW w:w="383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Medical symptoms, state of health , balance, coping, and complying to treatments</w:t>
            </w:r>
          </w:p>
        </w:tc>
      </w:tr>
      <w:tr w:rsidR="00C97BAA" w:rsidRPr="008816E4" w:rsidTr="00FD6B9B">
        <w:trPr>
          <w:trHeight w:val="66"/>
        </w:trPr>
        <w:tc>
          <w:tcPr>
            <w:tcW w:w="173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My activities</w:t>
            </w:r>
          </w:p>
        </w:tc>
        <w:tc>
          <w:tcPr>
            <w:tcW w:w="383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Difficulties in undertaking activities in everyday life or work and desire to support in doing activities</w:t>
            </w:r>
          </w:p>
        </w:tc>
      </w:tr>
      <w:tr w:rsidR="00C97BAA" w:rsidRPr="008816E4" w:rsidTr="00FD6B9B">
        <w:trPr>
          <w:trHeight w:val="66"/>
        </w:trPr>
        <w:tc>
          <w:tcPr>
            <w:tcW w:w="173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My own way</w:t>
            </w:r>
          </w:p>
        </w:tc>
        <w:tc>
          <w:tcPr>
            <w:tcW w:w="383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Self-management, coping, and desire to support own capabilities to solve difficulties</w:t>
            </w:r>
          </w:p>
        </w:tc>
      </w:tr>
      <w:tr w:rsidR="00C97BAA" w:rsidRPr="008816E4" w:rsidTr="00FD6B9B">
        <w:trPr>
          <w:trHeight w:val="66"/>
        </w:trPr>
        <w:tc>
          <w:tcPr>
            <w:tcW w:w="173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My environment</w:t>
            </w:r>
          </w:p>
        </w:tc>
        <w:tc>
          <w:tcPr>
            <w:tcW w:w="383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Desired for support of people/relatives, the client’s life role, social and physical/housing environment, and aids</w:t>
            </w:r>
          </w:p>
        </w:tc>
      </w:tr>
    </w:tbl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7BAA" w:rsidRPr="008816E4" w:rsidRDefault="00C97BAA" w:rsidP="00C97BAA">
      <w:pPr>
        <w:pStyle w:val="Caption"/>
        <w:keepNext/>
        <w:spacing w:after="0" w:line="480" w:lineRule="auto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 xml:space="preserve">Table </w: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begin"/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instrText xml:space="preserve"> SEQ Table \* ARABIC </w:instrTex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separate"/>
      </w:r>
      <w:proofErr w:type="gramStart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>5</w:t>
      </w:r>
      <w:proofErr w:type="gramEnd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end"/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The model </w:t>
      </w:r>
      <w:r w:rsidRPr="008816E4">
        <w:rPr>
          <w:rFonts w:ascii="Arial" w:hAnsi="Arial" w:cs="Arial"/>
          <w:color w:val="000000"/>
          <w:sz w:val="20"/>
          <w:szCs w:val="20"/>
        </w:rPr>
        <w:t>Pathways to empowerment</w:t>
      </w:r>
      <w:r>
        <w:rPr>
          <w:rFonts w:ascii="Arial" w:hAnsi="Arial" w:cs="Arial"/>
          <w:i w:val="0"/>
          <w:color w:val="000000"/>
          <w:sz w:val="20"/>
          <w:szCs w:val="20"/>
          <w:vertAlign w:val="superscript"/>
        </w:rPr>
        <w:t>3</w:t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for the elicitation of preferences obtained from the literature with all domains and proposed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916"/>
        <w:gridCol w:w="3805"/>
      </w:tblGrid>
      <w:tr w:rsidR="00C97BAA" w:rsidRPr="008816E4" w:rsidTr="00FD6B9B">
        <w:trPr>
          <w:trHeight w:val="31"/>
        </w:trPr>
        <w:tc>
          <w:tcPr>
            <w:tcW w:w="1767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Definition/proposed content</w:t>
            </w:r>
          </w:p>
        </w:tc>
      </w:tr>
      <w:tr w:rsidR="00C97BAA" w:rsidRPr="008816E4" w:rsidTr="00FD6B9B">
        <w:trPr>
          <w:trHeight w:val="31"/>
        </w:trPr>
        <w:tc>
          <w:tcPr>
            <w:tcW w:w="1767" w:type="dxa"/>
            <w:vMerge w:val="restart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i/>
                <w:color w:val="000000"/>
                <w:sz w:val="20"/>
                <w:szCs w:val="20"/>
              </w:rPr>
              <w:t>Pathways to empowerment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Housing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Living environment, desires for pleasant housing, and living situation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Employment and education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Current daily (volunteering) work or education, ambitions, and done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Social relationships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Personal and social aid, social environment and ambitions, and social support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Children and child rearing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Family members, children and care of your children, needed support now, and support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Health and self-care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Physical and mental health state, desires for the future, and support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Finances and social security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Current financial sources and aid, income, budget management, social security, administration, and support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Leisure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Activities and recreation (outdoor, sport, social, individual, intellectual, cultural, meditative, relaxing, handicrafts), desires to undertake activities, and activities done in the past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(Ex-)Partner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 xml:space="preserve">Relationships, the meaning of having  a partner, and of past relationships 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Purpose in life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Spirituality, meaningful or inspiring activities, religion, and rituals</w:t>
            </w:r>
          </w:p>
        </w:tc>
      </w:tr>
      <w:tr w:rsidR="00C97BAA" w:rsidRPr="008816E4" w:rsidTr="00FD6B9B">
        <w:trPr>
          <w:trHeight w:val="26"/>
        </w:trPr>
        <w:tc>
          <w:tcPr>
            <w:tcW w:w="1767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16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Safety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Feeling of safety, need for help to be/feel safe, and safe/unsafe situations in the past</w:t>
            </w:r>
          </w:p>
        </w:tc>
      </w:tr>
    </w:tbl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7BAA" w:rsidRPr="008816E4" w:rsidRDefault="00C97BAA" w:rsidP="00C97BAA">
      <w:pPr>
        <w:pStyle w:val="Caption"/>
        <w:keepNext/>
        <w:spacing w:after="0" w:line="480" w:lineRule="auto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 xml:space="preserve">Table </w: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begin"/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instrText xml:space="preserve"> SEQ Table \* ARABIC </w:instrTex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separate"/>
      </w:r>
      <w:proofErr w:type="gramStart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>6</w:t>
      </w:r>
      <w:proofErr w:type="gramEnd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end"/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The model </w:t>
      </w:r>
      <w:r w:rsidRPr="008816E4">
        <w:rPr>
          <w:rFonts w:ascii="Arial" w:hAnsi="Arial" w:cs="Arial"/>
          <w:color w:val="000000"/>
          <w:sz w:val="20"/>
          <w:szCs w:val="20"/>
        </w:rPr>
        <w:t>ZoWel</w:t>
      </w:r>
      <w:r>
        <w:rPr>
          <w:rFonts w:ascii="Arial" w:hAnsi="Arial" w:cs="Arial"/>
          <w:i w:val="0"/>
          <w:color w:val="000000"/>
          <w:sz w:val="20"/>
          <w:szCs w:val="20"/>
          <w:vertAlign w:val="superscript"/>
        </w:rPr>
        <w:t>4</w:t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for the elicitation of preferences obtained from the literature with all domains and proposed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2929"/>
        <w:gridCol w:w="3830"/>
      </w:tblGrid>
      <w:tr w:rsidR="00C97BAA" w:rsidRPr="008816E4" w:rsidTr="00FD6B9B">
        <w:trPr>
          <w:trHeight w:val="53"/>
        </w:trPr>
        <w:tc>
          <w:tcPr>
            <w:tcW w:w="17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Definition/proposed content</w:t>
            </w:r>
          </w:p>
        </w:tc>
      </w:tr>
      <w:tr w:rsidR="00C97BAA" w:rsidRPr="008816E4" w:rsidTr="00FD6B9B">
        <w:trPr>
          <w:trHeight w:val="53"/>
        </w:trPr>
        <w:tc>
          <w:tcPr>
            <w:tcW w:w="1729" w:type="dxa"/>
            <w:vMerge w:val="restart"/>
          </w:tcPr>
          <w:p w:rsidR="00C97BAA" w:rsidRPr="008816E4" w:rsidRDefault="00C97BAA" w:rsidP="00C97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i/>
                <w:color w:val="000000"/>
                <w:sz w:val="20"/>
                <w:szCs w:val="20"/>
              </w:rPr>
              <w:t>ZoWel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Self-reliance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Information and education, self-monitoring, lifestyle interventions, making choices independently, and living independently</w:t>
            </w:r>
          </w:p>
        </w:tc>
      </w:tr>
      <w:tr w:rsidR="00C97BAA" w:rsidRPr="008816E4" w:rsidTr="00FD6B9B">
        <w:trPr>
          <w:trHeight w:val="53"/>
        </w:trPr>
        <w:tc>
          <w:tcPr>
            <w:tcW w:w="1729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Medical status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The diagnoses and medication</w:t>
            </w:r>
          </w:p>
        </w:tc>
      </w:tr>
      <w:tr w:rsidR="00C97BAA" w:rsidRPr="008816E4" w:rsidTr="00FD6B9B">
        <w:trPr>
          <w:trHeight w:val="53"/>
        </w:trPr>
        <w:tc>
          <w:tcPr>
            <w:tcW w:w="1729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All day activities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 xml:space="preserve">Which activities can someone undertake independently, and wishes to do activities and support needed </w:t>
            </w:r>
          </w:p>
        </w:tc>
      </w:tr>
      <w:tr w:rsidR="00C97BAA" w:rsidRPr="008816E4" w:rsidTr="00FD6B9B">
        <w:trPr>
          <w:trHeight w:val="53"/>
        </w:trPr>
        <w:tc>
          <w:tcPr>
            <w:tcW w:w="1729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Societal participation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Ability to be active in society</w:t>
            </w:r>
          </w:p>
        </w:tc>
      </w:tr>
      <w:tr w:rsidR="00C97BAA" w:rsidRPr="008816E4" w:rsidTr="00FD6B9B">
        <w:trPr>
          <w:trHeight w:val="53"/>
        </w:trPr>
        <w:tc>
          <w:tcPr>
            <w:tcW w:w="1729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29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Lifestyle</w:t>
            </w:r>
          </w:p>
        </w:tc>
        <w:tc>
          <w:tcPr>
            <w:tcW w:w="3830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The environment, support needed  with living, economic status, and educational level and work</w:t>
            </w:r>
          </w:p>
        </w:tc>
      </w:tr>
    </w:tbl>
    <w:p w:rsidR="00C97BAA" w:rsidRPr="008816E4" w:rsidRDefault="00C97BAA" w:rsidP="00C97BAA">
      <w:pPr>
        <w:spacing w:line="48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97BAA" w:rsidRPr="008816E4" w:rsidRDefault="00C97BAA" w:rsidP="00C97BAA">
      <w:pPr>
        <w:pStyle w:val="Caption"/>
        <w:keepNext/>
        <w:spacing w:after="0" w:line="480" w:lineRule="auto"/>
        <w:jc w:val="both"/>
        <w:rPr>
          <w:rFonts w:ascii="Arial" w:hAnsi="Arial" w:cs="Arial"/>
          <w:i w:val="0"/>
          <w:color w:val="000000"/>
          <w:sz w:val="20"/>
          <w:szCs w:val="20"/>
        </w:rPr>
      </w:pP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 xml:space="preserve">Table </w: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begin"/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instrText xml:space="preserve"> SEQ Table \* ARABIC </w:instrText>
      </w:r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separate"/>
      </w:r>
      <w:proofErr w:type="gramStart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t>7</w:t>
      </w:r>
      <w:proofErr w:type="gramEnd"/>
      <w:r w:rsidRPr="008816E4">
        <w:rPr>
          <w:rFonts w:ascii="Arial" w:hAnsi="Arial" w:cs="Arial"/>
          <w:b/>
          <w:i w:val="0"/>
          <w:color w:val="000000"/>
          <w:sz w:val="20"/>
          <w:szCs w:val="20"/>
        </w:rPr>
        <w:fldChar w:fldCharType="end"/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The model </w:t>
      </w:r>
      <w:r w:rsidRPr="008816E4">
        <w:rPr>
          <w:rFonts w:ascii="Arial" w:hAnsi="Arial" w:cs="Arial"/>
          <w:color w:val="000000"/>
          <w:sz w:val="20"/>
          <w:szCs w:val="20"/>
        </w:rPr>
        <w:t>Counselling in Dialogue</w:t>
      </w:r>
      <w:r>
        <w:rPr>
          <w:rFonts w:ascii="Arial" w:hAnsi="Arial" w:cs="Arial"/>
          <w:i w:val="0"/>
          <w:color w:val="000000"/>
          <w:sz w:val="20"/>
          <w:szCs w:val="20"/>
          <w:vertAlign w:val="superscript"/>
        </w:rPr>
        <w:t>5</w:t>
      </w:r>
      <w:r w:rsidRPr="008816E4">
        <w:rPr>
          <w:rFonts w:ascii="Arial" w:hAnsi="Arial" w:cs="Arial"/>
          <w:i w:val="0"/>
          <w:color w:val="000000"/>
          <w:sz w:val="20"/>
          <w:szCs w:val="20"/>
        </w:rPr>
        <w:t xml:space="preserve"> for the elicitation of preferences obtained from the literature with all domains and proposed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1"/>
        <w:gridCol w:w="2892"/>
        <w:gridCol w:w="3805"/>
      </w:tblGrid>
      <w:tr w:rsidR="00C97BAA" w:rsidRPr="008816E4" w:rsidTr="00FD6B9B">
        <w:trPr>
          <w:trHeight w:val="53"/>
        </w:trPr>
        <w:tc>
          <w:tcPr>
            <w:tcW w:w="1791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Definition/proposed content</w:t>
            </w:r>
          </w:p>
        </w:tc>
      </w:tr>
      <w:tr w:rsidR="00C97BAA" w:rsidRPr="008816E4" w:rsidTr="00FD6B9B">
        <w:trPr>
          <w:trHeight w:val="53"/>
        </w:trPr>
        <w:tc>
          <w:tcPr>
            <w:tcW w:w="1791" w:type="dxa"/>
            <w:vMerge w:val="restart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i/>
                <w:color w:val="000000"/>
                <w:sz w:val="20"/>
                <w:szCs w:val="20"/>
              </w:rPr>
              <w:t>Counselling in Dialogue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Relations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Environment, education, social relationships, and family</w:t>
            </w:r>
          </w:p>
        </w:tc>
      </w:tr>
      <w:tr w:rsidR="00C97BAA" w:rsidRPr="008816E4" w:rsidTr="00FD6B9B">
        <w:trPr>
          <w:trHeight w:val="53"/>
        </w:trPr>
        <w:tc>
          <w:tcPr>
            <w:tcW w:w="1791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Emotions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Mental well-being and mental state</w:t>
            </w:r>
          </w:p>
        </w:tc>
      </w:tr>
      <w:tr w:rsidR="00C97BAA" w:rsidRPr="008816E4" w:rsidTr="00FD6B9B">
        <w:trPr>
          <w:trHeight w:val="53"/>
        </w:trPr>
        <w:tc>
          <w:tcPr>
            <w:tcW w:w="1791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Thoughts and thinking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Cognitive capabilities, perception, memory, and concentration</w:t>
            </w:r>
          </w:p>
        </w:tc>
      </w:tr>
      <w:tr w:rsidR="00C97BAA" w:rsidRPr="008816E4" w:rsidTr="00FD6B9B">
        <w:trPr>
          <w:trHeight w:val="53"/>
        </w:trPr>
        <w:tc>
          <w:tcPr>
            <w:tcW w:w="1791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Physics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Physical characteristics and capabilities, and behavior</w:t>
            </w:r>
          </w:p>
        </w:tc>
      </w:tr>
      <w:tr w:rsidR="00C97BAA" w:rsidRPr="008816E4" w:rsidTr="00FD6B9B">
        <w:trPr>
          <w:trHeight w:val="53"/>
        </w:trPr>
        <w:tc>
          <w:tcPr>
            <w:tcW w:w="1791" w:type="dxa"/>
            <w:vMerge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2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eastAsia="Arial" w:hAnsi="Arial" w:cs="Arial"/>
                <w:color w:val="000000"/>
                <w:sz w:val="20"/>
                <w:szCs w:val="20"/>
              </w:rPr>
              <w:t>Balance</w:t>
            </w:r>
          </w:p>
        </w:tc>
        <w:tc>
          <w:tcPr>
            <w:tcW w:w="3805" w:type="dxa"/>
          </w:tcPr>
          <w:p w:rsidR="00C97BAA" w:rsidRPr="008816E4" w:rsidRDefault="00C97BAA" w:rsidP="00FD6B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6E4">
              <w:rPr>
                <w:rFonts w:ascii="Arial" w:hAnsi="Arial" w:cs="Arial"/>
                <w:color w:val="000000"/>
                <w:sz w:val="20"/>
                <w:szCs w:val="20"/>
              </w:rPr>
              <w:t>The possibilities to regulate the environment and behavior of the client</w:t>
            </w:r>
          </w:p>
        </w:tc>
      </w:tr>
    </w:tbl>
    <w:p w:rsidR="008E5D1E" w:rsidRDefault="008E5D1E" w:rsidP="00C97BAA">
      <w:pPr>
        <w:pStyle w:val="Style1"/>
        <w:rPr>
          <w:rFonts w:ascii="Times New Roman" w:hAnsi="Times New Roman" w:cs="Times New Roman"/>
          <w:color w:val="000000"/>
          <w:sz w:val="24"/>
          <w:szCs w:val="24"/>
        </w:rPr>
      </w:pPr>
    </w:p>
    <w:p w:rsidR="00C97BAA" w:rsidRPr="00C97BAA" w:rsidRDefault="00C97BAA" w:rsidP="00C97BAA">
      <w:pPr>
        <w:pStyle w:val="Heading1"/>
        <w:rPr>
          <w:lang w:val="nl-NL"/>
        </w:rPr>
      </w:pPr>
      <w:proofErr w:type="spellStart"/>
      <w:r w:rsidRPr="00C97BAA">
        <w:rPr>
          <w:lang w:val="nl-NL"/>
        </w:rPr>
        <w:lastRenderedPageBreak/>
        <w:t>References</w:t>
      </w:r>
      <w:proofErr w:type="spellEnd"/>
    </w:p>
    <w:p w:rsidR="00C97BAA" w:rsidRPr="008816E4" w:rsidRDefault="00C97BAA" w:rsidP="00C97BAA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sz w:val="20"/>
          <w:szCs w:val="20"/>
        </w:rPr>
      </w:pPr>
      <w:r>
        <w:rPr>
          <w:rFonts w:ascii="Arial" w:hAnsi="Arial" w:cs="Arial"/>
          <w:noProof w:val="0"/>
          <w:sz w:val="20"/>
          <w:szCs w:val="20"/>
          <w:lang w:val="nl-NL"/>
        </w:rPr>
        <w:t>1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.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ab/>
        <w:t xml:space="preserve">Huber M, van Vliet M, </w:t>
      </w:r>
      <w:proofErr w:type="spellStart"/>
      <w:r w:rsidRPr="002C4C52">
        <w:rPr>
          <w:rFonts w:ascii="Arial" w:hAnsi="Arial" w:cs="Arial"/>
          <w:noProof w:val="0"/>
          <w:sz w:val="20"/>
          <w:szCs w:val="20"/>
          <w:lang w:val="nl-NL"/>
        </w:rPr>
        <w:t>Giezenberg</w:t>
      </w:r>
      <w:proofErr w:type="spellEnd"/>
      <w:r w:rsidRPr="002C4C52">
        <w:rPr>
          <w:rFonts w:ascii="Arial" w:hAnsi="Arial" w:cs="Arial"/>
          <w:noProof w:val="0"/>
          <w:sz w:val="20"/>
          <w:szCs w:val="20"/>
          <w:lang w:val="nl-NL"/>
        </w:rPr>
        <w:t xml:space="preserve"> M, et al. </w:t>
      </w:r>
      <w:r w:rsidRPr="008816E4">
        <w:rPr>
          <w:rFonts w:ascii="Arial" w:hAnsi="Arial" w:cs="Arial"/>
          <w:noProof w:val="0"/>
          <w:sz w:val="20"/>
          <w:szCs w:val="20"/>
        </w:rPr>
        <w:t>Towards a 'patient-</w:t>
      </w:r>
      <w:proofErr w:type="spellStart"/>
      <w:r w:rsidRPr="008816E4">
        <w:rPr>
          <w:rFonts w:ascii="Arial" w:hAnsi="Arial" w:cs="Arial"/>
          <w:noProof w:val="0"/>
          <w:sz w:val="20"/>
          <w:szCs w:val="20"/>
        </w:rPr>
        <w:t>centred</w:t>
      </w:r>
      <w:proofErr w:type="spellEnd"/>
      <w:r w:rsidRPr="008816E4">
        <w:rPr>
          <w:rFonts w:ascii="Arial" w:hAnsi="Arial" w:cs="Arial"/>
          <w:noProof w:val="0"/>
          <w:sz w:val="20"/>
          <w:szCs w:val="20"/>
        </w:rPr>
        <w:t xml:space="preserve">' </w:t>
      </w:r>
      <w:proofErr w:type="spellStart"/>
      <w:r w:rsidRPr="008816E4">
        <w:rPr>
          <w:rFonts w:ascii="Arial" w:hAnsi="Arial" w:cs="Arial"/>
          <w:noProof w:val="0"/>
          <w:sz w:val="20"/>
          <w:szCs w:val="20"/>
        </w:rPr>
        <w:t>operationalisation</w:t>
      </w:r>
      <w:proofErr w:type="spellEnd"/>
      <w:r w:rsidRPr="008816E4">
        <w:rPr>
          <w:rFonts w:ascii="Arial" w:hAnsi="Arial" w:cs="Arial"/>
          <w:noProof w:val="0"/>
          <w:sz w:val="20"/>
          <w:szCs w:val="20"/>
        </w:rPr>
        <w:t xml:space="preserve"> of the new dynamic concept of health: a mixed methods study. </w:t>
      </w:r>
      <w:r w:rsidRPr="008816E4">
        <w:rPr>
          <w:rFonts w:ascii="Arial" w:hAnsi="Arial" w:cs="Arial"/>
          <w:i/>
          <w:noProof w:val="0"/>
          <w:sz w:val="20"/>
          <w:szCs w:val="20"/>
        </w:rPr>
        <w:t xml:space="preserve">BMJ Open. </w:t>
      </w:r>
      <w:r w:rsidRPr="008816E4">
        <w:rPr>
          <w:rFonts w:ascii="Arial" w:hAnsi="Arial" w:cs="Arial"/>
          <w:noProof w:val="0"/>
          <w:sz w:val="20"/>
          <w:szCs w:val="20"/>
        </w:rPr>
        <w:t>2016</w:t>
      </w:r>
      <w:proofErr w:type="gramStart"/>
      <w:r w:rsidRPr="008816E4">
        <w:rPr>
          <w:rFonts w:ascii="Arial" w:hAnsi="Arial" w:cs="Arial"/>
          <w:noProof w:val="0"/>
          <w:sz w:val="20"/>
          <w:szCs w:val="20"/>
        </w:rPr>
        <w:t>;6</w:t>
      </w:r>
      <w:proofErr w:type="gramEnd"/>
      <w:r w:rsidRPr="008816E4">
        <w:rPr>
          <w:rFonts w:ascii="Arial" w:hAnsi="Arial" w:cs="Arial"/>
          <w:noProof w:val="0"/>
          <w:sz w:val="20"/>
          <w:szCs w:val="20"/>
        </w:rPr>
        <w:t>(1):e010091.</w:t>
      </w:r>
    </w:p>
    <w:p w:rsidR="00C97BAA" w:rsidRPr="002C4C52" w:rsidRDefault="00C97BAA" w:rsidP="00C97BAA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sz w:val="20"/>
          <w:szCs w:val="20"/>
          <w:lang w:val="nl-NL"/>
        </w:rPr>
      </w:pPr>
      <w:r>
        <w:rPr>
          <w:rFonts w:ascii="Arial" w:hAnsi="Arial" w:cs="Arial"/>
          <w:noProof w:val="0"/>
          <w:sz w:val="20"/>
          <w:szCs w:val="20"/>
        </w:rPr>
        <w:t>2</w:t>
      </w:r>
      <w:r w:rsidRPr="008816E4">
        <w:rPr>
          <w:rFonts w:ascii="Arial" w:hAnsi="Arial" w:cs="Arial"/>
          <w:noProof w:val="0"/>
          <w:sz w:val="20"/>
          <w:szCs w:val="20"/>
        </w:rPr>
        <w:t>.</w:t>
      </w:r>
      <w:r w:rsidRPr="008816E4">
        <w:rPr>
          <w:rFonts w:ascii="Arial" w:hAnsi="Arial" w:cs="Arial"/>
          <w:noProof w:val="0"/>
          <w:sz w:val="20"/>
          <w:szCs w:val="20"/>
        </w:rPr>
        <w:tab/>
        <w:t xml:space="preserve">Lenzen SA, Daniels R, van Bokhoven MA, van der Weijden T, Beurskens A. Development of a conversation approach for practice nurses aimed at making shared decisions on goals and action plans with primary care patients. </w:t>
      </w:r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BMC Health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Serv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Res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. 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2018;18(1):891.</w:t>
      </w:r>
    </w:p>
    <w:p w:rsidR="00C97BAA" w:rsidRDefault="00C97BAA" w:rsidP="00C97BAA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sz w:val="20"/>
          <w:szCs w:val="20"/>
          <w:lang w:val="nl-NL"/>
        </w:rPr>
      </w:pPr>
      <w:r>
        <w:rPr>
          <w:rFonts w:ascii="Arial" w:hAnsi="Arial" w:cs="Arial"/>
          <w:noProof w:val="0"/>
          <w:sz w:val="20"/>
          <w:szCs w:val="20"/>
          <w:lang w:val="nl-NL"/>
        </w:rPr>
        <w:t>3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.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ab/>
        <w:t xml:space="preserve">Wolf JRLM.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Kracthwerk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: Methodisch werken aan participatie en zelfregie.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 xml:space="preserve"> </w:t>
      </w:r>
      <w:r w:rsidRPr="00C97BAA">
        <w:rPr>
          <w:rFonts w:ascii="Arial" w:hAnsi="Arial" w:cs="Arial"/>
          <w:noProof w:val="0"/>
          <w:sz w:val="20"/>
          <w:szCs w:val="20"/>
          <w:lang w:val="nl-NL"/>
        </w:rPr>
        <w:t xml:space="preserve">2 ed. Bussum: Uitgeverij </w:t>
      </w:r>
      <w:proofErr w:type="spellStart"/>
      <w:r w:rsidRPr="00C97BAA">
        <w:rPr>
          <w:rFonts w:ascii="Arial" w:hAnsi="Arial" w:cs="Arial"/>
          <w:noProof w:val="0"/>
          <w:sz w:val="20"/>
          <w:szCs w:val="20"/>
          <w:lang w:val="nl-NL"/>
        </w:rPr>
        <w:t>Coutinho</w:t>
      </w:r>
      <w:proofErr w:type="spellEnd"/>
      <w:r w:rsidRPr="00C97BAA">
        <w:rPr>
          <w:rFonts w:ascii="Arial" w:hAnsi="Arial" w:cs="Arial"/>
          <w:noProof w:val="0"/>
          <w:sz w:val="20"/>
          <w:szCs w:val="20"/>
          <w:lang w:val="nl-NL"/>
        </w:rPr>
        <w:t>; 2016.</w:t>
      </w:r>
    </w:p>
    <w:p w:rsidR="00C97BAA" w:rsidRPr="0073156E" w:rsidRDefault="00C97BAA" w:rsidP="00C97BAA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sz w:val="20"/>
          <w:szCs w:val="20"/>
          <w:lang w:val="nl-NL"/>
        </w:rPr>
      </w:pPr>
      <w:r>
        <w:rPr>
          <w:rFonts w:ascii="Arial" w:hAnsi="Arial" w:cs="Arial"/>
          <w:noProof w:val="0"/>
          <w:sz w:val="20"/>
          <w:szCs w:val="20"/>
          <w:lang w:val="nl-NL"/>
        </w:rPr>
        <w:t>4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.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ab/>
        <w:t xml:space="preserve">CZ. </w:t>
      </w:r>
      <w:proofErr w:type="spellStart"/>
      <w:r w:rsidRPr="002C4C52">
        <w:rPr>
          <w:rFonts w:ascii="Arial" w:hAnsi="Arial" w:cs="Arial"/>
          <w:noProof w:val="0"/>
          <w:sz w:val="20"/>
          <w:szCs w:val="20"/>
          <w:lang w:val="nl-NL"/>
        </w:rPr>
        <w:t>ZoWel</w:t>
      </w:r>
      <w:proofErr w:type="spellEnd"/>
      <w:r w:rsidRPr="002C4C52">
        <w:rPr>
          <w:rFonts w:ascii="Arial" w:hAnsi="Arial" w:cs="Arial"/>
          <w:noProof w:val="0"/>
          <w:sz w:val="20"/>
          <w:szCs w:val="20"/>
          <w:lang w:val="nl-NL"/>
        </w:rPr>
        <w:t xml:space="preserve"> Model.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CZnl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 Alles voor betere zorg. </w:t>
      </w:r>
      <w:r w:rsidRPr="0073156E">
        <w:rPr>
          <w:rFonts w:ascii="Arial" w:hAnsi="Arial" w:cs="Arial"/>
          <w:noProof w:val="0"/>
          <w:sz w:val="20"/>
          <w:szCs w:val="20"/>
          <w:lang w:val="nl-NL"/>
        </w:rPr>
        <w:t>2013.</w:t>
      </w:r>
    </w:p>
    <w:p w:rsidR="00C97BAA" w:rsidRPr="002C4C52" w:rsidRDefault="00C97BAA" w:rsidP="00C97BAA">
      <w:pPr>
        <w:pStyle w:val="EndNoteBibliography"/>
        <w:spacing w:line="480" w:lineRule="auto"/>
        <w:ind w:left="720" w:hanging="720"/>
        <w:rPr>
          <w:rFonts w:ascii="Arial" w:hAnsi="Arial" w:cs="Arial"/>
          <w:noProof w:val="0"/>
          <w:sz w:val="20"/>
          <w:szCs w:val="20"/>
          <w:lang w:val="nl-NL"/>
        </w:rPr>
      </w:pPr>
      <w:r>
        <w:rPr>
          <w:rFonts w:ascii="Arial" w:hAnsi="Arial" w:cs="Arial"/>
          <w:noProof w:val="0"/>
          <w:sz w:val="20"/>
          <w:szCs w:val="20"/>
          <w:lang w:val="nl-NL"/>
        </w:rPr>
        <w:t>5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.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ab/>
      </w:r>
      <w:proofErr w:type="spellStart"/>
      <w:r w:rsidRPr="002C4C52">
        <w:rPr>
          <w:rFonts w:ascii="Arial" w:hAnsi="Arial" w:cs="Arial"/>
          <w:noProof w:val="0"/>
          <w:sz w:val="20"/>
          <w:szCs w:val="20"/>
          <w:lang w:val="nl-NL"/>
        </w:rPr>
        <w:t>Westermann</w:t>
      </w:r>
      <w:proofErr w:type="spellEnd"/>
      <w:r w:rsidRPr="002C4C52">
        <w:rPr>
          <w:rFonts w:ascii="Arial" w:hAnsi="Arial" w:cs="Arial"/>
          <w:noProof w:val="0"/>
          <w:sz w:val="20"/>
          <w:szCs w:val="20"/>
          <w:lang w:val="nl-NL"/>
        </w:rPr>
        <w:t xml:space="preserve"> GM, Verheij F, Winkens B, Verhulst FC, Van Oort FV. </w:t>
      </w:r>
      <w:r w:rsidRPr="008816E4">
        <w:rPr>
          <w:rFonts w:ascii="Arial" w:hAnsi="Arial" w:cs="Arial"/>
          <w:noProof w:val="0"/>
          <w:sz w:val="20"/>
          <w:szCs w:val="20"/>
        </w:rPr>
        <w:t xml:space="preserve">Structured shared decision-making using dialogue and visualization: a randomized controlled trial.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Patient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Educ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 </w:t>
      </w:r>
      <w:proofErr w:type="spellStart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>Couns</w:t>
      </w:r>
      <w:proofErr w:type="spellEnd"/>
      <w:r w:rsidRPr="002C4C52">
        <w:rPr>
          <w:rFonts w:ascii="Arial" w:hAnsi="Arial" w:cs="Arial"/>
          <w:i/>
          <w:noProof w:val="0"/>
          <w:sz w:val="20"/>
          <w:szCs w:val="20"/>
          <w:lang w:val="nl-NL"/>
        </w:rPr>
        <w:t xml:space="preserve">. </w:t>
      </w:r>
      <w:r w:rsidRPr="002C4C52">
        <w:rPr>
          <w:rFonts w:ascii="Arial" w:hAnsi="Arial" w:cs="Arial"/>
          <w:noProof w:val="0"/>
          <w:sz w:val="20"/>
          <w:szCs w:val="20"/>
          <w:lang w:val="nl-NL"/>
        </w:rPr>
        <w:t>2013;90(1):74-81.</w:t>
      </w:r>
      <w:bookmarkStart w:id="0" w:name="_GoBack"/>
      <w:bookmarkEnd w:id="0"/>
    </w:p>
    <w:p w:rsidR="00C97BAA" w:rsidRPr="00C97BAA" w:rsidRDefault="00C97BAA" w:rsidP="00C97BAA">
      <w:pPr>
        <w:spacing w:line="480" w:lineRule="auto"/>
        <w:rPr>
          <w:rFonts w:ascii="Arial" w:hAnsi="Arial" w:cs="Arial"/>
          <w:sz w:val="20"/>
          <w:szCs w:val="20"/>
        </w:rPr>
      </w:pPr>
    </w:p>
    <w:sectPr w:rsidR="00C97BAA" w:rsidRPr="00C97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57"/>
    <w:rsid w:val="00045757"/>
    <w:rsid w:val="008E5D1E"/>
    <w:rsid w:val="00C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0430"/>
  <w15:chartTrackingRefBased/>
  <w15:docId w15:val="{8D9D5C53-2E8A-4613-9E53-8D24FF7C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575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qFormat/>
    <w:rsid w:val="0004575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757"/>
    <w:pPr>
      <w:keepNext/>
      <w:keepLines/>
      <w:spacing w:before="240" w:after="60" w:line="480" w:lineRule="auto"/>
      <w:outlineLvl w:val="1"/>
    </w:pPr>
    <w:rPr>
      <w:rFonts w:ascii="Arial" w:eastAsiaTheme="majorEastAsia" w:hAnsi="Arial" w:cstheme="majorBidi"/>
      <w:b/>
      <w:i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575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45757"/>
    <w:rPr>
      <w:rFonts w:ascii="Arial" w:eastAsiaTheme="majorEastAsia" w:hAnsi="Arial" w:cstheme="majorBidi"/>
      <w:b/>
      <w:i/>
      <w:sz w:val="28"/>
      <w:szCs w:val="26"/>
      <w:bdr w:val="nil"/>
      <w:lang w:val="en-US"/>
    </w:rPr>
  </w:style>
  <w:style w:type="paragraph" w:customStyle="1" w:styleId="Style1">
    <w:name w:val="Style1"/>
    <w:basedOn w:val="Normal"/>
    <w:link w:val="Style1Char"/>
    <w:qFormat/>
    <w:rsid w:val="00045757"/>
    <w:pPr>
      <w:spacing w:line="480" w:lineRule="auto"/>
      <w:jc w:val="both"/>
    </w:pPr>
    <w:rPr>
      <w:rFonts w:ascii="Arial" w:hAnsi="Arial" w:cs="Arial"/>
      <w:sz w:val="20"/>
      <w:szCs w:val="20"/>
    </w:rPr>
  </w:style>
  <w:style w:type="character" w:customStyle="1" w:styleId="Style1Char">
    <w:name w:val="Style1 Char"/>
    <w:basedOn w:val="DefaultParagraphFont"/>
    <w:link w:val="Style1"/>
    <w:rsid w:val="00045757"/>
    <w:rPr>
      <w:rFonts w:ascii="Arial" w:eastAsia="Arial Unicode MS" w:hAnsi="Arial" w:cs="Arial"/>
      <w:szCs w:val="20"/>
      <w:bdr w:val="nil"/>
      <w:lang w:val="en-US"/>
    </w:rPr>
  </w:style>
  <w:style w:type="table" w:styleId="TableGrid">
    <w:name w:val="Table Grid"/>
    <w:basedOn w:val="TableNormal"/>
    <w:uiPriority w:val="39"/>
    <w:rsid w:val="00C97BA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Times New Roman"/>
      <w:szCs w:val="20"/>
      <w:bdr w:val="nil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97BA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har"/>
    <w:rsid w:val="00C97BAA"/>
    <w:pPr>
      <w:jc w:val="both"/>
    </w:pPr>
    <w:rPr>
      <w:noProof/>
      <w:color w:val="000000"/>
      <w:u w:color="000000"/>
      <w:lang w:eastAsia="nl-NL"/>
    </w:rPr>
  </w:style>
  <w:style w:type="character" w:customStyle="1" w:styleId="EndNoteBibliographyChar">
    <w:name w:val="EndNote Bibliography Char"/>
    <w:basedOn w:val="DefaultParagraphFont"/>
    <w:link w:val="EndNoteBibliography"/>
    <w:rsid w:val="00C97BAA"/>
    <w:rPr>
      <w:rFonts w:ascii="Times New Roman" w:eastAsia="Arial Unicode MS" w:hAnsi="Times New Roman" w:cs="Times New Roman"/>
      <w:noProof/>
      <w:color w:val="000000"/>
      <w:sz w:val="24"/>
      <w:szCs w:val="24"/>
      <w:u w:color="000000"/>
      <w:bdr w:val="nil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2022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Leersum, C.M. van (BMS)</dc:creator>
  <cp:keywords/>
  <dc:description/>
  <cp:lastModifiedBy>Leersum, C.M. van (BMS)</cp:lastModifiedBy>
  <cp:revision>2</cp:revision>
  <dcterms:created xsi:type="dcterms:W3CDTF">2020-06-25T08:07:00Z</dcterms:created>
  <dcterms:modified xsi:type="dcterms:W3CDTF">2020-06-25T08:07:00Z</dcterms:modified>
</cp:coreProperties>
</file>