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" ContentType="application/vnd.ms-powerpoi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1D4" w:rsidRDefault="006D21D4">
      <w:pPr>
        <w:pStyle w:val="Overskrift1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Supplementary material </w:t>
      </w:r>
    </w:p>
    <w:p w:rsidR="00007BC5" w:rsidRDefault="006D21D4">
      <w:pPr>
        <w:autoSpaceDE w:val="0"/>
        <w:autoSpaceDN w:val="0"/>
        <w:adjustRightInd w:val="0"/>
        <w:spacing w:after="0"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Appendix 1. Description of registries </w:t>
      </w:r>
      <w:r w:rsidR="00007BC5">
        <w:rPr>
          <w:sz w:val="24"/>
          <w:szCs w:val="24"/>
          <w:lang w:val="en-US"/>
        </w:rPr>
        <w:t xml:space="preserve">with references </w:t>
      </w: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Appendix 2: Flowchart of the study cohorts</w:t>
      </w: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Appendix 3. Diagnostic codes </w:t>
      </w: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Appendix 4. Supplementary figures </w:t>
      </w: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sz w:val="24"/>
          <w:szCs w:val="24"/>
          <w:lang w:val="en-US"/>
        </w:rPr>
      </w:pPr>
    </w:p>
    <w:p w:rsidR="006D21D4" w:rsidRDefault="006D21D4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  <w:lang w:val="en-US"/>
        </w:rPr>
      </w:pPr>
    </w:p>
    <w:p w:rsidR="006D21D4" w:rsidRDefault="006D21D4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  <w:lang w:val="en-US"/>
        </w:rPr>
      </w:pP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br w:type="page"/>
      </w:r>
      <w:r>
        <w:rPr>
          <w:b/>
          <w:bCs/>
          <w:color w:val="000000"/>
          <w:sz w:val="24"/>
          <w:szCs w:val="24"/>
          <w:lang w:val="en-US"/>
        </w:rPr>
        <w:lastRenderedPageBreak/>
        <w:t>Appendix 1</w:t>
      </w: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Data were extracted from the following registries:</w:t>
      </w: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color w:val="000000"/>
          <w:sz w:val="24"/>
          <w:szCs w:val="24"/>
          <w:lang w:val="en-US"/>
        </w:rPr>
      </w:pP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color w:val="231F20"/>
          <w:sz w:val="24"/>
          <w:szCs w:val="24"/>
          <w:lang w:val="en-US"/>
        </w:rPr>
      </w:pPr>
      <w:r>
        <w:rPr>
          <w:color w:val="231F20"/>
          <w:sz w:val="24"/>
          <w:szCs w:val="24"/>
          <w:lang w:val="en-US"/>
        </w:rPr>
        <w:t>The Danish Civil Registration System, established in 1967, was used to identify the members of the comparison cohorts</w:t>
      </w:r>
      <w:r w:rsidR="00E12C02">
        <w:rPr>
          <w:color w:val="231F20"/>
          <w:sz w:val="24"/>
          <w:szCs w:val="24"/>
          <w:vertAlign w:val="superscript"/>
          <w:lang w:val="en-US"/>
        </w:rPr>
        <w:t>1</w:t>
      </w:r>
      <w:r>
        <w:rPr>
          <w:color w:val="231F20"/>
          <w:sz w:val="24"/>
          <w:szCs w:val="24"/>
          <w:lang w:val="en-US"/>
        </w:rPr>
        <w:t xml:space="preserve"> We also used this registry to extract data on sex, date of birth, immigration/emigration, loss to follow-up and death of all study participants.</w:t>
      </w: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color w:val="231F20"/>
          <w:sz w:val="24"/>
          <w:szCs w:val="24"/>
          <w:lang w:val="en-US"/>
        </w:rPr>
      </w:pPr>
    </w:p>
    <w:p w:rsidR="006D21D4" w:rsidRPr="00E12C02" w:rsidRDefault="006D21D4">
      <w:pPr>
        <w:autoSpaceDE w:val="0"/>
        <w:autoSpaceDN w:val="0"/>
        <w:adjustRightInd w:val="0"/>
        <w:spacing w:after="0" w:line="360" w:lineRule="auto"/>
        <w:rPr>
          <w:color w:val="000000"/>
          <w:sz w:val="24"/>
          <w:szCs w:val="24"/>
          <w:vertAlign w:val="superscript"/>
          <w:lang w:val="en-US"/>
        </w:rPr>
      </w:pPr>
      <w:r>
        <w:rPr>
          <w:color w:val="231F20"/>
          <w:sz w:val="24"/>
          <w:szCs w:val="24"/>
          <w:lang w:val="en-US"/>
        </w:rPr>
        <w:t>The Danish National Patient Registry</w:t>
      </w:r>
      <w:r>
        <w:rPr>
          <w:color w:val="000000"/>
          <w:sz w:val="24"/>
          <w:szCs w:val="24"/>
          <w:lang w:val="en-US"/>
        </w:rPr>
        <w:t>, established in 1977, records data on all patients discharged from non-psychiatric hospitals. Since 1994 it has also included data on all visits to outpatient departments and emergency clinics in Denmark.</w:t>
      </w:r>
      <w:r w:rsidR="00E12C02">
        <w:rPr>
          <w:color w:val="000000"/>
          <w:sz w:val="24"/>
          <w:szCs w:val="24"/>
          <w:vertAlign w:val="superscript"/>
          <w:lang w:val="en-US"/>
        </w:rPr>
        <w:t>2,3</w:t>
      </w:r>
      <w:r>
        <w:rPr>
          <w:color w:val="000000"/>
          <w:sz w:val="24"/>
          <w:szCs w:val="24"/>
          <w:lang w:val="en-US"/>
        </w:rPr>
        <w:t xml:space="preserve"> Diagnoses are coded by the attending physician according to the International Classification of Diseases, Eighth Revision [ICD-8] until 31 December 1993 and thereafter by the Tenth Revision [ICD-10].</w:t>
      </w:r>
      <w:r w:rsidR="00E12C02">
        <w:rPr>
          <w:color w:val="000000"/>
          <w:sz w:val="24"/>
          <w:szCs w:val="24"/>
          <w:vertAlign w:val="superscript"/>
          <w:lang w:val="en-US"/>
        </w:rPr>
        <w:t>2</w:t>
      </w:r>
      <w:r>
        <w:rPr>
          <w:color w:val="000000"/>
          <w:sz w:val="24"/>
          <w:szCs w:val="24"/>
          <w:lang w:val="en-US"/>
        </w:rPr>
        <w:t xml:space="preserve"> From this registry we extracted clinical diagnoses of dementia, epilepsy, and diagnoses used to calculate </w:t>
      </w:r>
      <w:proofErr w:type="spellStart"/>
      <w:r>
        <w:rPr>
          <w:color w:val="000000"/>
          <w:sz w:val="24"/>
          <w:szCs w:val="24"/>
          <w:lang w:val="en-US"/>
        </w:rPr>
        <w:t>Charlson</w:t>
      </w:r>
      <w:proofErr w:type="spellEnd"/>
      <w:r>
        <w:rPr>
          <w:color w:val="000000"/>
          <w:sz w:val="24"/>
          <w:szCs w:val="24"/>
          <w:lang w:val="en-US"/>
        </w:rPr>
        <w:t xml:space="preserve"> Comorbidity Index scores.</w:t>
      </w:r>
      <w:r w:rsidR="00E12C02">
        <w:rPr>
          <w:color w:val="000000"/>
          <w:sz w:val="24"/>
          <w:szCs w:val="24"/>
          <w:vertAlign w:val="superscript"/>
          <w:lang w:val="en-US"/>
        </w:rPr>
        <w:t>4</w:t>
      </w: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color w:val="000000"/>
          <w:sz w:val="24"/>
          <w:szCs w:val="24"/>
          <w:lang w:val="en-US"/>
        </w:rPr>
      </w:pP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The Danish Cancer Registry was established in 1943. Since March 1987, reporting of data on all malignant diseases has been mandatory. Approximately 90% of cases in the registry are verified by histological examination. An extensive data validation program ensures the quality and completeness of registry data.</w:t>
      </w:r>
      <w:r w:rsidR="00E12C02">
        <w:rPr>
          <w:color w:val="000000"/>
          <w:sz w:val="24"/>
          <w:szCs w:val="24"/>
          <w:vertAlign w:val="superscript"/>
          <w:lang w:val="en-US"/>
        </w:rPr>
        <w:t>5</w:t>
      </w:r>
      <w:r>
        <w:rPr>
          <w:color w:val="000000"/>
          <w:sz w:val="24"/>
          <w:szCs w:val="24"/>
          <w:lang w:val="en-US"/>
        </w:rPr>
        <w:t xml:space="preserve"> From this registry, we extracted data on cancer diagnoses.</w:t>
      </w: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color w:val="000000"/>
          <w:sz w:val="24"/>
          <w:szCs w:val="24"/>
          <w:lang w:val="en-US"/>
        </w:rPr>
      </w:pPr>
    </w:p>
    <w:p w:rsidR="00007BC5" w:rsidRDefault="006D21D4">
      <w:pPr>
        <w:autoSpaceDE w:val="0"/>
        <w:autoSpaceDN w:val="0"/>
        <w:adjustRightInd w:val="0"/>
        <w:spacing w:after="0" w:line="360" w:lineRule="auto"/>
        <w:rPr>
          <w:sz w:val="24"/>
          <w:szCs w:val="24"/>
          <w:lang w:val="en-US"/>
        </w:rPr>
      </w:pPr>
      <w:r>
        <w:rPr>
          <w:color w:val="231F20"/>
          <w:sz w:val="24"/>
          <w:szCs w:val="24"/>
          <w:lang w:val="en-US"/>
        </w:rPr>
        <w:t>Statistics Denmark provided access to the following registries:</w:t>
      </w:r>
      <w:r>
        <w:rPr>
          <w:color w:val="000000"/>
          <w:sz w:val="24"/>
          <w:szCs w:val="24"/>
          <w:lang w:val="en-US"/>
        </w:rPr>
        <w:t xml:space="preserve"> (I) </w:t>
      </w:r>
      <w:r>
        <w:rPr>
          <w:color w:val="231F20"/>
          <w:sz w:val="24"/>
          <w:szCs w:val="24"/>
          <w:lang w:val="en-US"/>
        </w:rPr>
        <w:t>The Danish Educational Attainment Registry, from which we extracted data on educational achievement of members of the study cohorts.</w:t>
      </w:r>
      <w:r w:rsidR="00E12C02">
        <w:rPr>
          <w:color w:val="231F20"/>
          <w:sz w:val="24"/>
          <w:szCs w:val="24"/>
          <w:vertAlign w:val="superscript"/>
          <w:lang w:val="en-US"/>
        </w:rPr>
        <w:t>6</w:t>
      </w:r>
      <w:r>
        <w:rPr>
          <w:color w:val="000000"/>
          <w:sz w:val="24"/>
          <w:szCs w:val="24"/>
          <w:lang w:val="en-US"/>
        </w:rPr>
        <w:t xml:space="preserve"> (II) </w:t>
      </w:r>
      <w:r>
        <w:rPr>
          <w:sz w:val="24"/>
          <w:szCs w:val="24"/>
          <w:lang w:val="en-US"/>
        </w:rPr>
        <w:t>The Employment Classification Module provided data on the employment status of study participants in each calendar year of the study period. It also provided data on receipt of disability pensions.</w:t>
      </w:r>
      <w:r w:rsidR="00D33BEC">
        <w:rPr>
          <w:sz w:val="24"/>
          <w:szCs w:val="24"/>
          <w:vertAlign w:val="superscript"/>
          <w:lang w:val="en-US"/>
        </w:rPr>
        <w:t>7</w:t>
      </w:r>
      <w:r>
        <w:rPr>
          <w:sz w:val="24"/>
          <w:szCs w:val="24"/>
          <w:lang w:val="en-US"/>
        </w:rPr>
        <w:t xml:space="preserve"> (III) The housing module provided data on residency in a nursing home in each calendar year of the study period.</w:t>
      </w:r>
      <w:r w:rsidR="00D33BEC">
        <w:rPr>
          <w:sz w:val="24"/>
          <w:szCs w:val="24"/>
          <w:vertAlign w:val="superscript"/>
          <w:lang w:val="en-US"/>
        </w:rPr>
        <w:t>8</w:t>
      </w:r>
      <w:r>
        <w:rPr>
          <w:sz w:val="24"/>
          <w:szCs w:val="24"/>
          <w:lang w:val="en-US"/>
        </w:rPr>
        <w:t xml:space="preserve"> </w:t>
      </w:r>
    </w:p>
    <w:p w:rsidR="00007BC5" w:rsidRDefault="00007BC5" w:rsidP="00007BC5">
      <w:pPr>
        <w:rPr>
          <w:lang w:val="en-US"/>
        </w:rPr>
      </w:pPr>
      <w:r>
        <w:rPr>
          <w:lang w:val="en-US"/>
        </w:rPr>
        <w:br w:type="page"/>
      </w:r>
    </w:p>
    <w:p w:rsidR="00007BC5" w:rsidRPr="007E3A2D" w:rsidRDefault="00007BC5" w:rsidP="00E12C02">
      <w:pPr>
        <w:pStyle w:val="Brdtekst"/>
        <w:tabs>
          <w:tab w:val="right" w:pos="540"/>
          <w:tab w:val="left" w:pos="720"/>
        </w:tabs>
        <w:spacing w:after="240" w:line="360" w:lineRule="auto"/>
        <w:ind w:left="720" w:hanging="720"/>
        <w:rPr>
          <w:noProof/>
          <w:szCs w:val="24"/>
          <w:lang w:val="fr-FR"/>
        </w:rPr>
      </w:pPr>
      <w:proofErr w:type="spellStart"/>
      <w:r>
        <w:rPr>
          <w:b/>
          <w:bCs/>
          <w:sz w:val="24"/>
          <w:szCs w:val="24"/>
          <w:lang w:val="fr-FR"/>
        </w:rPr>
        <w:lastRenderedPageBreak/>
        <w:t>Supplementary</w:t>
      </w:r>
      <w:proofErr w:type="spellEnd"/>
      <w:r>
        <w:rPr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b/>
          <w:bCs/>
          <w:sz w:val="24"/>
          <w:szCs w:val="24"/>
          <w:lang w:val="fr-FR"/>
        </w:rPr>
        <w:t>references</w:t>
      </w:r>
      <w:proofErr w:type="spellEnd"/>
      <w:r>
        <w:rPr>
          <w:sz w:val="24"/>
          <w:szCs w:val="24"/>
          <w:lang w:val="fr-FR"/>
        </w:rPr>
        <w:fldChar w:fldCharType="begin"/>
      </w:r>
      <w:r>
        <w:rPr>
          <w:sz w:val="24"/>
          <w:szCs w:val="24"/>
          <w:lang w:val="fr-FR"/>
        </w:rPr>
        <w:instrText xml:space="preserve"> ADDIN REFMGR.REFLIST </w:instrText>
      </w:r>
      <w:r>
        <w:rPr>
          <w:sz w:val="24"/>
          <w:szCs w:val="24"/>
          <w:lang w:val="fr-FR"/>
        </w:rPr>
        <w:fldChar w:fldCharType="separate"/>
      </w:r>
    </w:p>
    <w:p w:rsidR="00E12C02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ab/>
      </w:r>
      <w:r w:rsidR="00E12C02">
        <w:rPr>
          <w:noProof/>
          <w:sz w:val="24"/>
          <w:szCs w:val="24"/>
          <w:lang w:val="fr-FR"/>
        </w:rPr>
        <w:t xml:space="preserve">1. </w:t>
      </w:r>
      <w:r w:rsidRPr="00007BC5">
        <w:rPr>
          <w:noProof/>
          <w:sz w:val="24"/>
          <w:szCs w:val="24"/>
          <w:lang w:val="fr-FR"/>
        </w:rPr>
        <w:t>Schmidt M, Pedersen L, Sorensen HT. The Danish Civil Registration System as a tool in</w:t>
      </w:r>
    </w:p>
    <w:p w:rsidR="00007BC5" w:rsidRPr="00007BC5" w:rsidRDefault="00007BC5" w:rsidP="00E12C02">
      <w:pPr>
        <w:pStyle w:val="Brdtekst"/>
        <w:tabs>
          <w:tab w:val="right" w:pos="360"/>
          <w:tab w:val="left" w:pos="540"/>
        </w:tabs>
        <w:spacing w:after="240"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 xml:space="preserve"> epidemiology.</w:t>
      </w:r>
      <w:r w:rsidRPr="00E12C02">
        <w:rPr>
          <w:i/>
          <w:iCs/>
          <w:noProof/>
          <w:sz w:val="24"/>
          <w:szCs w:val="24"/>
          <w:lang w:val="fr-FR"/>
        </w:rPr>
        <w:t xml:space="preserve"> Eur J Epidemiol</w:t>
      </w:r>
      <w:r w:rsidRPr="00007BC5">
        <w:rPr>
          <w:noProof/>
          <w:sz w:val="24"/>
          <w:szCs w:val="24"/>
          <w:lang w:val="fr-FR"/>
        </w:rPr>
        <w:t xml:space="preserve"> </w:t>
      </w:r>
      <w:r w:rsidRPr="00E12C02">
        <w:rPr>
          <w:bCs/>
          <w:noProof/>
          <w:sz w:val="24"/>
          <w:szCs w:val="24"/>
          <w:lang w:val="fr-FR"/>
        </w:rPr>
        <w:t>2014</w:t>
      </w:r>
      <w:r w:rsidRPr="00007BC5">
        <w:rPr>
          <w:noProof/>
          <w:sz w:val="24"/>
          <w:szCs w:val="24"/>
          <w:lang w:val="fr-FR"/>
        </w:rPr>
        <w:t>;29(8):541-9.</w:t>
      </w:r>
    </w:p>
    <w:p w:rsidR="00E12C02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ab/>
      </w:r>
      <w:r w:rsidR="00E12C02">
        <w:rPr>
          <w:noProof/>
          <w:sz w:val="24"/>
          <w:szCs w:val="24"/>
          <w:lang w:val="fr-FR"/>
        </w:rPr>
        <w:t xml:space="preserve">2. </w:t>
      </w:r>
      <w:r w:rsidRPr="00007BC5">
        <w:rPr>
          <w:noProof/>
          <w:sz w:val="24"/>
          <w:szCs w:val="24"/>
          <w:lang w:val="fr-FR"/>
        </w:rPr>
        <w:t xml:space="preserve">Lynge E, Sandegaard JL, Rebolj M. The Danish National Patient Register. </w:t>
      </w:r>
      <w:r w:rsidRPr="00E12C02">
        <w:rPr>
          <w:i/>
          <w:iCs/>
          <w:noProof/>
          <w:sz w:val="24"/>
          <w:szCs w:val="24"/>
          <w:lang w:val="fr-FR"/>
        </w:rPr>
        <w:t>Scand J Public Health</w:t>
      </w:r>
    </w:p>
    <w:p w:rsidR="00007BC5" w:rsidRPr="00007BC5" w:rsidRDefault="00007BC5" w:rsidP="00E12C02">
      <w:pPr>
        <w:pStyle w:val="Brdtekst"/>
        <w:tabs>
          <w:tab w:val="right" w:pos="360"/>
          <w:tab w:val="left" w:pos="540"/>
        </w:tabs>
        <w:spacing w:after="240"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 xml:space="preserve"> </w:t>
      </w:r>
      <w:r w:rsidRPr="00E12C02">
        <w:rPr>
          <w:bCs/>
          <w:noProof/>
          <w:sz w:val="24"/>
          <w:szCs w:val="24"/>
          <w:lang w:val="fr-FR"/>
        </w:rPr>
        <w:t>2011</w:t>
      </w:r>
      <w:r w:rsidRPr="00007BC5">
        <w:rPr>
          <w:noProof/>
          <w:sz w:val="24"/>
          <w:szCs w:val="24"/>
          <w:lang w:val="fr-FR"/>
        </w:rPr>
        <w:t>;39(7 Suppl):30-3.</w:t>
      </w:r>
    </w:p>
    <w:p w:rsidR="00E12C02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ab/>
      </w:r>
      <w:r w:rsidR="00E12C02">
        <w:rPr>
          <w:noProof/>
          <w:sz w:val="24"/>
          <w:szCs w:val="24"/>
          <w:lang w:val="fr-FR"/>
        </w:rPr>
        <w:t xml:space="preserve">3. </w:t>
      </w:r>
      <w:r w:rsidRPr="00007BC5">
        <w:rPr>
          <w:noProof/>
          <w:sz w:val="24"/>
          <w:szCs w:val="24"/>
          <w:lang w:val="fr-FR"/>
        </w:rPr>
        <w:t>Schmidt M, Schmidt SA, Sandegaard JL, Ehrenstein V, Pedersen L, Sorensen HT. The Danish</w:t>
      </w:r>
    </w:p>
    <w:p w:rsidR="00E12C02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 xml:space="preserve"> National Patient Registry: a review of content, data quality, and research potential. </w:t>
      </w:r>
      <w:r w:rsidRPr="00E12C02">
        <w:rPr>
          <w:i/>
          <w:iCs/>
          <w:noProof/>
          <w:sz w:val="24"/>
          <w:szCs w:val="24"/>
          <w:lang w:val="fr-FR"/>
        </w:rPr>
        <w:t>Clin Epidemiol</w:t>
      </w:r>
    </w:p>
    <w:p w:rsidR="00007BC5" w:rsidRPr="00007BC5" w:rsidRDefault="00007BC5" w:rsidP="00E12C02">
      <w:pPr>
        <w:pStyle w:val="Brdtekst"/>
        <w:tabs>
          <w:tab w:val="right" w:pos="360"/>
          <w:tab w:val="left" w:pos="540"/>
        </w:tabs>
        <w:spacing w:after="240" w:line="360" w:lineRule="auto"/>
        <w:ind w:left="540" w:hanging="540"/>
        <w:rPr>
          <w:noProof/>
          <w:sz w:val="24"/>
          <w:szCs w:val="24"/>
          <w:lang w:val="fr-FR"/>
        </w:rPr>
      </w:pPr>
      <w:r w:rsidRPr="00E12C02">
        <w:rPr>
          <w:bCs/>
          <w:noProof/>
          <w:sz w:val="24"/>
          <w:szCs w:val="24"/>
          <w:lang w:val="fr-FR"/>
        </w:rPr>
        <w:t xml:space="preserve"> 2015</w:t>
      </w:r>
      <w:r w:rsidRPr="00007BC5">
        <w:rPr>
          <w:noProof/>
          <w:sz w:val="24"/>
          <w:szCs w:val="24"/>
          <w:lang w:val="fr-FR"/>
        </w:rPr>
        <w:t>;7:449-90.</w:t>
      </w:r>
    </w:p>
    <w:p w:rsidR="00E12C02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ab/>
      </w:r>
      <w:r w:rsidR="00E12C02">
        <w:rPr>
          <w:noProof/>
          <w:sz w:val="24"/>
          <w:szCs w:val="24"/>
          <w:lang w:val="fr-FR"/>
        </w:rPr>
        <w:t xml:space="preserve">4. </w:t>
      </w:r>
      <w:r w:rsidRPr="00007BC5">
        <w:rPr>
          <w:noProof/>
          <w:sz w:val="24"/>
          <w:szCs w:val="24"/>
          <w:lang w:val="fr-FR"/>
        </w:rPr>
        <w:t>Charlson ME, Pompei P, Ales KL, MacKenzie CR. A new method of classifying prognostic</w:t>
      </w:r>
    </w:p>
    <w:p w:rsidR="00007BC5" w:rsidRPr="00007BC5" w:rsidRDefault="00007BC5" w:rsidP="00E12C02">
      <w:pPr>
        <w:pStyle w:val="Brdtekst"/>
        <w:tabs>
          <w:tab w:val="right" w:pos="360"/>
          <w:tab w:val="left" w:pos="540"/>
        </w:tabs>
        <w:spacing w:after="240"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 xml:space="preserve"> comorbidity in longitudinal studies: development and validation. </w:t>
      </w:r>
      <w:r w:rsidRPr="00E12C02">
        <w:rPr>
          <w:i/>
          <w:iCs/>
          <w:noProof/>
          <w:sz w:val="24"/>
          <w:szCs w:val="24"/>
          <w:lang w:val="fr-FR"/>
        </w:rPr>
        <w:t>J Chronic Dis</w:t>
      </w:r>
      <w:r w:rsidR="00E12C02" w:rsidRPr="00E12C02">
        <w:rPr>
          <w:i/>
          <w:iCs/>
          <w:noProof/>
          <w:sz w:val="24"/>
          <w:szCs w:val="24"/>
          <w:lang w:val="fr-FR"/>
        </w:rPr>
        <w:t xml:space="preserve"> </w:t>
      </w:r>
      <w:r w:rsidR="00E12C02">
        <w:rPr>
          <w:noProof/>
          <w:sz w:val="24"/>
          <w:szCs w:val="24"/>
          <w:lang w:val="fr-FR"/>
        </w:rPr>
        <w:t>1987</w:t>
      </w:r>
      <w:r w:rsidRPr="00007BC5">
        <w:rPr>
          <w:noProof/>
          <w:sz w:val="24"/>
          <w:szCs w:val="24"/>
          <w:lang w:val="fr-FR"/>
        </w:rPr>
        <w:t>;40(5):373-83.</w:t>
      </w:r>
    </w:p>
    <w:p w:rsidR="00E12C02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ab/>
      </w:r>
      <w:r w:rsidR="00E12C02">
        <w:rPr>
          <w:noProof/>
          <w:sz w:val="24"/>
          <w:szCs w:val="24"/>
          <w:lang w:val="fr-FR"/>
        </w:rPr>
        <w:t xml:space="preserve">5. </w:t>
      </w:r>
      <w:r w:rsidRPr="00007BC5">
        <w:rPr>
          <w:noProof/>
          <w:sz w:val="24"/>
          <w:szCs w:val="24"/>
          <w:lang w:val="fr-FR"/>
        </w:rPr>
        <w:t xml:space="preserve">Storm HH, Michelsen EV, Clemmensen IH, Pihl J. The Danish Cancer Registry--history, content, </w:t>
      </w:r>
    </w:p>
    <w:p w:rsidR="00007BC5" w:rsidRPr="00007BC5" w:rsidRDefault="00007BC5" w:rsidP="00E12C02">
      <w:pPr>
        <w:pStyle w:val="Brdtekst"/>
        <w:tabs>
          <w:tab w:val="right" w:pos="360"/>
          <w:tab w:val="left" w:pos="540"/>
        </w:tabs>
        <w:spacing w:after="240"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 xml:space="preserve">quality and use. </w:t>
      </w:r>
      <w:r w:rsidRPr="00E12C02">
        <w:rPr>
          <w:i/>
          <w:iCs/>
          <w:noProof/>
          <w:sz w:val="24"/>
          <w:szCs w:val="24"/>
          <w:lang w:val="fr-FR"/>
        </w:rPr>
        <w:t>Dan Med Bull</w:t>
      </w:r>
      <w:r w:rsidR="00E12C02">
        <w:rPr>
          <w:noProof/>
          <w:sz w:val="24"/>
          <w:szCs w:val="24"/>
          <w:lang w:val="fr-FR"/>
        </w:rPr>
        <w:t xml:space="preserve"> 1997</w:t>
      </w:r>
      <w:r w:rsidRPr="00007BC5">
        <w:rPr>
          <w:noProof/>
          <w:sz w:val="24"/>
          <w:szCs w:val="24"/>
          <w:lang w:val="fr-FR"/>
        </w:rPr>
        <w:t>;44(5):535-9.</w:t>
      </w:r>
    </w:p>
    <w:p w:rsidR="00E12C02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ab/>
      </w:r>
      <w:r w:rsidR="00E12C02">
        <w:rPr>
          <w:noProof/>
          <w:sz w:val="24"/>
          <w:szCs w:val="24"/>
          <w:lang w:val="fr-FR"/>
        </w:rPr>
        <w:t xml:space="preserve">6. </w:t>
      </w:r>
      <w:r w:rsidRPr="00007BC5">
        <w:rPr>
          <w:noProof/>
          <w:sz w:val="24"/>
          <w:szCs w:val="24"/>
          <w:lang w:val="fr-FR"/>
        </w:rPr>
        <w:t xml:space="preserve">Jensen VM, Rasmussen AW. Danish Education Registers. </w:t>
      </w:r>
      <w:r w:rsidRPr="00E12C02">
        <w:rPr>
          <w:i/>
          <w:iCs/>
          <w:noProof/>
          <w:sz w:val="24"/>
          <w:szCs w:val="24"/>
          <w:lang w:val="fr-FR"/>
        </w:rPr>
        <w:t>Scand J Public Health</w:t>
      </w:r>
      <w:r w:rsidR="00E12C02">
        <w:rPr>
          <w:noProof/>
          <w:sz w:val="24"/>
          <w:szCs w:val="24"/>
          <w:lang w:val="fr-FR"/>
        </w:rPr>
        <w:t xml:space="preserve"> 2011 </w:t>
      </w:r>
      <w:r w:rsidRPr="00007BC5">
        <w:rPr>
          <w:noProof/>
          <w:sz w:val="24"/>
          <w:szCs w:val="24"/>
          <w:lang w:val="fr-FR"/>
        </w:rPr>
        <w:t>;39(7</w:t>
      </w:r>
    </w:p>
    <w:p w:rsidR="00007BC5" w:rsidRPr="00007BC5" w:rsidRDefault="00007BC5" w:rsidP="00E12C02">
      <w:pPr>
        <w:pStyle w:val="Brdtekst"/>
        <w:tabs>
          <w:tab w:val="right" w:pos="360"/>
          <w:tab w:val="left" w:pos="540"/>
        </w:tabs>
        <w:spacing w:after="240"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 xml:space="preserve"> Suppl):91-4.</w:t>
      </w:r>
    </w:p>
    <w:p w:rsidR="00E12C02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ab/>
      </w:r>
      <w:r w:rsidR="00E12C02">
        <w:rPr>
          <w:noProof/>
          <w:sz w:val="24"/>
          <w:szCs w:val="24"/>
          <w:lang w:val="fr-FR"/>
        </w:rPr>
        <w:t xml:space="preserve">7. </w:t>
      </w:r>
      <w:r w:rsidRPr="00007BC5">
        <w:rPr>
          <w:noProof/>
          <w:sz w:val="24"/>
          <w:szCs w:val="24"/>
          <w:lang w:val="fr-FR"/>
        </w:rPr>
        <w:t>Statistics Denmark. Employment Available from: URL:</w:t>
      </w:r>
    </w:p>
    <w:p w:rsidR="00E12C02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rStyle w:val="Hyperlink"/>
          <w:rFonts w:ascii="Calibri" w:hAnsi="Calibri" w:cs="Calibri"/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 xml:space="preserve"> </w:t>
      </w:r>
      <w:r w:rsidRPr="00007BC5">
        <w:rPr>
          <w:noProof/>
          <w:sz w:val="24"/>
          <w:szCs w:val="24"/>
          <w:u w:val="single"/>
          <w:lang w:val="fr-FR"/>
        </w:rPr>
        <w:t>https://</w:t>
      </w:r>
      <w:hyperlink r:id="rId4" w:history="1">
        <w:r w:rsidRPr="00007BC5">
          <w:rPr>
            <w:rStyle w:val="Hyperlink"/>
            <w:rFonts w:ascii="Calibri" w:hAnsi="Calibri" w:cs="Calibri"/>
            <w:noProof/>
            <w:sz w:val="24"/>
            <w:szCs w:val="24"/>
            <w:lang w:val="fr-FR"/>
          </w:rPr>
          <w:t>www.dst.dk/en/Statistik/dokumentation/documentationofstatistics/income-statistics</w:t>
        </w:r>
      </w:hyperlink>
      <w:r>
        <w:rPr>
          <w:rStyle w:val="Hyperlink"/>
          <w:rFonts w:ascii="Calibri" w:hAnsi="Calibri" w:cs="Calibri"/>
          <w:noProof/>
          <w:sz w:val="24"/>
          <w:szCs w:val="24"/>
          <w:lang w:val="fr-FR"/>
        </w:rPr>
        <w:t>.</w:t>
      </w:r>
    </w:p>
    <w:p w:rsidR="00007BC5" w:rsidRPr="00007BC5" w:rsidRDefault="00007BC5" w:rsidP="00E12C02">
      <w:pPr>
        <w:pStyle w:val="Brdtekst"/>
        <w:tabs>
          <w:tab w:val="right" w:pos="360"/>
          <w:tab w:val="left" w:pos="540"/>
        </w:tabs>
        <w:spacing w:after="240" w:line="360" w:lineRule="auto"/>
        <w:ind w:left="540" w:hanging="540"/>
        <w:rPr>
          <w:noProof/>
          <w:sz w:val="24"/>
          <w:szCs w:val="24"/>
          <w:lang w:val="fr-FR"/>
        </w:rPr>
      </w:pPr>
      <w:r>
        <w:rPr>
          <w:rStyle w:val="Hyperlink"/>
          <w:rFonts w:ascii="Calibri" w:hAnsi="Calibri" w:cs="Calibri"/>
          <w:noProof/>
          <w:sz w:val="24"/>
          <w:szCs w:val="24"/>
          <w:lang w:val="fr-FR"/>
        </w:rPr>
        <w:t xml:space="preserve"> </w:t>
      </w:r>
      <w:r w:rsidRPr="00007BC5">
        <w:rPr>
          <w:rStyle w:val="Hyperlink"/>
          <w:rFonts w:ascii="Calibri" w:hAnsi="Calibri" w:cs="Calibri"/>
          <w:noProof/>
          <w:color w:val="auto"/>
          <w:sz w:val="24"/>
          <w:szCs w:val="24"/>
          <w:u w:val="none"/>
          <w:lang w:val="fr-FR"/>
        </w:rPr>
        <w:t>Accessed Marts 18 201</w:t>
      </w:r>
      <w:r>
        <w:rPr>
          <w:rStyle w:val="Hyperlink"/>
          <w:rFonts w:ascii="Calibri" w:hAnsi="Calibri" w:cs="Calibri"/>
          <w:noProof/>
          <w:color w:val="auto"/>
          <w:sz w:val="24"/>
          <w:szCs w:val="24"/>
          <w:u w:val="none"/>
          <w:lang w:val="fr-FR"/>
        </w:rPr>
        <w:t>9</w:t>
      </w:r>
    </w:p>
    <w:p w:rsidR="00E12C02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ab/>
      </w:r>
      <w:r w:rsidR="00E12C02">
        <w:rPr>
          <w:noProof/>
          <w:sz w:val="24"/>
          <w:szCs w:val="24"/>
          <w:lang w:val="fr-FR"/>
        </w:rPr>
        <w:t xml:space="preserve">8. </w:t>
      </w:r>
      <w:r w:rsidRPr="00007BC5">
        <w:rPr>
          <w:noProof/>
          <w:sz w:val="24"/>
          <w:szCs w:val="24"/>
          <w:lang w:val="fr-FR"/>
        </w:rPr>
        <w:t>Statistics Denmark. Census of Housing Available from: URL:</w:t>
      </w:r>
    </w:p>
    <w:p w:rsidR="00E12C02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rStyle w:val="Hyperlink"/>
          <w:rFonts w:ascii="Calibri" w:hAnsi="Calibri" w:cs="Calibri"/>
          <w:noProof/>
          <w:sz w:val="24"/>
          <w:szCs w:val="24"/>
          <w:lang w:val="fr-FR"/>
        </w:rPr>
      </w:pPr>
      <w:r w:rsidRPr="00007BC5">
        <w:rPr>
          <w:noProof/>
          <w:sz w:val="24"/>
          <w:szCs w:val="24"/>
          <w:lang w:val="fr-FR"/>
        </w:rPr>
        <w:t xml:space="preserve"> </w:t>
      </w:r>
      <w:r w:rsidRPr="00007BC5">
        <w:rPr>
          <w:noProof/>
          <w:sz w:val="24"/>
          <w:szCs w:val="24"/>
          <w:u w:val="single"/>
          <w:lang w:val="fr-FR"/>
        </w:rPr>
        <w:t>https://</w:t>
      </w:r>
      <w:hyperlink r:id="rId5" w:history="1">
        <w:r w:rsidRPr="00007BC5">
          <w:rPr>
            <w:rStyle w:val="Hyperlink"/>
            <w:rFonts w:ascii="Calibri" w:hAnsi="Calibri" w:cs="Calibri"/>
            <w:noProof/>
            <w:sz w:val="24"/>
            <w:szCs w:val="24"/>
            <w:lang w:val="fr-FR"/>
          </w:rPr>
          <w:t>www.dst.dk/en/Statistik/dokumentation/documentationofstatistics/census-of-</w:t>
        </w:r>
        <w:r w:rsidRPr="00007BC5">
          <w:rPr>
            <w:rStyle w:val="Hyperlink"/>
            <w:rFonts w:ascii="Calibri" w:hAnsi="Calibri" w:cs="Calibri"/>
            <w:noProof/>
            <w:sz w:val="24"/>
            <w:szCs w:val="24"/>
            <w:lang w:val="fr-FR"/>
          </w:rPr>
          <w:t>housing</w:t>
        </w:r>
      </w:hyperlink>
    </w:p>
    <w:p w:rsidR="00007BC5" w:rsidRPr="00007BC5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noProof/>
          <w:sz w:val="24"/>
          <w:szCs w:val="24"/>
          <w:u w:val="single"/>
          <w:lang w:val="fr-FR"/>
        </w:rPr>
      </w:pPr>
      <w:r>
        <w:rPr>
          <w:rStyle w:val="Hyperlink"/>
          <w:rFonts w:ascii="Calibri" w:hAnsi="Calibri" w:cs="Calibri"/>
          <w:noProof/>
          <w:sz w:val="24"/>
          <w:szCs w:val="24"/>
          <w:lang w:val="fr-FR"/>
        </w:rPr>
        <w:t xml:space="preserve"> </w:t>
      </w:r>
      <w:r w:rsidRPr="00007BC5">
        <w:rPr>
          <w:rStyle w:val="Hyperlink"/>
          <w:rFonts w:ascii="Calibri" w:hAnsi="Calibri" w:cs="Calibri"/>
          <w:noProof/>
          <w:color w:val="auto"/>
          <w:sz w:val="24"/>
          <w:szCs w:val="24"/>
          <w:u w:val="none"/>
          <w:lang w:val="fr-FR"/>
        </w:rPr>
        <w:t>Accessed Marts 18 201</w:t>
      </w:r>
      <w:r>
        <w:rPr>
          <w:rStyle w:val="Hyperlink"/>
          <w:rFonts w:ascii="Calibri" w:hAnsi="Calibri" w:cs="Calibri"/>
          <w:noProof/>
          <w:color w:val="auto"/>
          <w:sz w:val="24"/>
          <w:szCs w:val="24"/>
          <w:u w:val="none"/>
          <w:lang w:val="fr-FR"/>
        </w:rPr>
        <w:t>9</w:t>
      </w:r>
    </w:p>
    <w:p w:rsidR="00007BC5" w:rsidRDefault="00007BC5" w:rsidP="00E12C02">
      <w:pPr>
        <w:pStyle w:val="Brdtekst"/>
        <w:tabs>
          <w:tab w:val="right" w:pos="360"/>
          <w:tab w:val="left" w:pos="540"/>
        </w:tabs>
        <w:spacing w:line="360" w:lineRule="auto"/>
        <w:ind w:left="540" w:hanging="540"/>
        <w:rPr>
          <w:noProof/>
          <w:szCs w:val="24"/>
          <w:lang w:val="fr-FR"/>
        </w:rPr>
      </w:pPr>
    </w:p>
    <w:p w:rsidR="006D21D4" w:rsidRDefault="00007BC5" w:rsidP="00E12C02">
      <w:pPr>
        <w:autoSpaceDE w:val="0"/>
        <w:autoSpaceDN w:val="0"/>
        <w:adjustRightInd w:val="0"/>
        <w:spacing w:after="0"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fr-FR"/>
        </w:rPr>
        <w:fldChar w:fldCharType="end"/>
      </w:r>
      <w:r w:rsidR="006D21D4">
        <w:rPr>
          <w:lang w:val="en-US"/>
        </w:rPr>
        <w:br w:type="page"/>
      </w:r>
      <w:r w:rsidR="006D21D4">
        <w:rPr>
          <w:b/>
          <w:bCs/>
          <w:sz w:val="24"/>
          <w:szCs w:val="24"/>
          <w:lang w:val="en-US"/>
        </w:rPr>
        <w:lastRenderedPageBreak/>
        <w:t>Appendix 2</w:t>
      </w:r>
    </w:p>
    <w:p w:rsidR="006D21D4" w:rsidRDefault="006D21D4">
      <w:pPr>
        <w:pStyle w:val="Brdtekst2"/>
      </w:pPr>
      <w:r>
        <w:t>Flow charts of study cohorts of patients with a history of herpes simplex type 1 or herpes simplex type 2 central nervous system infection (HSV-1 patients and HSV-2 patients) and their respective comparison cohorts</w:t>
      </w:r>
    </w:p>
    <w:p w:rsidR="006D21D4" w:rsidRDefault="006D21D4">
      <w:pPr>
        <w:pStyle w:val="Overskrift1"/>
        <w:rPr>
          <w:rFonts w:ascii="Times New Roman" w:hAnsi="Times New Roman" w:cs="Times New Roman"/>
          <w:lang w:val="en-US"/>
        </w:rPr>
      </w:pPr>
    </w:p>
    <w:p w:rsidR="006D21D4" w:rsidRDefault="006D21D4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 xml:space="preserve">  </w:t>
      </w:r>
      <w:r>
        <w:rPr>
          <w:noProof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0.85pt;height:354.35pt" o:ole="">
            <v:imagedata r:id="rId6" o:title=""/>
          </v:shape>
          <o:OLEObject Type="Embed" ProgID="PowerPoint.Show.8" ShapeID="_x0000_i1025" DrawAspect="Content" ObjectID="_1652290242" r:id="rId7"/>
        </w:object>
      </w: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  <w:r>
        <w:rPr>
          <w:b/>
          <w:bCs/>
          <w:sz w:val="24"/>
          <w:szCs w:val="24"/>
          <w:lang w:val="en-US"/>
        </w:rPr>
        <w:lastRenderedPageBreak/>
        <w:t xml:space="preserve">Appendix 3 </w:t>
      </w: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Diagnostic codes used in the study</w:t>
      </w:r>
    </w:p>
    <w:p w:rsidR="006D21D4" w:rsidRDefault="006D21D4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  <w:lang w:val="en-US"/>
        </w:rPr>
      </w:pPr>
    </w:p>
    <w:p w:rsidR="006D21D4" w:rsidRDefault="006D21D4">
      <w:pPr>
        <w:pStyle w:val="Brdtekst"/>
        <w:spacing w:line="360" w:lineRule="auto"/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Cancers</w:t>
      </w:r>
      <w:r>
        <w:rPr>
          <w:sz w:val="24"/>
          <w:szCs w:val="24"/>
          <w:lang w:val="en-US"/>
        </w:rPr>
        <w:t xml:space="preserve"> were coded according ICD-9/ICD-10 during the complete study period. Non-melanoma skin cancers were excluded: </w:t>
      </w:r>
    </w:p>
    <w:p w:rsidR="006D21D4" w:rsidRDefault="006D21D4">
      <w:pPr>
        <w:pStyle w:val="Brdtekst"/>
        <w:spacing w:line="360" w:lineRule="auto"/>
        <w:rPr>
          <w:sz w:val="24"/>
          <w:szCs w:val="24"/>
          <w:lang w:val="en-US"/>
        </w:rPr>
      </w:pPr>
      <w:r>
        <w:rPr>
          <w:rStyle w:val="shorttext"/>
          <w:sz w:val="24"/>
          <w:szCs w:val="24"/>
        </w:rPr>
        <w:t>Cancer excluding non-melanoma skin cancer: C00.0 to C43.9 and C45.0 to C99.9</w:t>
      </w:r>
      <w:r>
        <w:rPr>
          <w:sz w:val="24"/>
          <w:szCs w:val="24"/>
          <w:lang w:val="en-US"/>
        </w:rPr>
        <w:t xml:space="preserve"> </w:t>
      </w:r>
    </w:p>
    <w:p w:rsidR="006D21D4" w:rsidRDefault="006D21D4">
      <w:pPr>
        <w:pStyle w:val="Brdtekst"/>
        <w:spacing w:line="360" w:lineRule="auto"/>
        <w:rPr>
          <w:sz w:val="24"/>
          <w:szCs w:val="24"/>
          <w:lang w:val="en-US"/>
        </w:rPr>
      </w:pPr>
    </w:p>
    <w:p w:rsidR="006D21D4" w:rsidRDefault="006D21D4">
      <w:pPr>
        <w:pStyle w:val="Brdtekst"/>
        <w:spacing w:line="360" w:lineRule="auto"/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Dementia: </w:t>
      </w:r>
      <w:r>
        <w:rPr>
          <w:sz w:val="24"/>
          <w:szCs w:val="24"/>
          <w:lang w:val="en-US"/>
        </w:rPr>
        <w:t>F0.0 to F03.0</w:t>
      </w:r>
    </w:p>
    <w:p w:rsidR="006D21D4" w:rsidRDefault="006D21D4">
      <w:pPr>
        <w:pStyle w:val="Brdtekst"/>
        <w:spacing w:line="360" w:lineRule="auto"/>
        <w:rPr>
          <w:sz w:val="24"/>
          <w:szCs w:val="24"/>
          <w:lang w:val="en-US"/>
        </w:rPr>
      </w:pPr>
    </w:p>
    <w:p w:rsidR="006D21D4" w:rsidRDefault="006D21D4">
      <w:pPr>
        <w:pStyle w:val="Brdtekst"/>
        <w:spacing w:line="360" w:lineRule="auto"/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Epilepsy</w:t>
      </w:r>
      <w:r>
        <w:rPr>
          <w:sz w:val="24"/>
          <w:szCs w:val="24"/>
          <w:lang w:val="en-US"/>
        </w:rPr>
        <w:t xml:space="preserve">: </w:t>
      </w:r>
      <w:r>
        <w:rPr>
          <w:color w:val="000000"/>
          <w:sz w:val="24"/>
          <w:szCs w:val="24"/>
          <w:lang w:val="en-US"/>
        </w:rPr>
        <w:t>G40 to G41.9</w:t>
      </w:r>
    </w:p>
    <w:p w:rsidR="006D21D4" w:rsidRDefault="006D21D4">
      <w:pPr>
        <w:pStyle w:val="Brdtekst"/>
        <w:spacing w:line="360" w:lineRule="auto"/>
        <w:rPr>
          <w:sz w:val="24"/>
          <w:szCs w:val="24"/>
          <w:lang w:val="en-US"/>
        </w:rPr>
      </w:pPr>
    </w:p>
    <w:p w:rsidR="006D21D4" w:rsidRDefault="006D21D4">
      <w:pPr>
        <w:pStyle w:val="Brdtekst"/>
        <w:spacing w:line="360" w:lineRule="auto"/>
        <w:rPr>
          <w:lang w:val="en-US"/>
        </w:rPr>
      </w:pPr>
    </w:p>
    <w:p w:rsidR="006D21D4" w:rsidRDefault="006D21D4">
      <w:pPr>
        <w:pStyle w:val="Brdtekst"/>
        <w:rPr>
          <w:b/>
          <w:bCs/>
          <w:lang w:val="en-US"/>
        </w:rPr>
      </w:pPr>
    </w:p>
    <w:p w:rsidR="006D21D4" w:rsidRDefault="006D21D4">
      <w:pPr>
        <w:pStyle w:val="Brdtekst"/>
        <w:rPr>
          <w:rFonts w:ascii="Times New Roman" w:hAnsi="Times New Roman" w:cs="Times New Roman"/>
          <w:b/>
          <w:bCs/>
          <w:lang w:val="en-US"/>
        </w:rPr>
      </w:pPr>
    </w:p>
    <w:p w:rsidR="006D21D4" w:rsidRDefault="006D21D4">
      <w:pPr>
        <w:pStyle w:val="Brdtekst"/>
        <w:rPr>
          <w:rFonts w:ascii="Times New Roman" w:hAnsi="Times New Roman" w:cs="Times New Roman"/>
          <w:b/>
          <w:bCs/>
          <w:lang w:val="en-US"/>
        </w:rPr>
      </w:pPr>
    </w:p>
    <w:p w:rsidR="006D21D4" w:rsidRDefault="006D21D4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</w:p>
    <w:p w:rsidR="006D21D4" w:rsidRDefault="006D21D4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</w:p>
    <w:p w:rsidR="006D21D4" w:rsidRDefault="006D21D4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</w:p>
    <w:p w:rsidR="006D21D4" w:rsidRDefault="006D21D4">
      <w:pPr>
        <w:pStyle w:val="Brdtekst2"/>
        <w:autoSpaceDE/>
        <w:autoSpaceDN/>
        <w:adjustRightInd/>
        <w:spacing w:after="160" w:line="259" w:lineRule="auto"/>
        <w:rPr>
          <w:rFonts w:ascii="Arial Unicode MS"/>
          <w:b/>
          <w:bCs/>
          <w:color w:val="FF0000"/>
          <w:lang w:eastAsia="da-DK"/>
        </w:rPr>
      </w:pPr>
      <w:r>
        <w:rPr>
          <w:b/>
          <w:bCs/>
          <w:color w:val="auto"/>
          <w:lang w:eastAsia="da-DK"/>
        </w:rPr>
        <w:br w:type="page"/>
      </w:r>
      <w:r>
        <w:rPr>
          <w:b/>
          <w:bCs/>
          <w:color w:val="auto"/>
          <w:lang w:eastAsia="da-DK"/>
        </w:rPr>
        <w:lastRenderedPageBreak/>
        <w:t xml:space="preserve">Supplementary Figure 1. Cumulative incidence of dementia in patients with herpes simplex type 1 (HSV-1) central nervous system infection (full line) and in the comparison cohort (broken </w:t>
      </w:r>
      <w:proofErr w:type="gramStart"/>
      <w:r>
        <w:rPr>
          <w:b/>
          <w:bCs/>
          <w:color w:val="auto"/>
          <w:lang w:eastAsia="da-DK"/>
        </w:rPr>
        <w:t>line)*</w:t>
      </w:r>
      <w:proofErr w:type="gramEnd"/>
      <w:r>
        <w:rPr>
          <w:b/>
          <w:bCs/>
          <w:color w:val="auto"/>
          <w:lang w:eastAsia="da-DK"/>
        </w:rPr>
        <w:t>.</w:t>
      </w:r>
    </w:p>
    <w:p w:rsidR="006D21D4" w:rsidRDefault="00E96E82">
      <w:pPr>
        <w:rPr>
          <w:rFonts w:ascii="Arial Unicode MS"/>
          <w:b/>
          <w:bCs/>
          <w:lang w:val="en-US"/>
        </w:rPr>
      </w:pPr>
      <w:r w:rsidRPr="00E96E82">
        <w:rPr>
          <w:rFonts w:ascii="Arial Unicode MS"/>
          <w:b/>
          <w:bCs/>
          <w:noProof/>
          <w:lang w:val="en-US"/>
        </w:rPr>
        <w:drawing>
          <wp:inline distT="0" distB="0" distL="0" distR="0">
            <wp:extent cx="5525193" cy="4623437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03" cy="46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21D4" w:rsidRDefault="006D21D4">
      <w:pPr>
        <w:rPr>
          <w:b/>
          <w:bCs/>
          <w:lang w:val="en-US"/>
        </w:rPr>
      </w:pPr>
      <w:r>
        <w:rPr>
          <w:b/>
          <w:bCs/>
          <w:lang w:val="en-US"/>
        </w:rPr>
        <w:t>*No HSV-2 patients were diagnosed with dementia after the date of study inclusion</w:t>
      </w:r>
    </w:p>
    <w:p w:rsidR="006D21D4" w:rsidRDefault="006D21D4">
      <w:pPr>
        <w:rPr>
          <w:b/>
          <w:bCs/>
          <w:lang w:val="en-US"/>
        </w:rPr>
      </w:pPr>
    </w:p>
    <w:p w:rsidR="006D21D4" w:rsidRDefault="006D21D4">
      <w:pPr>
        <w:pStyle w:val="Brdtekst2"/>
        <w:autoSpaceDE/>
        <w:autoSpaceDN/>
        <w:adjustRightInd/>
        <w:spacing w:after="160" w:line="259" w:lineRule="auto"/>
        <w:rPr>
          <w:b/>
          <w:bCs/>
          <w:color w:val="auto"/>
          <w:lang w:eastAsia="da-DK"/>
        </w:rPr>
      </w:pPr>
      <w:r>
        <w:rPr>
          <w:b/>
          <w:bCs/>
          <w:color w:val="auto"/>
          <w:lang w:eastAsia="da-DK"/>
        </w:rPr>
        <w:br w:type="page"/>
      </w:r>
      <w:r>
        <w:rPr>
          <w:b/>
          <w:bCs/>
          <w:color w:val="auto"/>
          <w:lang w:eastAsia="da-DK"/>
        </w:rPr>
        <w:lastRenderedPageBreak/>
        <w:t xml:space="preserve">Supplementary Figure 2. Proportion (%) with a hospital contact with a diagnosis of epilepsy in patients with Herpes simplex virus type 1 (HSV-1) and Herpes simplex virus type 2 (HSV-2) central nervous system infection (black) and in the comparison cohorts (white). </w:t>
      </w:r>
    </w:p>
    <w:tbl>
      <w:tblPr>
        <w:tblW w:w="0" w:type="auto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9"/>
        <w:gridCol w:w="4857"/>
      </w:tblGrid>
      <w:tr w:rsidR="006D21D4" w:rsidRPr="00E12C02"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HSV-1 patients and comparison cohort members 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b)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HSV-2 patients and comparison cohort members </w:t>
            </w:r>
          </w:p>
        </w:tc>
      </w:tr>
      <w:tr w:rsidR="006D21D4">
        <w:trPr>
          <w:trHeight w:val="4351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C62FD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eastAsia="da-DK"/>
              </w:rPr>
              <w:drawing>
                <wp:inline distT="0" distB="0" distL="0" distR="0">
                  <wp:extent cx="2771775" cy="2438400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C62FD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eastAsia="da-DK"/>
              </w:rPr>
              <w:drawing>
                <wp:inline distT="0" distB="0" distL="0" distR="0">
                  <wp:extent cx="2828925" cy="2524125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1D4" w:rsidRDefault="006D21D4">
      <w:pPr>
        <w:rPr>
          <w:b/>
          <w:bCs/>
          <w:lang w:val="en-US"/>
        </w:rPr>
      </w:pPr>
    </w:p>
    <w:p w:rsidR="006D21D4" w:rsidRDefault="006D21D4">
      <w:pPr>
        <w:rPr>
          <w:b/>
          <w:bCs/>
          <w:lang w:val="en-US"/>
        </w:rPr>
      </w:pPr>
    </w:p>
    <w:p w:rsidR="006D21D4" w:rsidRDefault="006D21D4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</w:p>
    <w:p w:rsidR="006D21D4" w:rsidRDefault="006D21D4">
      <w:pPr>
        <w:rPr>
          <w:b/>
          <w:bCs/>
          <w:lang w:val="en-US"/>
        </w:rPr>
      </w:pPr>
    </w:p>
    <w:p w:rsidR="006D21D4" w:rsidRDefault="006D21D4">
      <w:pPr>
        <w:pStyle w:val="Brdtekst2"/>
        <w:autoSpaceDE/>
        <w:autoSpaceDN/>
        <w:adjustRightInd/>
        <w:spacing w:after="160" w:line="259" w:lineRule="auto"/>
        <w:rPr>
          <w:b/>
          <w:bCs/>
          <w:color w:val="auto"/>
          <w:lang w:eastAsia="da-DK"/>
        </w:rPr>
      </w:pPr>
      <w:r>
        <w:rPr>
          <w:b/>
          <w:bCs/>
          <w:color w:val="auto"/>
          <w:lang w:eastAsia="da-DK"/>
        </w:rPr>
        <w:br w:type="page"/>
      </w:r>
      <w:r>
        <w:rPr>
          <w:b/>
          <w:bCs/>
          <w:color w:val="auto"/>
          <w:lang w:eastAsia="da-DK"/>
        </w:rPr>
        <w:lastRenderedPageBreak/>
        <w:t xml:space="preserve">Supplementary Figure 3. Mean number of inpatient days/year and mean number of outpatient hospital visits/year in patients with Herpes simplex virus type 1 (HSV-1) and Herpes simplex virus type 2 (HSV-2) central nervous system infection (black) and in the comparison cohorts (white). </w:t>
      </w:r>
      <w:bookmarkStart w:id="1" w:name="OLE_LINK1"/>
    </w:p>
    <w:tbl>
      <w:tblPr>
        <w:tblW w:w="0" w:type="auto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0"/>
        <w:gridCol w:w="4846"/>
      </w:tblGrid>
      <w:tr w:rsidR="006D21D4" w:rsidRPr="00E12C02"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bookmarkEnd w:id="1"/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Mean number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of inpatient </w:t>
            </w:r>
            <w:proofErr w:type="gramStart"/>
            <w:r>
              <w:rPr>
                <w:b/>
                <w:bCs/>
                <w:sz w:val="20"/>
                <w:szCs w:val="20"/>
                <w:lang w:val="en-US"/>
              </w:rPr>
              <w:t>days/year</w:t>
            </w:r>
            <w:proofErr w:type="gramEnd"/>
            <w:r>
              <w:rPr>
                <w:b/>
                <w:bCs/>
                <w:sz w:val="20"/>
                <w:szCs w:val="20"/>
                <w:lang w:val="en-US"/>
              </w:rPr>
              <w:t xml:space="preserve"> in HSV-1 patients and comparison cohort members 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b) </w:t>
            </w:r>
            <w:r>
              <w:rPr>
                <w:b/>
                <w:bCs/>
                <w:sz w:val="20"/>
                <w:szCs w:val="20"/>
                <w:lang w:val="en-US"/>
              </w:rPr>
              <w:t>Mean number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of inpatient </w:t>
            </w:r>
            <w:proofErr w:type="gramStart"/>
            <w:r>
              <w:rPr>
                <w:b/>
                <w:bCs/>
                <w:sz w:val="20"/>
                <w:szCs w:val="20"/>
                <w:lang w:val="en-US"/>
              </w:rPr>
              <w:t>days/year</w:t>
            </w:r>
            <w:proofErr w:type="gramEnd"/>
            <w:r>
              <w:rPr>
                <w:b/>
                <w:bCs/>
                <w:sz w:val="20"/>
                <w:szCs w:val="20"/>
                <w:lang w:val="en-US"/>
              </w:rPr>
              <w:t xml:space="preserve"> in HSV-2 patients and comparison cohort members 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6D21D4">
        <w:trPr>
          <w:trHeight w:val="4273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C62FD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eastAsia="da-DK"/>
              </w:rPr>
              <w:drawing>
                <wp:inline distT="0" distB="0" distL="0" distR="0">
                  <wp:extent cx="2933700" cy="2524125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w:object w:dxaOrig="4441" w:dyaOrig="3961">
                <v:shape id="_x0000_i1026" type="#_x0000_t75" alt="" style="width:222.1pt;height:198.55pt" o:ole="">
                  <v:imagedata r:id="rId12" o:title=""/>
                </v:shape>
                <o:OLEObject Type="Embed" ProgID="Word.Picture.8" ShapeID="_x0000_i1026" DrawAspect="Content" ObjectID="_1652290243" r:id="rId13"/>
              </w:object>
            </w:r>
          </w:p>
        </w:tc>
      </w:tr>
      <w:tr w:rsidR="006D21D4" w:rsidRPr="00E12C02">
        <w:trPr>
          <w:trHeight w:val="630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Mean number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of outpatient visits/year in HSV-1 patients and comparison cohort members 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Mean number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of outpatient visits/year in HSV-2 patients and comparison cohort members 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6D21D4">
        <w:trPr>
          <w:trHeight w:val="4301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C62FD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eastAsia="da-DK"/>
              </w:rPr>
              <w:drawing>
                <wp:inline distT="0" distB="0" distL="0" distR="0">
                  <wp:extent cx="2962275" cy="2419350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w:object w:dxaOrig="4666" w:dyaOrig="4036">
                <v:shape id="_x0000_i1027" type="#_x0000_t75" alt="" style="width:231.25pt;height:197.65pt" o:ole="">
                  <v:imagedata r:id="rId15" o:title=""/>
                </v:shape>
                <o:OLEObject Type="Embed" ProgID="Word.Picture.8" ShapeID="_x0000_i1027" DrawAspect="Content" ObjectID="_1652290244" r:id="rId16"/>
              </w:object>
            </w:r>
          </w:p>
        </w:tc>
      </w:tr>
    </w:tbl>
    <w:p w:rsidR="006D21D4" w:rsidRDefault="006D21D4">
      <w:pPr>
        <w:rPr>
          <w:b/>
          <w:bCs/>
          <w:lang w:val="en-US"/>
        </w:rPr>
      </w:pPr>
    </w:p>
    <w:p w:rsidR="006D21D4" w:rsidRDefault="006D21D4">
      <w:pPr>
        <w:rPr>
          <w:rFonts w:ascii="Arial Unicode MS"/>
          <w:b/>
          <w:bCs/>
          <w:lang w:val="en-US"/>
        </w:rPr>
      </w:pPr>
    </w:p>
    <w:p w:rsidR="006D21D4" w:rsidRDefault="006D21D4">
      <w:pPr>
        <w:rPr>
          <w:rFonts w:ascii="Arial Unicode MS"/>
          <w:b/>
          <w:bCs/>
          <w:lang w:val="en-US"/>
        </w:rPr>
      </w:pPr>
    </w:p>
    <w:p w:rsidR="006D21D4" w:rsidRDefault="006D21D4">
      <w:pPr>
        <w:rPr>
          <w:b/>
          <w:bCs/>
          <w:sz w:val="24"/>
          <w:szCs w:val="24"/>
          <w:lang w:val="en-US"/>
        </w:rPr>
      </w:pPr>
      <w:r>
        <w:rPr>
          <w:b/>
          <w:bCs/>
          <w:lang w:val="en-US"/>
        </w:rPr>
        <w:br w:type="page"/>
      </w:r>
      <w:r>
        <w:rPr>
          <w:b/>
          <w:bCs/>
          <w:sz w:val="24"/>
          <w:szCs w:val="24"/>
          <w:lang w:val="en-US"/>
        </w:rPr>
        <w:lastRenderedPageBreak/>
        <w:t>Supplementary Figure 4. Proportion (%) visiting a department of neurology in patients with</w:t>
      </w:r>
      <w:r>
        <w:rPr>
          <w:lang w:val="en-US"/>
        </w:rPr>
        <w:t xml:space="preserve"> </w:t>
      </w:r>
      <w:r>
        <w:rPr>
          <w:b/>
          <w:bCs/>
          <w:sz w:val="24"/>
          <w:szCs w:val="24"/>
          <w:lang w:val="en-US"/>
        </w:rPr>
        <w:t xml:space="preserve">Herpes simplex virus type 1 (HSV-1) and Herpes simplex virus type 2 (HSV-2) central nervous system infection (black) and in the comparison cohorts (white).  </w:t>
      </w:r>
    </w:p>
    <w:tbl>
      <w:tblPr>
        <w:tblW w:w="0" w:type="auto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5"/>
        <w:gridCol w:w="4861"/>
      </w:tblGrid>
      <w:tr w:rsidR="006D21D4" w:rsidRPr="00E12C02"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HSV-1 patients and comparison cohort members 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b)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HSV-2 patients and comparison cohort members </w:t>
            </w:r>
          </w:p>
        </w:tc>
      </w:tr>
      <w:tr w:rsidR="006D21D4">
        <w:trPr>
          <w:trHeight w:val="4351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C62FD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eastAsia="da-DK"/>
              </w:rPr>
              <w:drawing>
                <wp:inline distT="0" distB="0" distL="0" distR="0">
                  <wp:extent cx="2895600" cy="2609850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C62FD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eastAsia="da-DK"/>
              </w:rPr>
              <w:drawing>
                <wp:inline distT="0" distB="0" distL="0" distR="0">
                  <wp:extent cx="2943225" cy="2524125"/>
                  <wp:effectExtent l="0" t="0" r="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1D4" w:rsidRDefault="006D21D4">
      <w:pPr>
        <w:rPr>
          <w:b/>
          <w:bCs/>
          <w:lang w:val="en-US"/>
        </w:rPr>
      </w:pPr>
    </w:p>
    <w:p w:rsidR="006D21D4" w:rsidRDefault="006D21D4">
      <w:pPr>
        <w:rPr>
          <w:b/>
          <w:bCs/>
          <w:lang w:val="en-US"/>
        </w:rPr>
      </w:pPr>
    </w:p>
    <w:p w:rsidR="006D21D4" w:rsidRDefault="006D21D4">
      <w:pPr>
        <w:rPr>
          <w:b/>
          <w:bCs/>
          <w:lang w:val="en-US"/>
        </w:rPr>
      </w:pPr>
    </w:p>
    <w:p w:rsidR="006D21D4" w:rsidRDefault="006D21D4">
      <w:pPr>
        <w:rPr>
          <w:b/>
          <w:bCs/>
          <w:lang w:val="en-US"/>
        </w:rPr>
      </w:pPr>
    </w:p>
    <w:p w:rsidR="006D21D4" w:rsidRDefault="006D21D4">
      <w:pPr>
        <w:rPr>
          <w:b/>
          <w:bCs/>
          <w:sz w:val="24"/>
          <w:szCs w:val="24"/>
          <w:lang w:val="en-US"/>
        </w:rPr>
      </w:pPr>
      <w:r>
        <w:rPr>
          <w:b/>
          <w:bCs/>
          <w:lang w:val="en-US"/>
        </w:rPr>
        <w:br w:type="page"/>
      </w:r>
      <w:r>
        <w:rPr>
          <w:b/>
          <w:bCs/>
          <w:sz w:val="24"/>
          <w:szCs w:val="24"/>
          <w:lang w:val="en-US"/>
        </w:rPr>
        <w:lastRenderedPageBreak/>
        <w:t xml:space="preserve">Supplementary Figure 5. Proportion employed and number of sick leave days in patients with Herpes simplex virus type 1 (HSV-1) and Herpes simplex virus type 2 (HSV-2) central nervous system infection (black) and members of the population comparison cohorts (white).  </w:t>
      </w:r>
    </w:p>
    <w:tbl>
      <w:tblPr>
        <w:tblW w:w="0" w:type="auto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5"/>
        <w:gridCol w:w="4851"/>
      </w:tblGrid>
      <w:tr w:rsidR="006D21D4" w:rsidRPr="00E12C02"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Proportion employed (%) in HSV-1 patients and comparison cohort members 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b)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Proportion employed (%) in HSV-2 patients and comparison cohort members 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6D21D4">
        <w:trPr>
          <w:trHeight w:val="4273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object w:dxaOrig="4486" w:dyaOrig="3766">
                <v:shape id="_x0000_i1028" type="#_x0000_t75" style="width:224.75pt;height:188.5pt" o:ole="">
                  <v:imagedata r:id="rId19" o:title=""/>
                </v:shape>
                <o:OLEObject Type="Embed" ProgID="Word.Picture.8" ShapeID="_x0000_i1028" DrawAspect="Content" ObjectID="_1652290245" r:id="rId20"/>
              </w:objec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w:object w:dxaOrig="4456" w:dyaOrig="3781">
                <v:shape id="_x0000_i1029" type="#_x0000_t75" alt="" style="width:222.55pt;height:189.4pt" o:ole="">
                  <v:imagedata r:id="rId21" o:title=""/>
                </v:shape>
                <o:OLEObject Type="Embed" ProgID="Word.Picture.8" ShapeID="_x0000_i1029" DrawAspect="Content" ObjectID="_1652290246" r:id="rId22"/>
              </w:object>
            </w:r>
          </w:p>
        </w:tc>
      </w:tr>
      <w:tr w:rsidR="006D21D4" w:rsidRPr="00E12C02">
        <w:trPr>
          <w:trHeight w:val="630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Mean number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of sick leave days/year in HSV-1 patients and comparison cohort members 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Mean number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of sick leave days/year in HSV-2 patients and comparison cohort members 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6D21D4">
        <w:trPr>
          <w:trHeight w:val="4301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w:object w:dxaOrig="4471" w:dyaOrig="3766">
                <v:shape id="_x0000_i1030" type="#_x0000_t75" alt="" style="width:222.55pt;height:188.5pt" o:ole="">
                  <v:imagedata r:id="rId23" o:title=""/>
                </v:shape>
                <o:OLEObject Type="Embed" ProgID="Word.Picture.8" ShapeID="_x0000_i1030" DrawAspect="Content" ObjectID="_1652290247" r:id="rId24"/>
              </w:objec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eastAsia="da-DK"/>
              </w:rPr>
              <w:object w:dxaOrig="4426" w:dyaOrig="3736">
                <v:shape id="_x0000_i1031" type="#_x0000_t75" style="width:220.8pt;height:186.35pt" o:ole="">
                  <v:imagedata r:id="rId25" o:title=""/>
                </v:shape>
                <o:OLEObject Type="Embed" ProgID="Word.Picture.8" ShapeID="_x0000_i1031" DrawAspect="Content" ObjectID="_1652290248" r:id="rId26"/>
              </w:object>
            </w:r>
          </w:p>
        </w:tc>
      </w:tr>
    </w:tbl>
    <w:p w:rsidR="006D21D4" w:rsidRDefault="006D21D4">
      <w:pPr>
        <w:rPr>
          <w:b/>
          <w:bCs/>
          <w:sz w:val="24"/>
          <w:szCs w:val="24"/>
          <w:lang w:val="en-US"/>
        </w:rPr>
      </w:pPr>
    </w:p>
    <w:p w:rsidR="006D21D4" w:rsidRDefault="006D21D4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</w:p>
    <w:p w:rsidR="006D21D4" w:rsidRDefault="006D21D4">
      <w:pPr>
        <w:rPr>
          <w:b/>
          <w:bCs/>
          <w:lang w:val="en-US"/>
        </w:rPr>
      </w:pPr>
    </w:p>
    <w:p w:rsidR="006D21D4" w:rsidRDefault="006D21D4">
      <w:pPr>
        <w:rPr>
          <w:b/>
          <w:bCs/>
          <w:sz w:val="24"/>
          <w:szCs w:val="24"/>
          <w:lang w:val="en-US"/>
        </w:rPr>
      </w:pPr>
      <w:proofErr w:type="spellStart"/>
      <w:r>
        <w:rPr>
          <w:b/>
          <w:bCs/>
          <w:sz w:val="24"/>
          <w:szCs w:val="24"/>
          <w:lang w:val="fr-FR"/>
        </w:rPr>
        <w:lastRenderedPageBreak/>
        <w:t>Supplementary</w:t>
      </w:r>
      <w:proofErr w:type="spellEnd"/>
      <w:r>
        <w:rPr>
          <w:b/>
          <w:bCs/>
          <w:sz w:val="24"/>
          <w:szCs w:val="24"/>
          <w:lang w:val="fr-FR"/>
        </w:rPr>
        <w:t xml:space="preserve"> Figure 6.</w:t>
      </w:r>
      <w:r>
        <w:rPr>
          <w:b/>
          <w:bCs/>
          <w:sz w:val="24"/>
          <w:szCs w:val="24"/>
          <w:lang w:val="en-US"/>
        </w:rPr>
        <w:t xml:space="preserve"> Proportion married and proportion divorced in patients with Herpes simplex virus type 1 (HSV-1) and Herpes simplex virus type 2 (HSV-2) central nervous system infection (black) and members of the population comparison cohorts (white).</w:t>
      </w:r>
    </w:p>
    <w:tbl>
      <w:tblPr>
        <w:tblW w:w="0" w:type="auto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3"/>
        <w:gridCol w:w="4863"/>
      </w:tblGrid>
      <w:tr w:rsidR="006D21D4" w:rsidRPr="00E12C02"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Proportion married (%) in HSV-1 patients and comparison cohort members 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b)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Proportion married (%) in HSV-2 patients and comparison cohort members 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6D21D4">
        <w:trPr>
          <w:trHeight w:val="4273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w:object w:dxaOrig="4651" w:dyaOrig="3931">
                <v:shape id="_x0000_i1032" type="#_x0000_t75" alt="" style="width:232.15pt;height:195.95pt" o:ole="">
                  <v:imagedata r:id="rId27" o:title=""/>
                </v:shape>
                <o:OLEObject Type="Embed" ProgID="Word.Picture.8" ShapeID="_x0000_i1032" DrawAspect="Content" ObjectID="_1652290249" r:id="rId28"/>
              </w:objec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object w:dxaOrig="4636" w:dyaOrig="3931">
                <v:shape id="_x0000_i1033" type="#_x0000_t75" style="width:231.7pt;height:195.95pt" o:ole="">
                  <v:imagedata r:id="rId29" o:title=""/>
                </v:shape>
                <o:OLEObject Type="Embed" ProgID="Word.Picture.8" ShapeID="_x0000_i1033" DrawAspect="Content" ObjectID="_1652290250" r:id="rId30"/>
              </w:object>
            </w:r>
          </w:p>
        </w:tc>
      </w:tr>
      <w:tr w:rsidR="006D21D4" w:rsidRPr="00E12C02">
        <w:trPr>
          <w:trHeight w:val="630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Proportion divorced (%) in HSV-1 patients and comparison cohort members 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Proportion divorced (%) in HSV-2 patients and comparison cohort members 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6D21D4">
        <w:trPr>
          <w:trHeight w:val="4301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object w:dxaOrig="4666" w:dyaOrig="3931">
                <v:shape id="_x0000_i1034" type="#_x0000_t75" style="width:233pt;height:195.95pt" o:ole="">
                  <v:imagedata r:id="rId31" o:title=""/>
                </v:shape>
                <o:OLEObject Type="Embed" ProgID="Word.Picture.8" ShapeID="_x0000_i1034" DrawAspect="Content" ObjectID="_1652290251" r:id="rId32"/>
              </w:objec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D21D4" w:rsidRDefault="006D21D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w:object w:dxaOrig="4696" w:dyaOrig="3916">
                <v:shape id="_x0000_i1035" type="#_x0000_t75" alt="" style="width:234.75pt;height:195.5pt" o:ole="">
                  <v:imagedata r:id="rId33" o:title=""/>
                </v:shape>
                <o:OLEObject Type="Embed" ProgID="Word.Picture.8" ShapeID="_x0000_i1035" DrawAspect="Content" ObjectID="_1652290252" r:id="rId34"/>
              </w:object>
            </w:r>
          </w:p>
        </w:tc>
      </w:tr>
    </w:tbl>
    <w:p w:rsidR="006D21D4" w:rsidRDefault="006D21D4">
      <w:pPr>
        <w:pStyle w:val="Brdtekst"/>
        <w:rPr>
          <w:b/>
          <w:bCs/>
          <w:sz w:val="24"/>
          <w:szCs w:val="24"/>
          <w:lang w:val="en-US"/>
        </w:rPr>
      </w:pPr>
    </w:p>
    <w:sectPr w:rsidR="006D21D4" w:rsidSect="006D21D4">
      <w:type w:val="nextColumn"/>
      <w:pgSz w:w="11906" w:h="16838" w:code="9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embedSystemFonts/>
  <w:proofState w:spelling="clean" w:grammar="clean"/>
  <w:defaultTabStop w:val="1304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FMGR.Libraries" w:val="&lt;ENLibraries&gt;&lt;Libraries&gt;&lt;item&gt;herpes&lt;/item&gt;&lt;/Libraries&gt;&lt;/ENLibraries&gt;"/>
  </w:docVars>
  <w:rsids>
    <w:rsidRoot w:val="006D21D4"/>
    <w:rsid w:val="00007BC5"/>
    <w:rsid w:val="001E2450"/>
    <w:rsid w:val="003426FD"/>
    <w:rsid w:val="005F0BEE"/>
    <w:rsid w:val="00682A9F"/>
    <w:rsid w:val="006D21D4"/>
    <w:rsid w:val="007E3A2D"/>
    <w:rsid w:val="00C62FDF"/>
    <w:rsid w:val="00CF729A"/>
    <w:rsid w:val="00D33BEC"/>
    <w:rsid w:val="00E12C02"/>
    <w:rsid w:val="00E96E82"/>
    <w:rsid w:val="00F4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4:docId w14:val="13D631F4"/>
  <w15:docId w15:val="{CD4369C3-BB9E-4F30-A796-DA07706FA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pPr>
      <w:keepNext/>
      <w:autoSpaceDE w:val="0"/>
      <w:autoSpaceDN w:val="0"/>
      <w:adjustRightInd w:val="0"/>
      <w:spacing w:after="0" w:line="240" w:lineRule="auto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9"/>
    <w:qFormat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9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Brdtekst">
    <w:name w:val="Body Text"/>
    <w:basedOn w:val="Normal"/>
    <w:link w:val="BrdtekstTegn"/>
    <w:uiPriority w:val="99"/>
    <w:pPr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Pr>
      <w:rFonts w:ascii="Calibri" w:hAnsi="Calibri" w:cs="Calibri"/>
      <w:lang w:eastAsia="en-US"/>
    </w:rPr>
  </w:style>
  <w:style w:type="character" w:styleId="Hyperlink">
    <w:name w:val="Hyperlink"/>
    <w:basedOn w:val="Standardskrifttypeiafsnit"/>
    <w:uiPriority w:val="99"/>
    <w:rPr>
      <w:rFonts w:ascii="Times New Roman" w:hAnsi="Times New Roman" w:cs="Times New Roman"/>
      <w:color w:val="0000FF"/>
      <w:u w:val="single"/>
    </w:rPr>
  </w:style>
  <w:style w:type="character" w:customStyle="1" w:styleId="highlight">
    <w:name w:val="highlight"/>
    <w:uiPriority w:val="99"/>
    <w:rPr>
      <w:rFonts w:ascii="Times New Roman" w:hAnsi="Times New Roman" w:cs="Times New Roman"/>
    </w:rPr>
  </w:style>
  <w:style w:type="character" w:customStyle="1" w:styleId="apple-converted-space">
    <w:name w:val="apple-converted-space"/>
    <w:uiPriority w:val="99"/>
    <w:rPr>
      <w:rFonts w:ascii="Times New Roman" w:hAnsi="Times New Roman" w:cs="Times New Roman"/>
    </w:rPr>
  </w:style>
  <w:style w:type="character" w:styleId="Kommentarhenvisning">
    <w:name w:val="annotation reference"/>
    <w:basedOn w:val="Standardskrifttypeiafsnit"/>
    <w:uiPriority w:val="99"/>
    <w:rPr>
      <w:rFonts w:ascii="Times New Roman" w:hAnsi="Times New Roman" w:cs="Times New Roman"/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Pr>
      <w:rFonts w:ascii="Calibri" w:hAnsi="Calibri" w:cs="Calibri"/>
      <w:sz w:val="20"/>
      <w:szCs w:val="20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Pr>
      <w:rFonts w:ascii="Segoe UI" w:hAnsi="Segoe UI" w:cs="Segoe UI"/>
      <w:sz w:val="18"/>
      <w:szCs w:val="18"/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rPr>
      <w:rFonts w:ascii="Calibri" w:hAnsi="Calibri" w:cs="Calibri"/>
      <w:b/>
      <w:bCs/>
      <w:sz w:val="20"/>
      <w:szCs w:val="20"/>
      <w:lang w:eastAsia="en-US"/>
    </w:rPr>
  </w:style>
  <w:style w:type="character" w:customStyle="1" w:styleId="shorttext">
    <w:name w:val="short_text"/>
    <w:uiPriority w:val="99"/>
    <w:rPr>
      <w:lang w:val="en-US"/>
    </w:rPr>
  </w:style>
  <w:style w:type="paragraph" w:styleId="Brdtekst2">
    <w:name w:val="Body Text 2"/>
    <w:basedOn w:val="Normal"/>
    <w:link w:val="Brdtekst2Tegn"/>
    <w:uiPriority w:val="99"/>
    <w:pPr>
      <w:autoSpaceDE w:val="0"/>
      <w:autoSpaceDN w:val="0"/>
      <w:adjustRightInd w:val="0"/>
      <w:spacing w:after="0" w:line="360" w:lineRule="auto"/>
    </w:pPr>
    <w:rPr>
      <w:color w:val="000000"/>
      <w:sz w:val="24"/>
      <w:szCs w:val="24"/>
      <w:lang w:val="en-US"/>
    </w:rPr>
  </w:style>
  <w:style w:type="character" w:customStyle="1" w:styleId="Brdtekst2Tegn">
    <w:name w:val="Brødtekst 2 Tegn"/>
    <w:basedOn w:val="Standardskrifttypeiafsnit"/>
    <w:link w:val="Brdtekst2"/>
    <w:uiPriority w:val="99"/>
    <w:rPr>
      <w:rFonts w:ascii="Calibri" w:hAnsi="Calibri" w:cs="Calibri"/>
      <w:lang w:eastAsia="en-US"/>
    </w:rPr>
  </w:style>
  <w:style w:type="character" w:customStyle="1" w:styleId="HeaderChar">
    <w:name w:val="Header Char"/>
    <w:uiPriority w:val="99"/>
    <w:rPr>
      <w:rFonts w:ascii="Times New Roman" w:hAnsi="Times New Roman" w:cs="Times New Roman"/>
      <w:sz w:val="24"/>
      <w:szCs w:val="24"/>
    </w:rPr>
  </w:style>
  <w:style w:type="paragraph" w:styleId="Korrektur">
    <w:name w:val="Revision"/>
    <w:hidden/>
    <w:uiPriority w:val="99"/>
    <w:rPr>
      <w:rFonts w:ascii="Calibri" w:hAnsi="Calibri" w:cs="Calibri"/>
      <w:lang w:eastAsia="en-US"/>
    </w:rPr>
  </w:style>
  <w:style w:type="paragraph" w:styleId="FormateretHTML">
    <w:name w:val="HTML Preformatted"/>
    <w:basedOn w:val="Normal"/>
    <w:link w:val="FormateretHTMLTegn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60" w:line="256" w:lineRule="auto"/>
    </w:pPr>
    <w:rPr>
      <w:rFonts w:ascii="Courier New" w:hAnsi="Courier New" w:cs="Courier New"/>
      <w:color w:val="000000"/>
      <w:sz w:val="20"/>
      <w:szCs w:val="20"/>
      <w:u w:color="000000"/>
      <w:lang w:eastAsia="da-DK"/>
    </w:rPr>
  </w:style>
  <w:style w:type="character" w:customStyle="1" w:styleId="FormateretHTMLTegn">
    <w:name w:val="Formateret HTML Tegn"/>
    <w:basedOn w:val="Standardskrifttypeiafsnit"/>
    <w:link w:val="FormateretHTML"/>
    <w:uiPriority w:val="99"/>
    <w:rPr>
      <w:rFonts w:ascii="Courier New" w:hAnsi="Courier New" w:cs="Courier New"/>
      <w:sz w:val="20"/>
      <w:szCs w:val="20"/>
      <w:lang w:eastAsia="en-US"/>
    </w:rPr>
  </w:style>
  <w:style w:type="paragraph" w:styleId="NormalWeb">
    <w:name w:val="Normal (Web)"/>
    <w:basedOn w:val="Normal"/>
    <w:uiPriority w:val="99"/>
    <w:pPr>
      <w:spacing w:before="100" w:after="100" w:line="256" w:lineRule="auto"/>
    </w:pPr>
    <w:rPr>
      <w:rFonts w:ascii="Arial Unicode MS" w:eastAsia="Times New Roman" w:cs="Arial Unicode MS"/>
      <w:color w:val="000000"/>
      <w:u w:color="000000"/>
      <w:lang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682A9F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E12C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image" Target="media/image12.wmf"/><Relationship Id="rId34" Type="http://schemas.openxmlformats.org/officeDocument/2006/relationships/oleObject" Target="embeddings/oleObject10.bin"/><Relationship Id="rId7" Type="http://schemas.openxmlformats.org/officeDocument/2006/relationships/oleObject" Target="embeddings/Microsoft_PowerPoint_97-2003_Presentation.ppt"/><Relationship Id="rId12" Type="http://schemas.openxmlformats.org/officeDocument/2006/relationships/image" Target="media/image6.wmf"/><Relationship Id="rId17" Type="http://schemas.openxmlformats.org/officeDocument/2006/relationships/image" Target="media/image9.png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29" Type="http://schemas.openxmlformats.org/officeDocument/2006/relationships/image" Target="media/image16.w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5" Type="http://schemas.openxmlformats.org/officeDocument/2006/relationships/hyperlink" Target="http://www.dst.dk/en/Statistik/dokumentation/documentationofstatistics/census-of-housing" TargetMode="External"/><Relationship Id="rId15" Type="http://schemas.openxmlformats.org/officeDocument/2006/relationships/image" Target="media/image8.wmf"/><Relationship Id="rId23" Type="http://schemas.openxmlformats.org/officeDocument/2006/relationships/image" Target="media/image13.wmf"/><Relationship Id="rId28" Type="http://schemas.openxmlformats.org/officeDocument/2006/relationships/oleObject" Target="embeddings/oleObject7.bin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wmf"/><Relationship Id="rId31" Type="http://schemas.openxmlformats.org/officeDocument/2006/relationships/image" Target="media/image17.wmf"/><Relationship Id="rId4" Type="http://schemas.openxmlformats.org/officeDocument/2006/relationships/hyperlink" Target="http://www.dst.dk/en/Statistik/dokumentation/documentationofstatistics/income-statistics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image" Target="media/image15.wmf"/><Relationship Id="rId30" Type="http://schemas.openxmlformats.org/officeDocument/2006/relationships/oleObject" Target="embeddings/oleObject8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941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Supplementary material</vt:lpstr>
    </vt:vector>
  </TitlesOfParts>
  <Company>RH</Company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material</dc:title>
  <dc:subject/>
  <dc:creator>Ann-Brit Eg Hansen</dc:creator>
  <cp:keywords/>
  <dc:description/>
  <cp:lastModifiedBy>Ann-Brit Eg Hansen</cp:lastModifiedBy>
  <cp:revision>2</cp:revision>
  <dcterms:created xsi:type="dcterms:W3CDTF">2020-05-29T18:44:00Z</dcterms:created>
  <dcterms:modified xsi:type="dcterms:W3CDTF">2020-05-29T18:44:00Z</dcterms:modified>
</cp:coreProperties>
</file>