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CF" w:rsidRPr="00F90702" w:rsidRDefault="006F4BCF" w:rsidP="006F4BCF">
      <w:pPr>
        <w:rPr>
          <w:rFonts w:cs="Arial"/>
          <w:sz w:val="24"/>
          <w:szCs w:val="20"/>
        </w:rPr>
      </w:pPr>
      <w:r w:rsidRPr="00F90702">
        <w:rPr>
          <w:rFonts w:cs="Arial"/>
          <w:b/>
          <w:sz w:val="24"/>
        </w:rPr>
        <w:t>Supplementary Table 1</w:t>
      </w:r>
      <w:r w:rsidRPr="00F90702">
        <w:rPr>
          <w:rFonts w:cs="Arial"/>
          <w:sz w:val="24"/>
        </w:rPr>
        <w:t xml:space="preserve">. </w:t>
      </w:r>
      <w:r w:rsidRPr="00F90702">
        <w:rPr>
          <w:rFonts w:cs="Arial"/>
          <w:sz w:val="24"/>
          <w:szCs w:val="20"/>
        </w:rPr>
        <w:t>Malpractices associated with the opioids</w:t>
      </w:r>
    </w:p>
    <w:tbl>
      <w:tblPr>
        <w:tblW w:w="5000" w:type="pct"/>
        <w:tblBorders>
          <w:top w:val="single" w:sz="4" w:space="0" w:color="auto"/>
          <w:bottom w:val="single" w:sz="4" w:space="0" w:color="auto"/>
        </w:tblBorders>
        <w:tblLayout w:type="fixed"/>
        <w:tblCellMar>
          <w:left w:w="99" w:type="dxa"/>
          <w:right w:w="99" w:type="dxa"/>
        </w:tblCellMar>
        <w:tblLook w:val="04A0" w:firstRow="1" w:lastRow="0" w:firstColumn="1" w:lastColumn="0" w:noHBand="0" w:noVBand="1"/>
      </w:tblPr>
      <w:tblGrid>
        <w:gridCol w:w="566"/>
        <w:gridCol w:w="707"/>
        <w:gridCol w:w="1419"/>
        <w:gridCol w:w="1701"/>
        <w:gridCol w:w="1419"/>
        <w:gridCol w:w="1759"/>
        <w:gridCol w:w="1216"/>
        <w:gridCol w:w="3389"/>
        <w:gridCol w:w="14"/>
        <w:gridCol w:w="1507"/>
      </w:tblGrid>
      <w:tr w:rsidR="006F4BCF" w:rsidRPr="00F90702" w:rsidTr="00464D59">
        <w:trPr>
          <w:trHeight w:val="290"/>
        </w:trPr>
        <w:tc>
          <w:tcPr>
            <w:tcW w:w="207" w:type="pct"/>
            <w:tcBorders>
              <w:top w:val="single" w:sz="4" w:space="0" w:color="auto"/>
              <w:bottom w:val="single" w:sz="4" w:space="0" w:color="auto"/>
            </w:tcBorders>
            <w:shd w:val="clear" w:color="auto" w:fill="auto"/>
            <w:noWrap/>
            <w:vAlign w:val="center"/>
            <w:hideMark/>
          </w:tcPr>
          <w:p w:rsidR="006F4BCF" w:rsidRPr="00F90702" w:rsidRDefault="006F4BCF" w:rsidP="00464D59">
            <w:pPr>
              <w:jc w:val="center"/>
              <w:rPr>
                <w:rFonts w:cs="Arial"/>
                <w:b/>
                <w:bCs/>
                <w:szCs w:val="20"/>
              </w:rPr>
            </w:pPr>
            <w:r w:rsidRPr="00F90702">
              <w:rPr>
                <w:rFonts w:cs="Arial"/>
                <w:b/>
                <w:bCs/>
                <w:szCs w:val="20"/>
              </w:rPr>
              <w:t>No.</w:t>
            </w:r>
          </w:p>
        </w:tc>
        <w:tc>
          <w:tcPr>
            <w:tcW w:w="258" w:type="pct"/>
            <w:tcBorders>
              <w:top w:val="single" w:sz="4" w:space="0" w:color="auto"/>
              <w:bottom w:val="single" w:sz="4" w:space="0" w:color="auto"/>
            </w:tcBorders>
            <w:shd w:val="clear" w:color="auto" w:fill="auto"/>
            <w:noWrap/>
            <w:vAlign w:val="center"/>
            <w:hideMark/>
          </w:tcPr>
          <w:p w:rsidR="006F4BCF" w:rsidRPr="00F90702" w:rsidRDefault="006F4BCF" w:rsidP="00464D59">
            <w:pPr>
              <w:jc w:val="center"/>
              <w:rPr>
                <w:rFonts w:cs="Arial"/>
                <w:b/>
                <w:bCs/>
                <w:szCs w:val="20"/>
              </w:rPr>
            </w:pPr>
            <w:r w:rsidRPr="00F90702">
              <w:rPr>
                <w:rFonts w:cs="Arial"/>
                <w:b/>
                <w:bCs/>
                <w:szCs w:val="20"/>
              </w:rPr>
              <w:t>Year</w:t>
            </w:r>
          </w:p>
        </w:tc>
        <w:tc>
          <w:tcPr>
            <w:tcW w:w="518" w:type="pct"/>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Opioids</w:t>
            </w:r>
          </w:p>
        </w:tc>
        <w:tc>
          <w:tcPr>
            <w:tcW w:w="621" w:type="pct"/>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Reason for opioid use</w:t>
            </w:r>
          </w:p>
        </w:tc>
        <w:tc>
          <w:tcPr>
            <w:tcW w:w="518" w:type="pct"/>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Alleged breaches of duty of physician</w:t>
            </w:r>
          </w:p>
        </w:tc>
        <w:tc>
          <w:tcPr>
            <w:tcW w:w="642" w:type="pct"/>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Complications</w:t>
            </w:r>
          </w:p>
        </w:tc>
        <w:tc>
          <w:tcPr>
            <w:tcW w:w="444" w:type="pct"/>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Final state</w:t>
            </w:r>
          </w:p>
        </w:tc>
        <w:tc>
          <w:tcPr>
            <w:tcW w:w="1237" w:type="pct"/>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Judgment by the court</w:t>
            </w:r>
          </w:p>
        </w:tc>
        <w:tc>
          <w:tcPr>
            <w:tcW w:w="555" w:type="pct"/>
            <w:gridSpan w:val="2"/>
            <w:tcBorders>
              <w:top w:val="single" w:sz="4" w:space="0" w:color="auto"/>
              <w:bottom w:val="single" w:sz="4" w:space="0" w:color="auto"/>
            </w:tcBorders>
            <w:shd w:val="clear" w:color="auto" w:fill="auto"/>
            <w:noWrap/>
            <w:vAlign w:val="center"/>
            <w:hideMark/>
          </w:tcPr>
          <w:p w:rsidR="006F4BCF" w:rsidRPr="00F90702" w:rsidRDefault="006F4BCF" w:rsidP="00464D59">
            <w:pPr>
              <w:rPr>
                <w:rFonts w:cs="Arial"/>
                <w:b/>
                <w:bCs/>
                <w:szCs w:val="20"/>
              </w:rPr>
            </w:pPr>
            <w:r w:rsidRPr="00F90702">
              <w:rPr>
                <w:rFonts w:cs="Arial"/>
                <w:b/>
                <w:bCs/>
                <w:szCs w:val="20"/>
              </w:rPr>
              <w:t xml:space="preserve">Trial outcome (Plaintiff </w:t>
            </w:r>
            <w:proofErr w:type="spellStart"/>
            <w:r w:rsidRPr="00F90702">
              <w:rPr>
                <w:rFonts w:cs="Arial"/>
                <w:b/>
                <w:bCs/>
                <w:szCs w:val="20"/>
              </w:rPr>
              <w:t>award</w:t>
            </w:r>
            <w:r w:rsidRPr="00F90702">
              <w:rPr>
                <w:rFonts w:cs="Arial"/>
                <w:b/>
                <w:bCs/>
                <w:szCs w:val="20"/>
                <w:vertAlign w:val="superscript"/>
              </w:rPr>
              <w:t>a</w:t>
            </w:r>
            <w:proofErr w:type="spellEnd"/>
            <w:r w:rsidRPr="00F90702">
              <w:rPr>
                <w:rFonts w:cs="Arial"/>
                <w:b/>
                <w:bCs/>
                <w:szCs w:val="20"/>
              </w:rPr>
              <w:t>)</w:t>
            </w:r>
          </w:p>
        </w:tc>
      </w:tr>
      <w:tr w:rsidR="006F4BCF" w:rsidRPr="00F90702" w:rsidTr="00464D59">
        <w:trPr>
          <w:trHeight w:val="290"/>
        </w:trPr>
        <w:tc>
          <w:tcPr>
            <w:tcW w:w="207" w:type="pct"/>
            <w:tcBorders>
              <w:top w:val="single" w:sz="4" w:space="0" w:color="auto"/>
            </w:tcBorders>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w:t>
            </w:r>
          </w:p>
        </w:tc>
        <w:tc>
          <w:tcPr>
            <w:tcW w:w="258" w:type="pct"/>
            <w:tcBorders>
              <w:top w:val="single" w:sz="4" w:space="0" w:color="auto"/>
            </w:tcBorders>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1997</w:t>
            </w:r>
          </w:p>
        </w:tc>
        <w:tc>
          <w:tcPr>
            <w:tcW w:w="518" w:type="pct"/>
            <w:tcBorders>
              <w:top w:val="single" w:sz="4" w:space="0" w:color="auto"/>
            </w:tcBorders>
            <w:shd w:val="clear" w:color="auto" w:fill="auto"/>
            <w:noWrap/>
            <w:vAlign w:val="center"/>
            <w:hideMark/>
          </w:tcPr>
          <w:p w:rsidR="006F4BCF" w:rsidRPr="00F90702" w:rsidRDefault="006F4BCF" w:rsidP="00464D59">
            <w:pPr>
              <w:rPr>
                <w:rFonts w:cs="Arial"/>
                <w:szCs w:val="20"/>
              </w:rPr>
            </w:pPr>
            <w:proofErr w:type="spellStart"/>
            <w:r w:rsidRPr="00F90702">
              <w:rPr>
                <w:rFonts w:cs="Arial"/>
                <w:szCs w:val="20"/>
              </w:rPr>
              <w:t>Pentazocine</w:t>
            </w:r>
            <w:proofErr w:type="spellEnd"/>
          </w:p>
        </w:tc>
        <w:tc>
          <w:tcPr>
            <w:tcW w:w="621" w:type="pct"/>
            <w:tcBorders>
              <w:top w:val="single" w:sz="4" w:space="0" w:color="auto"/>
            </w:tcBorders>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tcBorders>
              <w:top w:val="single" w:sz="4" w:space="0" w:color="auto"/>
            </w:tcBorders>
            <w:shd w:val="clear" w:color="auto" w:fill="auto"/>
            <w:noWrap/>
            <w:vAlign w:val="center"/>
            <w:hideMark/>
          </w:tcPr>
          <w:p w:rsidR="006F4BCF" w:rsidRPr="00F90702" w:rsidRDefault="006F4BCF" w:rsidP="00464D59">
            <w:pPr>
              <w:rPr>
                <w:rFonts w:cs="Arial"/>
              </w:rPr>
            </w:pPr>
            <w:r w:rsidRPr="00F90702">
              <w:rPr>
                <w:rFonts w:cs="Arial"/>
              </w:rPr>
              <w:t>Inappropriate drug choice, neglect of observation</w:t>
            </w:r>
          </w:p>
        </w:tc>
        <w:tc>
          <w:tcPr>
            <w:tcW w:w="642" w:type="pct"/>
            <w:tcBorders>
              <w:top w:val="single" w:sz="4" w:space="0" w:color="auto"/>
            </w:tcBorders>
            <w:shd w:val="clear" w:color="auto" w:fill="auto"/>
            <w:noWrap/>
            <w:vAlign w:val="center"/>
            <w:hideMark/>
          </w:tcPr>
          <w:p w:rsidR="006F4BCF" w:rsidRPr="00F90702" w:rsidRDefault="006F4BCF" w:rsidP="00464D59">
            <w:pPr>
              <w:rPr>
                <w:rFonts w:cs="Arial"/>
                <w:szCs w:val="20"/>
              </w:rPr>
            </w:pPr>
            <w:r w:rsidRPr="00F90702">
              <w:rPr>
                <w:rFonts w:cs="Arial"/>
                <w:szCs w:val="20"/>
              </w:rPr>
              <w:t>Anaphylaxis</w:t>
            </w:r>
          </w:p>
        </w:tc>
        <w:tc>
          <w:tcPr>
            <w:tcW w:w="444" w:type="pct"/>
            <w:tcBorders>
              <w:top w:val="single" w:sz="4" w:space="0" w:color="auto"/>
            </w:tcBorders>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tcBorders>
              <w:top w:val="single" w:sz="4" w:space="0" w:color="auto"/>
            </w:tcBorders>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The physician prescribed </w:t>
            </w:r>
            <w:proofErr w:type="spellStart"/>
            <w:r w:rsidRPr="00F90702">
              <w:rPr>
                <w:rFonts w:cs="Arial"/>
                <w:szCs w:val="20"/>
              </w:rPr>
              <w:t>pentazocine</w:t>
            </w:r>
            <w:proofErr w:type="spellEnd"/>
            <w:r w:rsidRPr="00F90702">
              <w:rPr>
                <w:rFonts w:cs="Arial"/>
                <w:szCs w:val="20"/>
              </w:rPr>
              <w:t xml:space="preserve"> to the patient with a history of </w:t>
            </w:r>
            <w:proofErr w:type="spellStart"/>
            <w:r w:rsidRPr="00F90702">
              <w:rPr>
                <w:rFonts w:cs="Arial"/>
                <w:szCs w:val="20"/>
              </w:rPr>
              <w:t>pentazocine</w:t>
            </w:r>
            <w:proofErr w:type="spellEnd"/>
            <w:r w:rsidRPr="00F90702">
              <w:rPr>
                <w:rFonts w:cs="Arial"/>
                <w:szCs w:val="20"/>
              </w:rPr>
              <w:t xml:space="preserve"> hypersensitivity. Despite the need for close monitoring after drug administration, the physician discharged the patient immediately after the drug administration.</w:t>
            </w:r>
          </w:p>
        </w:tc>
        <w:tc>
          <w:tcPr>
            <w:tcW w:w="555" w:type="pct"/>
            <w:gridSpan w:val="2"/>
            <w:tcBorders>
              <w:top w:val="single" w:sz="4" w:space="0" w:color="auto"/>
            </w:tcBorders>
            <w:shd w:val="clear" w:color="auto" w:fill="auto"/>
            <w:noWrap/>
            <w:vAlign w:val="center"/>
            <w:hideMark/>
          </w:tcPr>
          <w:p w:rsidR="006F4BCF" w:rsidRPr="00F90702" w:rsidRDefault="006F4BCF" w:rsidP="00464D59">
            <w:pPr>
              <w:rPr>
                <w:rFonts w:cs="Arial"/>
                <w:szCs w:val="20"/>
              </w:rPr>
            </w:pPr>
            <w:r w:rsidRPr="00F90702">
              <w:rPr>
                <w:rFonts w:cs="Arial"/>
                <w:szCs w:val="20"/>
              </w:rPr>
              <w:t>Plaintiff ($95,174)</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1999</w:t>
            </w:r>
          </w:p>
        </w:tc>
        <w:tc>
          <w:tcPr>
            <w:tcW w:w="518" w:type="pct"/>
            <w:shd w:val="clear" w:color="auto" w:fill="auto"/>
            <w:noWrap/>
            <w:vAlign w:val="center"/>
            <w:hideMark/>
          </w:tcPr>
          <w:p w:rsidR="006F4BCF" w:rsidRPr="00F90702" w:rsidRDefault="006F4BCF" w:rsidP="00464D59">
            <w:pPr>
              <w:rPr>
                <w:rFonts w:cs="Arial"/>
                <w:szCs w:val="20"/>
              </w:rPr>
            </w:pPr>
            <w:proofErr w:type="spellStart"/>
            <w:r w:rsidRPr="00F90702">
              <w:rPr>
                <w:rFonts w:cs="Arial"/>
                <w:szCs w:val="20"/>
              </w:rPr>
              <w:t>Pentazocine</w:t>
            </w:r>
            <w:proofErr w:type="spellEnd"/>
            <w:r w:rsidRPr="00F90702">
              <w:rPr>
                <w:rFonts w:cs="Arial"/>
                <w:szCs w:val="20"/>
              </w:rPr>
              <w:t>, pethidine, morphine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Based on the autopsy findings, the cause of death was judged to be a sudden cardiac death caused by severe arrhythmia. </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3</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2002</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Opioid use disorder</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Opioids dependency</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Without consideration of opioid dependency, the physician continued to prescribe excessive amounts of opioids without an effort to find the cause of pain.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($ 106,798)</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4</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2003</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Traumatic pain (Abdominal contusion)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Hypotension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amount of pethidine administered was in the recommended range and there is no evidence that hypotension was due to its administration.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5</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2004</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Labor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Fetal hypoxia</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Fetal 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administration of 25 mg of pethidine at intervals of more than two hours was not judged to be malpractice.</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6</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Tramadol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Chronic calf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Decreased consciousness (hepatic encephalopathy)</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Tramadol was not judged to be a contraindication in patients with liver cirrhosis.</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7</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Diagnostic test (CT)</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Based on the autopsy findings, the cause of death was judged to be a sudden cardiac death caused by arrhythmia.</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8</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2008</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Morphine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Septic arthritis</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w:t>
            </w:r>
          </w:p>
        </w:tc>
        <w:tc>
          <w:tcPr>
            <w:tcW w:w="642" w:type="pct"/>
            <w:shd w:val="clear" w:color="auto" w:fill="auto"/>
            <w:noWrap/>
            <w:vAlign w:val="center"/>
            <w:hideMark/>
          </w:tcPr>
          <w:p w:rsidR="006F4BCF" w:rsidRPr="00F90702" w:rsidRDefault="006F4BCF" w:rsidP="00464D59">
            <w:pPr>
              <w:rPr>
                <w:rFonts w:cs="Arial" w:hint="eastAsia"/>
                <w:szCs w:val="20"/>
              </w:rPr>
            </w:pPr>
            <w:r w:rsidRPr="00F90702">
              <w:rPr>
                <w:rFonts w:cs="Arial"/>
                <w:szCs w:val="20"/>
              </w:rPr>
              <w:t>Decreased consciousness</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Quadriplegia</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plaintiff claimed that the morphine caused hypotension and haloperidol due to nausea and vomiting caused by morphine induced an extrapyramidal symptom, but the court judged that there was no evidence to acknowledge it.</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9</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2008</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Morphine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morphine was judged not to be an absolute contraindication in patients with liver disease.</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10</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2008</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Pethidine, Ketorolac, Fentanyl </w:t>
            </w:r>
            <w:r w:rsidRPr="00F90702">
              <w:rPr>
                <w:rFonts w:cs="Arial"/>
                <w:szCs w:val="20"/>
              </w:rPr>
              <w:lastRenderedPageBreak/>
              <w:t>(PCA), tramadol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lastRenderedPageBreak/>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Delayed diagnosis (compartment syndrome)</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Permanent peroneal nerve paralysis</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The court judged that, if compartment syndrome is suspected, physicians should be </w:t>
            </w:r>
            <w:r w:rsidRPr="00F90702">
              <w:rPr>
                <w:rFonts w:cs="Arial"/>
                <w:szCs w:val="20"/>
              </w:rPr>
              <w:lastRenderedPageBreak/>
              <w:t>very careful with opioid administration.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lastRenderedPageBreak/>
              <w:t>Plaintiff ($ 47,002)</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11</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2009</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Traumatic pain (</w:t>
            </w:r>
            <w:proofErr w:type="spellStart"/>
            <w:r w:rsidRPr="00F90702">
              <w:rPr>
                <w:rFonts w:cs="Arial"/>
                <w:szCs w:val="20"/>
              </w:rPr>
              <w:t>tibial</w:t>
            </w:r>
            <w:proofErr w:type="spellEnd"/>
            <w:r w:rsidRPr="00F90702">
              <w:rPr>
                <w:rFonts w:cs="Arial"/>
                <w:szCs w:val="20"/>
              </w:rPr>
              <w:t xml:space="preserve"> fracture)</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Vegetative state</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 was judged to aggravate respiratory depression in the patient with dyspnea.</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($ 137,382)</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12</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2011</w:t>
            </w:r>
          </w:p>
        </w:tc>
        <w:tc>
          <w:tcPr>
            <w:tcW w:w="518" w:type="pct"/>
            <w:shd w:val="clear" w:color="auto" w:fill="auto"/>
            <w:noWrap/>
            <w:vAlign w:val="center"/>
            <w:hideMark/>
          </w:tcPr>
          <w:p w:rsidR="006F4BCF" w:rsidRPr="00F90702" w:rsidRDefault="006F4BCF" w:rsidP="00464D59">
            <w:pPr>
              <w:rPr>
                <w:rFonts w:cs="Arial"/>
                <w:szCs w:val="20"/>
              </w:rPr>
            </w:pPr>
            <w:proofErr w:type="spellStart"/>
            <w:r w:rsidRPr="00F90702">
              <w:rPr>
                <w:rFonts w:cs="Arial"/>
                <w:szCs w:val="20"/>
              </w:rPr>
              <w:t>Nalbuphine</w:t>
            </w:r>
            <w:proofErr w:type="spellEnd"/>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judged that the possibility of pulmonary embolism could not be completely ruled out.</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13</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2011</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Delayed diagnosis (compartment syndrome)</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Although the consultant physician was advised to stop administering opioids, the defendant continued to administer it, delaying the diagnosis of the small bowel perforation.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($ 34,111)</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14</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2011</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Diagnostic test (Colonoscopy)</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The court judged that there was no malpractice in the dosage of pethidine or the monitoring after pethidine administration. </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15</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2012</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distention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judged that the administration of opioids alone did not lead to the perforated diverticulitis.</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16</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2012</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judged that the administration of pethidine in patient with increased intracranial pressure (ICP) after craniotomy resulted in further ICP and respiratory depression.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($ 612,569)</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17</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2013</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Headache (cerebral hemorrhage)</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Vegetative state</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There was no finding related to ICP in the patient at the time of administration, and pethidine can be used to prevent the increase of blood pressure.</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18</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2014</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Fentanyl (TD)</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Chronic low back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Quadriplegia</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acknowledged the overdose of transdermal fentanyl patch (50mcg/</w:t>
            </w:r>
            <w:proofErr w:type="spellStart"/>
            <w:r w:rsidRPr="00F90702">
              <w:rPr>
                <w:rFonts w:cs="Arial"/>
                <w:szCs w:val="20"/>
              </w:rPr>
              <w:t>hr</w:t>
            </w:r>
            <w:proofErr w:type="spellEnd"/>
            <w:r w:rsidRPr="00F90702">
              <w:rPr>
                <w:rFonts w:cs="Arial"/>
                <w:szCs w:val="20"/>
              </w:rPr>
              <w:t>) in the opioid naive patient.</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($ 33,955)</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19</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2015</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Morphine, 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Headache (cerebellar hemorrhage)</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Hemiplegia</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judged that the plaintiff's respiratory depression was caused by the compression of brain stem by cerebral hemorrhage rather than opioids.</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2015</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 tramadol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judged that the plaintiff's respiratory depression was caused by the pulmonary embolism rather than opioids.</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21</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2016</w:t>
            </w:r>
          </w:p>
        </w:tc>
        <w:tc>
          <w:tcPr>
            <w:tcW w:w="518" w:type="pct"/>
            <w:shd w:val="clear" w:color="auto" w:fill="auto"/>
            <w:noWrap/>
            <w:vAlign w:val="center"/>
            <w:hideMark/>
          </w:tcPr>
          <w:p w:rsidR="006F4BCF" w:rsidRPr="00F90702" w:rsidRDefault="006F4BCF" w:rsidP="00464D59">
            <w:pPr>
              <w:rPr>
                <w:rFonts w:cs="Arial"/>
                <w:szCs w:val="20"/>
              </w:rPr>
            </w:pPr>
            <w:proofErr w:type="spellStart"/>
            <w:r w:rsidRPr="00F90702">
              <w:rPr>
                <w:rFonts w:cs="Arial"/>
                <w:szCs w:val="20"/>
              </w:rPr>
              <w:t>Sufentanil</w:t>
            </w:r>
            <w:proofErr w:type="spellEnd"/>
            <w:r w:rsidRPr="00F90702">
              <w:rPr>
                <w:rFonts w:cs="Arial"/>
                <w:szCs w:val="20"/>
              </w:rPr>
              <w:t xml:space="preserve"> (PCA)</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Quadriplegia</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The physician should pay attention to respiratory monitoring when administering opioids in a pediatric patient (6-months old). It was also recognized as a malpractice that the medical staff did not accompany the pediatric patient when </w:t>
            </w:r>
            <w:proofErr w:type="gramStart"/>
            <w:r w:rsidRPr="00F90702">
              <w:rPr>
                <w:rFonts w:cs="Arial"/>
                <w:szCs w:val="20"/>
              </w:rPr>
              <w:t>being  moved</w:t>
            </w:r>
            <w:proofErr w:type="gramEnd"/>
            <w:r w:rsidRPr="00F90702">
              <w:rPr>
                <w:rFonts w:cs="Arial"/>
                <w:szCs w:val="20"/>
              </w:rPr>
              <w:t xml:space="preserve"> from the post anesthetic care unit to the ward.</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($ 855,726)</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22</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2016</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 tramadol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Decreased consciousness (hepatic encephalopathy)</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autopsy confirmed the tramadol concentration above the toxic concentration in the peripheral and cardiac blood of the deceased. However, the court judged that it was difficult to determine opioids was the only cause of death, considering the deceased's medical condition.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23</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2016</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Tramadol, fentanyl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Labor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Fetal hypoxia</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Neonatal ischemic encephalopathy</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plaintiff is a high-risk pregnant woman (&gt; 40 years old), and for high-risk pregnant women, fetal heart rate monitoring is recommended every 15 minutes during the first phase of labor pain. However, despite the tramadol administration, the defendant measured the fetal heart rate at intervals of 30 minutes.</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($ 248,719)</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24</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2016</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Opioid use disorder</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Not described</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doctor advised the plaintiff with alcohol dependency, to reduce the dosage of opioids several times, warning of the possibility of opioids addiction, but the plaintiff refused.</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25</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Pethidine, fentanyl (PCA), </w:t>
            </w:r>
            <w:proofErr w:type="spellStart"/>
            <w:r w:rsidRPr="00F90702">
              <w:rPr>
                <w:rFonts w:cs="Arial"/>
                <w:szCs w:val="20"/>
              </w:rPr>
              <w:t>oxycontin</w:t>
            </w:r>
            <w:proofErr w:type="spellEnd"/>
            <w:r w:rsidRPr="00F90702">
              <w:rPr>
                <w:rFonts w:cs="Arial"/>
                <w:szCs w:val="20"/>
              </w:rPr>
              <w:t>, tramadol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Chronic low back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Opioid use disorder</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Opioids abuse</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plaintiff's opioid abuse was not recognized by the court.</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26</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Fentanyl</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Diagnostic test (endoscopic retrograde cholangiopancreatography)</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court judged that there was no malpractice in the monitoring and treatment after fentanyl administration.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27</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Remifentanil, morphine, 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Traumatic pain (traffic accident)</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Quadriplegia</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Despite administering opioids, the physician did not monitor oxygen saturation.</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($ 429,185)</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lastRenderedPageBreak/>
              <w:t>28</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Fentanyl (PCA)</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Vegetative state</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The plaintiff was transferred to the ward using intravenous PCA without any monitoring. </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($ 115,310)</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29</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2017</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Abdominal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rPr>
              <w:t>Inappropriate drug choice</w:t>
            </w:r>
            <w:r w:rsidRPr="00F90702">
              <w:rPr>
                <w:rFonts w:cs="Arial"/>
                <w:szCs w:val="20"/>
              </w:rPr>
              <w:t>, neglect of observation, overdose</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Cardiac arrest</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dose of 25 mg pethidine to the patient with pain was judged not to be a malpractice.</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Defendant</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30</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2018</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Tramadol, fentanyl (TD)</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neglect of observation</w:t>
            </w:r>
          </w:p>
        </w:tc>
        <w:tc>
          <w:tcPr>
            <w:tcW w:w="642" w:type="pct"/>
            <w:shd w:val="clear" w:color="auto" w:fill="auto"/>
            <w:noWrap/>
            <w:vAlign w:val="center"/>
            <w:hideMark/>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Vegetative state</w:t>
            </w:r>
          </w:p>
        </w:tc>
        <w:tc>
          <w:tcPr>
            <w:tcW w:w="1237" w:type="pct"/>
            <w:shd w:val="clear" w:color="auto" w:fill="auto"/>
            <w:noWrap/>
            <w:vAlign w:val="center"/>
            <w:hideMark/>
          </w:tcPr>
          <w:p w:rsidR="006F4BCF" w:rsidRPr="00F90702" w:rsidRDefault="006F4BCF" w:rsidP="00464D59">
            <w:pPr>
              <w:rPr>
                <w:rFonts w:cs="Arial"/>
                <w:szCs w:val="20"/>
              </w:rPr>
            </w:pPr>
            <w:r w:rsidRPr="00F90702">
              <w:rPr>
                <w:rFonts w:cs="Arial"/>
                <w:szCs w:val="20"/>
              </w:rPr>
              <w:t>The physician did not monitor vital signs after opioid administration in an old age patient with respiratory diseases.</w:t>
            </w:r>
          </w:p>
        </w:tc>
        <w:tc>
          <w:tcPr>
            <w:tcW w:w="555"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Plaintiff ($ 59,376)</w:t>
            </w:r>
          </w:p>
        </w:tc>
      </w:tr>
      <w:tr w:rsidR="006F4BCF" w:rsidRPr="00F90702" w:rsidTr="00464D59">
        <w:trPr>
          <w:trHeight w:val="290"/>
        </w:trPr>
        <w:tc>
          <w:tcPr>
            <w:tcW w:w="207"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31</w:t>
            </w:r>
          </w:p>
        </w:tc>
        <w:tc>
          <w:tcPr>
            <w:tcW w:w="258" w:type="pct"/>
            <w:shd w:val="clear" w:color="auto" w:fill="auto"/>
            <w:noWrap/>
            <w:vAlign w:val="center"/>
            <w:hideMark/>
          </w:tcPr>
          <w:p w:rsidR="006F4BCF" w:rsidRPr="00F90702" w:rsidRDefault="006F4BCF" w:rsidP="00464D59">
            <w:pPr>
              <w:jc w:val="center"/>
              <w:rPr>
                <w:rFonts w:cs="Arial"/>
                <w:szCs w:val="20"/>
              </w:rPr>
            </w:pPr>
            <w:r w:rsidRPr="00F90702">
              <w:rPr>
                <w:rFonts w:cs="Arial"/>
                <w:szCs w:val="20"/>
              </w:rPr>
              <w:t>2018</w:t>
            </w:r>
          </w:p>
        </w:tc>
        <w:tc>
          <w:tcPr>
            <w:tcW w:w="518" w:type="pct"/>
            <w:shd w:val="clear" w:color="auto" w:fill="auto"/>
            <w:noWrap/>
            <w:vAlign w:val="center"/>
            <w:hideMark/>
          </w:tcPr>
          <w:p w:rsidR="006F4BCF" w:rsidRPr="00F90702" w:rsidRDefault="006F4BCF" w:rsidP="00464D59">
            <w:pPr>
              <w:rPr>
                <w:rFonts w:cs="Arial"/>
                <w:szCs w:val="20"/>
              </w:rPr>
            </w:pPr>
            <w:r w:rsidRPr="00F90702">
              <w:rPr>
                <w:rFonts w:cs="Arial"/>
                <w:szCs w:val="20"/>
              </w:rPr>
              <w:t>Pethidine</w:t>
            </w:r>
          </w:p>
        </w:tc>
        <w:tc>
          <w:tcPr>
            <w:tcW w:w="621" w:type="pct"/>
            <w:shd w:val="clear" w:color="auto" w:fill="auto"/>
            <w:noWrap/>
            <w:vAlign w:val="center"/>
            <w:hideMark/>
          </w:tcPr>
          <w:p w:rsidR="006F4BCF" w:rsidRPr="00F90702" w:rsidRDefault="006F4BCF" w:rsidP="00464D59">
            <w:pPr>
              <w:rPr>
                <w:rFonts w:cs="Arial"/>
                <w:szCs w:val="20"/>
              </w:rPr>
            </w:pPr>
            <w:r w:rsidRPr="00F90702">
              <w:rPr>
                <w:rFonts w:cs="Arial"/>
                <w:szCs w:val="20"/>
              </w:rPr>
              <w:t>Postoperative pain</w:t>
            </w:r>
          </w:p>
        </w:tc>
        <w:tc>
          <w:tcPr>
            <w:tcW w:w="518" w:type="pct"/>
            <w:shd w:val="clear" w:color="auto" w:fill="auto"/>
            <w:noWrap/>
            <w:vAlign w:val="center"/>
            <w:hideMark/>
          </w:tcPr>
          <w:p w:rsidR="006F4BCF" w:rsidRPr="00F90702" w:rsidRDefault="006F4BCF" w:rsidP="00464D59">
            <w:pPr>
              <w:jc w:val="center"/>
              <w:rPr>
                <w:rFonts w:cs="Arial"/>
                <w:szCs w:val="20"/>
              </w:rPr>
            </w:pPr>
            <w:r w:rsidRPr="00F90702">
              <w:rPr>
                <w:rFonts w:cs="Arial" w:hint="eastAsia"/>
                <w:szCs w:val="20"/>
              </w:rPr>
              <w:t>-</w:t>
            </w:r>
          </w:p>
        </w:tc>
        <w:tc>
          <w:tcPr>
            <w:tcW w:w="642" w:type="pct"/>
            <w:shd w:val="clear" w:color="auto" w:fill="auto"/>
            <w:vAlign w:val="center"/>
          </w:tcPr>
          <w:p w:rsidR="006F4BCF" w:rsidRPr="00F90702" w:rsidRDefault="006F4BCF" w:rsidP="00464D59">
            <w:pPr>
              <w:rPr>
                <w:rFonts w:cs="Arial"/>
                <w:szCs w:val="20"/>
              </w:rPr>
            </w:pPr>
            <w:r w:rsidRPr="00F90702">
              <w:rPr>
                <w:rFonts w:cs="Arial"/>
                <w:szCs w:val="20"/>
              </w:rPr>
              <w:t>Respiratory depression</w:t>
            </w:r>
          </w:p>
        </w:tc>
        <w:tc>
          <w:tcPr>
            <w:tcW w:w="444" w:type="pct"/>
            <w:shd w:val="clear" w:color="auto" w:fill="auto"/>
            <w:noWrap/>
            <w:vAlign w:val="center"/>
            <w:hideMark/>
          </w:tcPr>
          <w:p w:rsidR="006F4BCF" w:rsidRPr="00F90702" w:rsidRDefault="006F4BCF" w:rsidP="00464D59">
            <w:pPr>
              <w:rPr>
                <w:rFonts w:cs="Arial"/>
                <w:szCs w:val="20"/>
              </w:rPr>
            </w:pPr>
            <w:r w:rsidRPr="00F90702">
              <w:rPr>
                <w:rFonts w:cs="Arial"/>
                <w:szCs w:val="20"/>
              </w:rPr>
              <w:t>Death</w:t>
            </w:r>
          </w:p>
        </w:tc>
        <w:tc>
          <w:tcPr>
            <w:tcW w:w="1242" w:type="pct"/>
            <w:gridSpan w:val="2"/>
            <w:shd w:val="clear" w:color="auto" w:fill="auto"/>
            <w:noWrap/>
            <w:vAlign w:val="center"/>
            <w:hideMark/>
          </w:tcPr>
          <w:p w:rsidR="006F4BCF" w:rsidRPr="00F90702" w:rsidRDefault="006F4BCF" w:rsidP="00464D59">
            <w:pPr>
              <w:rPr>
                <w:rFonts w:cs="Arial"/>
                <w:szCs w:val="20"/>
              </w:rPr>
            </w:pPr>
            <w:r w:rsidRPr="00F90702">
              <w:rPr>
                <w:rFonts w:cs="Arial"/>
                <w:szCs w:val="20"/>
              </w:rPr>
              <w:t xml:space="preserve">The physician did not monitor vital signs after opioid administration and there was no doctor on duty at night on the day of the operation. </w:t>
            </w:r>
          </w:p>
        </w:tc>
        <w:tc>
          <w:tcPr>
            <w:tcW w:w="550" w:type="pct"/>
            <w:shd w:val="clear" w:color="auto" w:fill="auto"/>
            <w:noWrap/>
            <w:vAlign w:val="center"/>
            <w:hideMark/>
          </w:tcPr>
          <w:p w:rsidR="006F4BCF" w:rsidRPr="00F90702" w:rsidRDefault="006F4BCF" w:rsidP="00464D59">
            <w:pPr>
              <w:rPr>
                <w:rFonts w:cs="Arial"/>
                <w:szCs w:val="20"/>
              </w:rPr>
            </w:pPr>
            <w:r w:rsidRPr="00F90702">
              <w:rPr>
                <w:rFonts w:cs="Arial"/>
                <w:szCs w:val="20"/>
              </w:rPr>
              <w:t>imprisonment</w:t>
            </w:r>
          </w:p>
        </w:tc>
      </w:tr>
    </w:tbl>
    <w:p w:rsidR="006F4BCF" w:rsidRPr="00F90702" w:rsidRDefault="006F4BCF" w:rsidP="006F4BCF">
      <w:pPr>
        <w:rPr>
          <w:rFonts w:cs="Arial"/>
          <w:szCs w:val="20"/>
        </w:rPr>
      </w:pPr>
      <w:r w:rsidRPr="00F90702">
        <w:rPr>
          <w:rFonts w:cs="Arial"/>
          <w:b/>
          <w:sz w:val="22"/>
        </w:rPr>
        <w:t>Abbreviations:</w:t>
      </w:r>
      <w:r w:rsidRPr="00F90702">
        <w:rPr>
          <w:rFonts w:cs="Arial"/>
          <w:szCs w:val="20"/>
        </w:rPr>
        <w:t xml:space="preserve"> CPR, cardiopulmonary resuscitation; PCA, patient controlled analgesia; TD, transdermal </w:t>
      </w:r>
    </w:p>
    <w:p w:rsidR="006F4BCF" w:rsidRPr="00F90702" w:rsidRDefault="006F4BCF" w:rsidP="006F4BCF">
      <w:pPr>
        <w:rPr>
          <w:rFonts w:cs="Arial"/>
          <w:szCs w:val="20"/>
        </w:rPr>
      </w:pPr>
      <w:proofErr w:type="gramStart"/>
      <w:r w:rsidRPr="00F90702">
        <w:rPr>
          <w:rFonts w:cs="Arial"/>
          <w:szCs w:val="20"/>
        </w:rPr>
        <w:t>a</w:t>
      </w:r>
      <w:proofErr w:type="gramEnd"/>
      <w:r w:rsidRPr="00F90702">
        <w:rPr>
          <w:rFonts w:cs="Arial"/>
          <w:szCs w:val="20"/>
        </w:rPr>
        <w:t>: The exchange rate was converted to 1 United States Dollar =1,165 Korean Won considering the mean exchange rate for 2019.</w:t>
      </w:r>
      <w:bookmarkStart w:id="0" w:name="_GoBack"/>
      <w:bookmarkEnd w:id="0"/>
    </w:p>
    <w:sectPr w:rsidR="006F4BCF" w:rsidRPr="00F90702" w:rsidSect="006F4BCF">
      <w:pgSz w:w="16838" w:h="11906" w:orient="landscape"/>
      <w:pgMar w:top="1440"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yMLEwNzM2t7CwsDRW0lEKTi0uzszPAykwrAUAObOvkCwAAAA="/>
  </w:docVars>
  <w:rsids>
    <w:rsidRoot w:val="006F4BCF"/>
    <w:rsid w:val="006F4BCF"/>
    <w:rsid w:val="00957B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8EAC6-776F-4F95-86E6-6E1C767B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BCF"/>
    <w:pPr>
      <w:spacing w:after="0" w:line="480" w:lineRule="auto"/>
      <w:jc w:val="left"/>
    </w:pPr>
    <w:rPr>
      <w:rFonts w:ascii="Arial" w:eastAsia="맑은 고딕" w:hAnsi="Arial"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1328</Words>
  <Characters>7572</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2020-05-29T05:47:00Z</dcterms:created>
  <dcterms:modified xsi:type="dcterms:W3CDTF">2020-05-29T05:55:00Z</dcterms:modified>
</cp:coreProperties>
</file>