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66EF" w:rsidRDefault="00A066EF" w:rsidP="00A066EF">
      <w:pPr>
        <w:widowControl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color w:val="000000"/>
          <w:sz w:val="20"/>
          <w:szCs w:val="20"/>
        </w:rPr>
        <w:t>Supplemental Table 1. Differential analysis of thrombus in different treatment groups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4"/>
        <w:gridCol w:w="1504"/>
        <w:gridCol w:w="1500"/>
      </w:tblGrid>
      <w:tr w:rsidR="00A066EF" w:rsidTr="00A066E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VTE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+)(</w:t>
            </w:r>
            <w:proofErr w:type="gramEnd"/>
            <w:r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=77)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VTE(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-)(</w:t>
            </w:r>
            <w:proofErr w:type="gramEnd"/>
            <w:r>
              <w:rPr>
                <w:rFonts w:ascii="Arial" w:eastAsia="宋体" w:hAnsi="Arial" w:cs="Arial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=523)</w:t>
            </w:r>
          </w:p>
        </w:tc>
      </w:tr>
      <w:tr w:rsidR="00A066EF" w:rsidTr="00A066EF">
        <w:trPr>
          <w:trHeight w:val="284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Regular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anticoagulation day 1 after </w:t>
            </w:r>
            <w:proofErr w:type="spellStart"/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surgery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perscript"/>
              </w:rPr>
              <w:t>d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a,b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(9.3)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a,b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(90.7)</w:t>
            </w:r>
          </w:p>
        </w:tc>
      </w:tr>
      <w:tr w:rsidR="00A066EF" w:rsidTr="00A066EF">
        <w:trPr>
          <w:trHeight w:val="284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Limb compression 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therapy(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a,b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(13.6)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298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a,b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(86.4)</w:t>
            </w:r>
          </w:p>
        </w:tc>
      </w:tr>
      <w:tr w:rsidR="00A066EF" w:rsidTr="00A066EF">
        <w:trPr>
          <w:trHeight w:val="284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bookmarkStart w:id="0" w:name="RANGE!AA28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Early systemic 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thromboprophylaxis(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%)</w:t>
            </w:r>
            <w:bookmarkEnd w:id="0"/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b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8.3)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132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b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91.7)</w:t>
            </w:r>
          </w:p>
        </w:tc>
      </w:tr>
      <w:tr w:rsidR="00A066EF" w:rsidTr="00A066EF">
        <w:trPr>
          <w:trHeight w:val="294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Non-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treatment(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066EF" w:rsidRDefault="00A066E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vertAlign w:val="subscript"/>
              </w:rPr>
              <w:t>a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77.2)</w:t>
            </w:r>
          </w:p>
        </w:tc>
      </w:tr>
    </w:tbl>
    <w:p w:rsidR="00A066EF" w:rsidRDefault="00A066EF" w:rsidP="00A066EF">
      <w:pPr>
        <w:spacing w:line="480" w:lineRule="auto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Note: Different subscript letters denote the statistical differences between different treatment groups in the comparison of thrombus group and </w:t>
      </w:r>
      <w:proofErr w:type="spellStart"/>
      <w:r>
        <w:rPr>
          <w:rFonts w:ascii="Arial" w:eastAsia="宋体" w:hAnsi="Arial" w:cs="Arial"/>
          <w:color w:val="000000"/>
          <w:kern w:val="0"/>
          <w:sz w:val="20"/>
          <w:szCs w:val="20"/>
        </w:rPr>
        <w:t>nonthrombus</w:t>
      </w:r>
      <w:proofErr w:type="spellEnd"/>
      <w:r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group </w:t>
      </w:r>
      <w:r>
        <w:rPr>
          <w:rFonts w:ascii="Arial" w:hAnsi="Arial" w:cs="Arial"/>
          <w:color w:val="000000"/>
          <w:kern w:val="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P </w:t>
      </w:r>
      <w:r>
        <w:rPr>
          <w:rFonts w:ascii="Arial" w:hAnsi="Arial" w:cs="Arial"/>
          <w:color w:val="000000"/>
          <w:kern w:val="0"/>
          <w:sz w:val="20"/>
          <w:szCs w:val="20"/>
        </w:rPr>
        <w:t>&lt; .008)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.</w:t>
      </w:r>
    </w:p>
    <w:p w:rsidR="00A066EF" w:rsidRDefault="00A066EF" w:rsidP="00A066EF">
      <w:pPr>
        <w:spacing w:line="480" w:lineRule="auto"/>
        <w:jc w:val="left"/>
        <w:rPr>
          <w:rStyle w:val="src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  <w:vertAlign w:val="superscript"/>
        </w:rPr>
        <w:t>c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VTE,</w:t>
      </w:r>
      <w:r>
        <w:rPr>
          <w:rStyle w:val="src"/>
          <w:rFonts w:ascii="Arial" w:hAnsi="Arial" w:cs="Arial"/>
          <w:color w:val="000000"/>
          <w:sz w:val="20"/>
          <w:szCs w:val="20"/>
        </w:rPr>
        <w:t xml:space="preserve"> venous thromboembolism.</w:t>
      </w:r>
    </w:p>
    <w:p w:rsidR="00A066EF" w:rsidRDefault="00A066EF" w:rsidP="00A066EF">
      <w:pPr>
        <w:spacing w:line="480" w:lineRule="auto"/>
        <w:jc w:val="left"/>
        <w:rPr>
          <w:kern w:val="0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  <w:vertAlign w:val="superscript"/>
        </w:rPr>
        <w:t>d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Arial" w:eastAsia="宋体" w:hAnsi="Arial" w:cs="Arial"/>
          <w:color w:val="000000"/>
          <w:kern w:val="0"/>
          <w:sz w:val="20"/>
          <w:szCs w:val="20"/>
        </w:rPr>
        <w:t>From</w:t>
      </w:r>
      <w:proofErr w:type="gramEnd"/>
      <w:r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the first day after surgery, nadroparin calcium was injected subcutaneously on a regular basis (at least 0.4 mL daily).</w:t>
      </w:r>
    </w:p>
    <w:p w:rsidR="00827D2F" w:rsidRPr="00A066EF" w:rsidRDefault="00827D2F"/>
    <w:sectPr w:rsidR="00827D2F" w:rsidRPr="00A0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F"/>
    <w:rsid w:val="00827D2F"/>
    <w:rsid w:val="00A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B2CF1-0780-49C1-A3C0-601C3EBA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066EF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A066EF"/>
  </w:style>
  <w:style w:type="character" w:styleId="a5">
    <w:name w:val="annotation reference"/>
    <w:basedOn w:val="a0"/>
    <w:uiPriority w:val="99"/>
    <w:semiHidden/>
    <w:unhideWhenUsed/>
    <w:rsid w:val="00A066EF"/>
    <w:rPr>
      <w:sz w:val="21"/>
      <w:szCs w:val="21"/>
    </w:rPr>
  </w:style>
  <w:style w:type="character" w:customStyle="1" w:styleId="src">
    <w:name w:val="src"/>
    <w:basedOn w:val="a0"/>
    <w:rsid w:val="00A066EF"/>
  </w:style>
  <w:style w:type="paragraph" w:styleId="a6">
    <w:name w:val="Balloon Text"/>
    <w:basedOn w:val="a"/>
    <w:link w:val="a7"/>
    <w:uiPriority w:val="99"/>
    <w:semiHidden/>
    <w:unhideWhenUsed/>
    <w:rsid w:val="00A066E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066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E3C69-DF62-4B28-8A88-FD51100EFB56}"/>
</file>

<file path=customXml/itemProps2.xml><?xml version="1.0" encoding="utf-8"?>
<ds:datastoreItem xmlns:ds="http://schemas.openxmlformats.org/officeDocument/2006/customXml" ds:itemID="{84849839-D138-40DA-A0F4-90CC277E014D}"/>
</file>

<file path=customXml/itemProps3.xml><?xml version="1.0" encoding="utf-8"?>
<ds:datastoreItem xmlns:ds="http://schemas.openxmlformats.org/officeDocument/2006/customXml" ds:itemID="{2252871E-B598-496D-80F3-59D17F045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斗帝王</dc:creator>
  <cp:keywords/>
  <dc:description/>
  <cp:lastModifiedBy>斗帝王</cp:lastModifiedBy>
  <cp:revision>1</cp:revision>
  <dcterms:created xsi:type="dcterms:W3CDTF">2020-05-12T04:57:00Z</dcterms:created>
  <dcterms:modified xsi:type="dcterms:W3CDTF">2020-05-12T04:59:00Z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