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0A934" w14:textId="77777777" w:rsidR="00E53456" w:rsidRDefault="00E53456" w:rsidP="00E53456">
      <w:pPr>
        <w:pStyle w:val="Heading1"/>
      </w:pPr>
      <w:r>
        <w:t>Supplemental Materials</w:t>
      </w:r>
    </w:p>
    <w:p w14:paraId="1BBA40C9" w14:textId="4ADCFC87" w:rsidR="00E53456" w:rsidRDefault="00E53456" w:rsidP="00E53456">
      <w:pPr>
        <w:pStyle w:val="Heading1"/>
      </w:pPr>
      <w:r>
        <w:t>Statistical Appendix</w:t>
      </w:r>
    </w:p>
    <w:p w14:paraId="53542FF1" w14:textId="47A63399" w:rsidR="00E53456" w:rsidRDefault="00E53456" w:rsidP="00E53456">
      <w:pPr>
        <w:ind w:firstLine="720"/>
      </w:pPr>
      <w:r>
        <w:t xml:space="preserve">Cardinality matching was used to establish comparison groups that were similar to one another in terms of patient demographics, patient clinical characteristics, and </w:t>
      </w:r>
      <w:r w:rsidRPr="008220B2">
        <w:t>hospital/provider</w:t>
      </w:r>
      <w:r>
        <w:t xml:space="preserve"> characteristics.</w:t>
      </w:r>
      <w:r w:rsidR="0043040C">
        <w:rPr>
          <w:vertAlign w:val="superscript"/>
        </w:rPr>
        <w:t>1</w:t>
      </w:r>
      <w:r>
        <w:t xml:space="preserve"> Cardinality matching directly targets covariate balance by treating matching as an optimization problem, whereby an objective function is maximized subject to constraints: the objective function is to find the mathematically-guaranteed largest matched sample subject to researcher-specified covariate balance constraints. Cardinality matching represents an advance over propensity score methods and has been shown to outperform propensity score matching with respect to achieving better covariate balance and larger post-match sample size.</w:t>
      </w:r>
      <w:r w:rsidR="0043040C">
        <w:rPr>
          <w:vertAlign w:val="superscript"/>
        </w:rPr>
        <w:t>2</w:t>
      </w:r>
    </w:p>
    <w:p w14:paraId="5FC010FB" w14:textId="48D3F685" w:rsidR="00E53456" w:rsidRDefault="00E53456" w:rsidP="00E53456">
      <w:pPr>
        <w:ind w:firstLine="720"/>
      </w:pPr>
      <w:r>
        <w:t>The match was conducted with a 1 SIG:1 GST matching ratio, using a conservative covariate balance constraint requiring that between-comparison-group differences in any individual matching covariate could not exceed an absolute standardized mean difference of 0.05.</w:t>
      </w:r>
      <w:r w:rsidR="0043040C">
        <w:rPr>
          <w:vertAlign w:val="superscript"/>
        </w:rPr>
        <w:t>3</w:t>
      </w:r>
      <w:r>
        <w:t xml:space="preserve"> All covariates listed in the “Measurement of covariates” section were considered for matching; comorbidities with prevalence &lt;1.0% within the pooled sample were omitted from the match. Cardinality matching is performed using R statistical software (www.r-project.org) using the -</w:t>
      </w:r>
      <w:proofErr w:type="spellStart"/>
      <w:r>
        <w:t>cardmatch</w:t>
      </w:r>
      <w:proofErr w:type="spellEnd"/>
      <w:r>
        <w:t>- function of the -</w:t>
      </w:r>
      <w:proofErr w:type="spellStart"/>
      <w:r>
        <w:t>designmatch</w:t>
      </w:r>
      <w:proofErr w:type="spellEnd"/>
      <w:r>
        <w:t xml:space="preserve">- package and </w:t>
      </w:r>
      <w:proofErr w:type="spellStart"/>
      <w:r>
        <w:t>Gurobi</w:t>
      </w:r>
      <w:proofErr w:type="spellEnd"/>
      <w:r>
        <w:t xml:space="preserve"> Optimizer (Gurobi Optimization, LLC, Beaverton, OR). </w:t>
      </w:r>
    </w:p>
    <w:p w14:paraId="6658649E" w14:textId="77777777" w:rsidR="00E53456" w:rsidRDefault="00E53456" w:rsidP="00E53456">
      <w:pPr>
        <w:ind w:firstLine="720"/>
      </w:pPr>
      <w:r>
        <w:t>After matching, Generalized Estimating Equations (GEE) models accounting for hospital-level clustering (a statistical phenomenon that can occur when patients within the same hospital experience similar outcomes) were used to test for statistically significant differences in outcomes between the SIG and GST groups; this conservatively adjusts the analyses to reduce the risk of erroneously finding statistically significant differences between comparison groups. The GEE models used an exchangeable working correlation matrix, robust standard errors, and appropriate link functions (log for continuous outcomes, logit for binary outcomes) and error distributions (gamma for total hospital costs and operating room time, negative binomial for length of stay, binomial for binary outcomes). A p-value of 0.05 was used as the threshold for statistical significance.</w:t>
      </w:r>
    </w:p>
    <w:p w14:paraId="6818EFC4" w14:textId="55B9BF45" w:rsidR="00E53456" w:rsidRDefault="00E53456" w:rsidP="00E53456">
      <w:pPr>
        <w:ind w:firstLine="720"/>
      </w:pPr>
      <w:r>
        <w:lastRenderedPageBreak/>
        <w:t>For the confirmatory analysis of the primary outcome findings in the larger, pre-matching study sample, multivariable GEE regression with a logit link and binomial error distribution was used to adjust for all variables used for matching in the primary analyses. These models accounted for hospital-level clustering as described above.</w:t>
      </w:r>
    </w:p>
    <w:p w14:paraId="779C0559" w14:textId="1788B13A" w:rsidR="0043040C" w:rsidRDefault="0043040C" w:rsidP="0043040C"/>
    <w:p w14:paraId="7203AF25" w14:textId="7DA9A961" w:rsidR="0043040C" w:rsidRPr="0043040C" w:rsidRDefault="0043040C" w:rsidP="0043040C">
      <w:pPr>
        <w:rPr>
          <w:b/>
          <w:bCs/>
        </w:rPr>
      </w:pPr>
      <w:r w:rsidRPr="0043040C">
        <w:rPr>
          <w:b/>
          <w:bCs/>
        </w:rPr>
        <w:t>References</w:t>
      </w:r>
    </w:p>
    <w:p w14:paraId="70D3F99A" w14:textId="77777777" w:rsidR="0043040C" w:rsidRDefault="0043040C" w:rsidP="0043040C"/>
    <w:p w14:paraId="06A51959" w14:textId="56AD51FD" w:rsidR="0043040C" w:rsidRPr="001B1570" w:rsidRDefault="0043040C" w:rsidP="0043040C">
      <w:pPr>
        <w:pStyle w:val="ListParagraph"/>
        <w:numPr>
          <w:ilvl w:val="0"/>
          <w:numId w:val="2"/>
        </w:numPr>
        <w:spacing w:after="200"/>
        <w:rPr>
          <w:rFonts w:cs="Arial"/>
          <w:szCs w:val="20"/>
        </w:rPr>
      </w:pPr>
      <w:r w:rsidRPr="001B1570">
        <w:rPr>
          <w:rFonts w:cs="Arial"/>
          <w:szCs w:val="20"/>
        </w:rPr>
        <w:t xml:space="preserve">Zubizarreta JR, Paredes RD, Rosenbaum PR. Matching for balance, pairing for heterogeneity in an observational study of the effectiveness of for-profit and not-for-profit high schools in Chile. The Annals of Applied Statistics. 2014;8(1):204-231. </w:t>
      </w:r>
    </w:p>
    <w:p w14:paraId="169D64B0" w14:textId="77777777" w:rsidR="0043040C" w:rsidRDefault="0043040C" w:rsidP="0043040C">
      <w:pPr>
        <w:pStyle w:val="ListParagraph"/>
        <w:numPr>
          <w:ilvl w:val="0"/>
          <w:numId w:val="2"/>
        </w:numPr>
        <w:spacing w:after="200"/>
        <w:rPr>
          <w:rFonts w:cs="Arial"/>
          <w:szCs w:val="20"/>
        </w:rPr>
      </w:pPr>
      <w:r w:rsidRPr="001B1570">
        <w:rPr>
          <w:rFonts w:cs="Arial"/>
          <w:szCs w:val="20"/>
        </w:rPr>
        <w:t xml:space="preserve">Visconti G, Zubizarreta JR. Handling limited overlap in observational studies with cardinality matching. Observational Studies. </w:t>
      </w:r>
      <w:proofErr w:type="gramStart"/>
      <w:r w:rsidRPr="001B1570">
        <w:rPr>
          <w:rFonts w:cs="Arial"/>
          <w:szCs w:val="20"/>
        </w:rPr>
        <w:t>2018;4:217</w:t>
      </w:r>
      <w:proofErr w:type="gramEnd"/>
      <w:r w:rsidRPr="001B1570">
        <w:rPr>
          <w:rFonts w:cs="Arial"/>
          <w:szCs w:val="20"/>
        </w:rPr>
        <w:t>-249.</w:t>
      </w:r>
    </w:p>
    <w:p w14:paraId="05E9C20C" w14:textId="149AEDB1" w:rsidR="0043040C" w:rsidRPr="0043040C" w:rsidRDefault="0043040C" w:rsidP="0043040C">
      <w:pPr>
        <w:pStyle w:val="ListParagraph"/>
        <w:numPr>
          <w:ilvl w:val="0"/>
          <w:numId w:val="2"/>
        </w:numPr>
        <w:spacing w:after="200"/>
        <w:rPr>
          <w:rFonts w:cs="Arial"/>
          <w:szCs w:val="20"/>
        </w:rPr>
      </w:pPr>
      <w:r w:rsidRPr="0043040C">
        <w:t>Austin PC. Balance diagnostics for comparing the distribution of baseline covariates between treatment groups in propensity-score matched samples. Stat Med. 2009;28(25):3083–3107. doi:10.1002/sim.3697</w:t>
      </w:r>
    </w:p>
    <w:p w14:paraId="087DB21C" w14:textId="4EC1EDB2" w:rsidR="004C125F" w:rsidRDefault="004C125F">
      <w:pPr>
        <w:spacing w:after="200" w:line="276" w:lineRule="auto"/>
      </w:pPr>
      <w:r>
        <w:br w:type="page"/>
      </w:r>
    </w:p>
    <w:p w14:paraId="00C8971E" w14:textId="2C16F5B7" w:rsidR="001E0687" w:rsidRDefault="004C125F">
      <w:pPr>
        <w:rPr>
          <w:b/>
          <w:bCs/>
        </w:rPr>
      </w:pPr>
      <w:r w:rsidRPr="004C125F">
        <w:rPr>
          <w:b/>
          <w:bCs/>
        </w:rPr>
        <w:lastRenderedPageBreak/>
        <w:t>Supplemental Appendix 1. International Classification of Diseases, 10th Revision, Clinical Modification and Procedure Classification System (ICD-10-CM/ICD-10-PCS) diagnosis and procedure codes used to query the database for patient selection</w:t>
      </w:r>
      <w:r w:rsidR="004B7729">
        <w:rPr>
          <w:b/>
          <w:bCs/>
        </w:rPr>
        <w:t xml:space="preserve"> and</w:t>
      </w:r>
      <w:r w:rsidRPr="004C125F">
        <w:rPr>
          <w:b/>
          <w:bCs/>
        </w:rPr>
        <w:t xml:space="preserve"> measurement of outcomes</w:t>
      </w:r>
    </w:p>
    <w:tbl>
      <w:tblPr>
        <w:tblW w:w="9468" w:type="dxa"/>
        <w:tblInd w:w="108" w:type="dxa"/>
        <w:tblLook w:val="04A0" w:firstRow="1" w:lastRow="0" w:firstColumn="1" w:lastColumn="0" w:noHBand="0" w:noVBand="1"/>
      </w:tblPr>
      <w:tblGrid>
        <w:gridCol w:w="2070"/>
        <w:gridCol w:w="1184"/>
        <w:gridCol w:w="6214"/>
      </w:tblGrid>
      <w:tr w:rsidR="000211AD" w:rsidRPr="000211AD" w14:paraId="13C0B36C" w14:textId="77777777" w:rsidTr="000211AD">
        <w:trPr>
          <w:trHeight w:val="29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14:paraId="14D675B7" w14:textId="327E1E4B" w:rsidR="000211AD" w:rsidRPr="000211AD" w:rsidRDefault="000211AD" w:rsidP="000211AD">
            <w:pPr>
              <w:spacing w:line="240" w:lineRule="auto"/>
              <w:rPr>
                <w:rFonts w:cs="Arial"/>
                <w:color w:val="000000"/>
                <w:szCs w:val="20"/>
              </w:rPr>
            </w:pPr>
            <w:r>
              <w:rPr>
                <w:rFonts w:cs="Arial"/>
                <w:color w:val="000000"/>
                <w:szCs w:val="20"/>
              </w:rPr>
              <w:t>Measure</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EB1F8" w14:textId="0A437628" w:rsidR="000211AD" w:rsidRPr="000211AD" w:rsidRDefault="000211AD" w:rsidP="000211AD">
            <w:pPr>
              <w:spacing w:line="240" w:lineRule="auto"/>
              <w:rPr>
                <w:rFonts w:cs="Arial"/>
                <w:color w:val="000000"/>
                <w:szCs w:val="20"/>
              </w:rPr>
            </w:pPr>
            <w:r>
              <w:rPr>
                <w:rFonts w:cs="Arial"/>
                <w:color w:val="000000"/>
                <w:szCs w:val="20"/>
              </w:rPr>
              <w:t>Code</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E2B51" w14:textId="08C2FC76" w:rsidR="000211AD" w:rsidRPr="000211AD" w:rsidRDefault="000211AD" w:rsidP="000211AD">
            <w:pPr>
              <w:spacing w:line="240" w:lineRule="auto"/>
              <w:rPr>
                <w:rFonts w:cs="Arial"/>
                <w:color w:val="000000"/>
                <w:szCs w:val="20"/>
              </w:rPr>
            </w:pPr>
            <w:r>
              <w:rPr>
                <w:rFonts w:cs="Arial"/>
                <w:color w:val="000000"/>
                <w:szCs w:val="20"/>
              </w:rPr>
              <w:t>Description</w:t>
            </w:r>
          </w:p>
        </w:tc>
      </w:tr>
      <w:tr w:rsidR="000211AD" w:rsidRPr="000211AD" w14:paraId="120380C7" w14:textId="77777777" w:rsidTr="000211AD">
        <w:trPr>
          <w:trHeight w:val="290"/>
        </w:trPr>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1F8082F2" w14:textId="77777777" w:rsidR="000211AD" w:rsidRPr="000211AD" w:rsidRDefault="000211AD" w:rsidP="000211AD">
            <w:pPr>
              <w:spacing w:line="240" w:lineRule="auto"/>
              <w:rPr>
                <w:rFonts w:cs="Arial"/>
                <w:color w:val="000000"/>
                <w:szCs w:val="20"/>
              </w:rPr>
            </w:pPr>
            <w:r w:rsidRPr="000211AD">
              <w:rPr>
                <w:rFonts w:cs="Arial"/>
                <w:color w:val="000000"/>
                <w:szCs w:val="20"/>
              </w:rPr>
              <w:t>Sleeve gastrectomy</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C4194" w14:textId="77777777" w:rsidR="000211AD" w:rsidRPr="000211AD" w:rsidRDefault="000211AD" w:rsidP="000211AD">
            <w:pPr>
              <w:spacing w:line="240" w:lineRule="auto"/>
              <w:rPr>
                <w:rFonts w:cs="Arial"/>
                <w:color w:val="000000"/>
                <w:szCs w:val="20"/>
              </w:rPr>
            </w:pPr>
            <w:r w:rsidRPr="000211AD">
              <w:rPr>
                <w:rFonts w:cs="Arial"/>
                <w:color w:val="000000"/>
                <w:szCs w:val="20"/>
              </w:rPr>
              <w:t>0DB64Z3</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C7F10" w14:textId="77777777" w:rsidR="000211AD" w:rsidRPr="000211AD" w:rsidRDefault="000211AD" w:rsidP="000211AD">
            <w:pPr>
              <w:spacing w:line="240" w:lineRule="auto"/>
              <w:rPr>
                <w:rFonts w:cs="Arial"/>
                <w:color w:val="000000"/>
                <w:szCs w:val="20"/>
              </w:rPr>
            </w:pPr>
            <w:r w:rsidRPr="000211AD">
              <w:rPr>
                <w:rFonts w:cs="Arial"/>
                <w:color w:val="000000"/>
                <w:szCs w:val="20"/>
              </w:rPr>
              <w:t>Excision of Stomach, Percutaneous Endoscopic Approach, Vertical</w:t>
            </w:r>
          </w:p>
        </w:tc>
      </w:tr>
      <w:tr w:rsidR="000211AD" w:rsidRPr="000211AD" w14:paraId="6ABB3C60" w14:textId="77777777" w:rsidTr="000211AD">
        <w:trPr>
          <w:trHeight w:val="290"/>
        </w:trPr>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2B6FFE5A" w14:textId="77777777" w:rsidR="000211AD" w:rsidRPr="000211AD" w:rsidRDefault="000211AD" w:rsidP="000211AD">
            <w:pPr>
              <w:spacing w:line="240" w:lineRule="auto"/>
              <w:rPr>
                <w:rFonts w:cs="Arial"/>
                <w:color w:val="000000"/>
                <w:szCs w:val="20"/>
              </w:rPr>
            </w:pPr>
            <w:r w:rsidRPr="000211AD">
              <w:rPr>
                <w:rFonts w:cs="Arial"/>
                <w:color w:val="000000"/>
                <w:szCs w:val="20"/>
              </w:rPr>
              <w:t>Obesity</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D950C" w14:textId="77777777" w:rsidR="000211AD" w:rsidRPr="000211AD" w:rsidRDefault="000211AD" w:rsidP="000211AD">
            <w:pPr>
              <w:spacing w:line="240" w:lineRule="auto"/>
              <w:rPr>
                <w:rFonts w:cs="Arial"/>
                <w:color w:val="000000"/>
                <w:szCs w:val="20"/>
              </w:rPr>
            </w:pPr>
            <w:r w:rsidRPr="000211AD">
              <w:rPr>
                <w:rFonts w:cs="Arial"/>
                <w:color w:val="000000"/>
                <w:szCs w:val="20"/>
              </w:rPr>
              <w:t>E66*</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B9260" w14:textId="77777777" w:rsidR="000211AD" w:rsidRPr="000211AD" w:rsidRDefault="000211AD" w:rsidP="000211AD">
            <w:pPr>
              <w:spacing w:line="240" w:lineRule="auto"/>
              <w:rPr>
                <w:rFonts w:cs="Arial"/>
                <w:color w:val="000000"/>
                <w:szCs w:val="20"/>
              </w:rPr>
            </w:pPr>
            <w:r w:rsidRPr="000211AD">
              <w:rPr>
                <w:rFonts w:cs="Arial"/>
                <w:color w:val="000000"/>
                <w:szCs w:val="20"/>
              </w:rPr>
              <w:t>Overweight and obesity</w:t>
            </w:r>
          </w:p>
        </w:tc>
      </w:tr>
      <w:tr w:rsidR="000211AD" w:rsidRPr="000211AD" w14:paraId="17882E58" w14:textId="77777777" w:rsidTr="000211AD">
        <w:trPr>
          <w:trHeight w:val="290"/>
        </w:trPr>
        <w:tc>
          <w:tcPr>
            <w:tcW w:w="2070" w:type="dxa"/>
            <w:tcBorders>
              <w:top w:val="single" w:sz="4" w:space="0" w:color="auto"/>
              <w:left w:val="single" w:sz="4" w:space="0" w:color="auto"/>
              <w:right w:val="single" w:sz="4" w:space="0" w:color="auto"/>
            </w:tcBorders>
            <w:shd w:val="clear" w:color="auto" w:fill="auto"/>
            <w:noWrap/>
            <w:hideMark/>
          </w:tcPr>
          <w:p w14:paraId="0A8F8E06" w14:textId="77777777" w:rsidR="000211AD" w:rsidRPr="000211AD" w:rsidRDefault="000211AD" w:rsidP="000211AD">
            <w:pPr>
              <w:spacing w:line="240" w:lineRule="auto"/>
              <w:rPr>
                <w:rFonts w:cs="Arial"/>
                <w:color w:val="000000"/>
                <w:szCs w:val="20"/>
              </w:rPr>
            </w:pPr>
            <w:r w:rsidRPr="000211AD">
              <w:rPr>
                <w:rFonts w:cs="Arial"/>
                <w:color w:val="000000"/>
                <w:szCs w:val="20"/>
              </w:rPr>
              <w:t>Leak surrogate</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82B29" w14:textId="77777777" w:rsidR="000211AD" w:rsidRPr="000211AD" w:rsidRDefault="000211AD" w:rsidP="000211AD">
            <w:pPr>
              <w:spacing w:line="240" w:lineRule="auto"/>
              <w:rPr>
                <w:rFonts w:cs="Arial"/>
                <w:color w:val="000000"/>
                <w:szCs w:val="20"/>
              </w:rPr>
            </w:pPr>
            <w:r w:rsidRPr="000211AD">
              <w:rPr>
                <w:rFonts w:cs="Arial"/>
                <w:color w:val="000000"/>
                <w:szCs w:val="20"/>
              </w:rPr>
              <w:t>K63.2</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C9977" w14:textId="77777777" w:rsidR="000211AD" w:rsidRPr="000211AD" w:rsidRDefault="000211AD" w:rsidP="000211AD">
            <w:pPr>
              <w:spacing w:line="240" w:lineRule="auto"/>
              <w:rPr>
                <w:rFonts w:cs="Arial"/>
                <w:color w:val="000000"/>
                <w:szCs w:val="20"/>
              </w:rPr>
            </w:pPr>
            <w:r w:rsidRPr="000211AD">
              <w:rPr>
                <w:rFonts w:cs="Arial"/>
                <w:color w:val="000000"/>
                <w:szCs w:val="20"/>
              </w:rPr>
              <w:t>Fistula of intestine</w:t>
            </w:r>
          </w:p>
        </w:tc>
      </w:tr>
      <w:tr w:rsidR="000211AD" w:rsidRPr="000211AD" w14:paraId="63032662" w14:textId="77777777" w:rsidTr="000211AD">
        <w:trPr>
          <w:trHeight w:val="290"/>
        </w:trPr>
        <w:tc>
          <w:tcPr>
            <w:tcW w:w="2070" w:type="dxa"/>
            <w:tcBorders>
              <w:left w:val="single" w:sz="4" w:space="0" w:color="auto"/>
              <w:right w:val="single" w:sz="4" w:space="0" w:color="auto"/>
            </w:tcBorders>
            <w:shd w:val="clear" w:color="auto" w:fill="auto"/>
            <w:noWrap/>
            <w:hideMark/>
          </w:tcPr>
          <w:p w14:paraId="5E669DB7"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D54B7" w14:textId="77777777" w:rsidR="000211AD" w:rsidRPr="000211AD" w:rsidRDefault="000211AD" w:rsidP="000211AD">
            <w:pPr>
              <w:spacing w:line="240" w:lineRule="auto"/>
              <w:rPr>
                <w:rFonts w:cs="Arial"/>
                <w:color w:val="000000"/>
                <w:szCs w:val="20"/>
              </w:rPr>
            </w:pPr>
            <w:r w:rsidRPr="000211AD">
              <w:rPr>
                <w:rFonts w:cs="Arial"/>
                <w:color w:val="000000"/>
                <w:szCs w:val="20"/>
              </w:rPr>
              <w:t>K65.1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7C525" w14:textId="77777777" w:rsidR="000211AD" w:rsidRPr="000211AD" w:rsidRDefault="000211AD" w:rsidP="000211AD">
            <w:pPr>
              <w:spacing w:line="240" w:lineRule="auto"/>
              <w:rPr>
                <w:rFonts w:cs="Arial"/>
                <w:color w:val="000000"/>
                <w:szCs w:val="20"/>
              </w:rPr>
            </w:pPr>
            <w:r w:rsidRPr="000211AD">
              <w:rPr>
                <w:rFonts w:cs="Arial"/>
                <w:color w:val="000000"/>
                <w:szCs w:val="20"/>
              </w:rPr>
              <w:t>Peritoneal abscess</w:t>
            </w:r>
          </w:p>
        </w:tc>
      </w:tr>
      <w:tr w:rsidR="000211AD" w:rsidRPr="000211AD" w14:paraId="767EC2A6" w14:textId="77777777" w:rsidTr="000211AD">
        <w:trPr>
          <w:trHeight w:val="290"/>
        </w:trPr>
        <w:tc>
          <w:tcPr>
            <w:tcW w:w="2070" w:type="dxa"/>
            <w:tcBorders>
              <w:left w:val="single" w:sz="4" w:space="0" w:color="auto"/>
              <w:right w:val="single" w:sz="4" w:space="0" w:color="auto"/>
            </w:tcBorders>
            <w:shd w:val="clear" w:color="auto" w:fill="auto"/>
            <w:noWrap/>
            <w:hideMark/>
          </w:tcPr>
          <w:p w14:paraId="0AE466E1"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B8114" w14:textId="77777777" w:rsidR="000211AD" w:rsidRPr="000211AD" w:rsidRDefault="000211AD" w:rsidP="000211AD">
            <w:pPr>
              <w:spacing w:line="240" w:lineRule="auto"/>
              <w:rPr>
                <w:rFonts w:cs="Arial"/>
                <w:color w:val="000000"/>
                <w:szCs w:val="20"/>
              </w:rPr>
            </w:pPr>
            <w:r w:rsidRPr="000211AD">
              <w:rPr>
                <w:rFonts w:cs="Arial"/>
                <w:color w:val="000000"/>
                <w:szCs w:val="20"/>
              </w:rPr>
              <w:t>K91.81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3D713" w14:textId="77777777" w:rsidR="000211AD" w:rsidRPr="000211AD" w:rsidRDefault="000211AD" w:rsidP="000211AD">
            <w:pPr>
              <w:spacing w:line="240" w:lineRule="auto"/>
              <w:rPr>
                <w:rFonts w:cs="Arial"/>
                <w:color w:val="000000"/>
                <w:szCs w:val="20"/>
              </w:rPr>
            </w:pPr>
            <w:r w:rsidRPr="000211AD">
              <w:rPr>
                <w:rFonts w:cs="Arial"/>
                <w:color w:val="000000"/>
                <w:szCs w:val="20"/>
              </w:rPr>
              <w:t>Other intraoperative complications of digestive system</w:t>
            </w:r>
          </w:p>
        </w:tc>
      </w:tr>
      <w:tr w:rsidR="000211AD" w:rsidRPr="000211AD" w14:paraId="50F4E9EE" w14:textId="77777777" w:rsidTr="00A113E1">
        <w:trPr>
          <w:trHeight w:val="290"/>
        </w:trPr>
        <w:tc>
          <w:tcPr>
            <w:tcW w:w="2070" w:type="dxa"/>
            <w:tcBorders>
              <w:left w:val="single" w:sz="4" w:space="0" w:color="auto"/>
              <w:bottom w:val="single" w:sz="4" w:space="0" w:color="auto"/>
              <w:right w:val="single" w:sz="4" w:space="0" w:color="auto"/>
            </w:tcBorders>
            <w:shd w:val="clear" w:color="auto" w:fill="auto"/>
            <w:noWrap/>
            <w:hideMark/>
          </w:tcPr>
          <w:p w14:paraId="77FE56D5"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62562" w14:textId="77777777" w:rsidR="000211AD" w:rsidRPr="000211AD" w:rsidRDefault="000211AD" w:rsidP="000211AD">
            <w:pPr>
              <w:spacing w:line="240" w:lineRule="auto"/>
              <w:rPr>
                <w:rFonts w:cs="Arial"/>
                <w:color w:val="000000"/>
                <w:szCs w:val="20"/>
              </w:rPr>
            </w:pPr>
            <w:r w:rsidRPr="000211AD">
              <w:rPr>
                <w:rFonts w:cs="Arial"/>
                <w:color w:val="000000"/>
                <w:szCs w:val="20"/>
              </w:rPr>
              <w:t>K91.89</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5121E" w14:textId="77777777" w:rsidR="000211AD" w:rsidRPr="000211AD" w:rsidRDefault="000211AD" w:rsidP="000211AD">
            <w:pPr>
              <w:spacing w:line="240" w:lineRule="auto"/>
              <w:rPr>
                <w:rFonts w:cs="Arial"/>
                <w:color w:val="000000"/>
                <w:szCs w:val="20"/>
              </w:rPr>
            </w:pPr>
            <w:r w:rsidRPr="000211AD">
              <w:rPr>
                <w:rFonts w:cs="Arial"/>
                <w:color w:val="000000"/>
                <w:szCs w:val="20"/>
              </w:rPr>
              <w:t>Other postprocedural complications and disorders of digestive system</w:t>
            </w:r>
          </w:p>
        </w:tc>
      </w:tr>
      <w:tr w:rsidR="000211AD" w:rsidRPr="000211AD" w14:paraId="29EC396D" w14:textId="77777777" w:rsidTr="00A113E1">
        <w:trPr>
          <w:trHeight w:val="290"/>
        </w:trPr>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14:paraId="5EBF31EA" w14:textId="056E6C96" w:rsidR="000211AD" w:rsidRPr="000211AD" w:rsidRDefault="00A113E1" w:rsidP="000211AD">
            <w:pPr>
              <w:spacing w:line="240" w:lineRule="auto"/>
              <w:rPr>
                <w:rFonts w:cs="Arial"/>
                <w:color w:val="000000"/>
                <w:szCs w:val="20"/>
              </w:rPr>
            </w:pPr>
            <w:r>
              <w:rPr>
                <w:rFonts w:cs="Arial"/>
                <w:color w:val="000000"/>
                <w:szCs w:val="20"/>
              </w:rPr>
              <w:t>Body mass index</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AD1C5" w14:textId="77777777" w:rsidR="000211AD" w:rsidRPr="000211AD" w:rsidRDefault="000211AD" w:rsidP="000211AD">
            <w:pPr>
              <w:spacing w:line="240" w:lineRule="auto"/>
              <w:rPr>
                <w:rFonts w:cs="Arial"/>
                <w:color w:val="000000"/>
                <w:szCs w:val="20"/>
              </w:rPr>
            </w:pPr>
            <w:r w:rsidRPr="000211AD">
              <w:rPr>
                <w:rFonts w:cs="Arial"/>
                <w:color w:val="000000"/>
                <w:szCs w:val="20"/>
              </w:rPr>
              <w:t>Z68*</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E64C2" w14:textId="77777777" w:rsidR="000211AD" w:rsidRPr="000211AD" w:rsidRDefault="000211AD" w:rsidP="000211AD">
            <w:pPr>
              <w:spacing w:line="240" w:lineRule="auto"/>
              <w:rPr>
                <w:rFonts w:cs="Arial"/>
                <w:color w:val="000000"/>
                <w:szCs w:val="20"/>
              </w:rPr>
            </w:pPr>
            <w:r w:rsidRPr="000211AD">
              <w:rPr>
                <w:rFonts w:cs="Arial"/>
                <w:color w:val="000000"/>
                <w:szCs w:val="20"/>
              </w:rPr>
              <w:t>Body mass index [BMI]</w:t>
            </w:r>
          </w:p>
        </w:tc>
      </w:tr>
      <w:tr w:rsidR="000211AD" w:rsidRPr="000211AD" w14:paraId="50E801E1" w14:textId="77777777" w:rsidTr="000211AD">
        <w:trPr>
          <w:trHeight w:val="290"/>
        </w:trPr>
        <w:tc>
          <w:tcPr>
            <w:tcW w:w="2070" w:type="dxa"/>
            <w:vMerge w:val="restart"/>
            <w:tcBorders>
              <w:top w:val="single" w:sz="4" w:space="0" w:color="auto"/>
              <w:left w:val="single" w:sz="4" w:space="0" w:color="auto"/>
              <w:right w:val="single" w:sz="4" w:space="0" w:color="auto"/>
            </w:tcBorders>
            <w:shd w:val="clear" w:color="auto" w:fill="auto"/>
            <w:noWrap/>
            <w:hideMark/>
          </w:tcPr>
          <w:p w14:paraId="6663C0FE" w14:textId="77777777" w:rsidR="000211AD" w:rsidRPr="000211AD" w:rsidRDefault="000211AD" w:rsidP="000211AD">
            <w:pPr>
              <w:spacing w:line="240" w:lineRule="auto"/>
              <w:rPr>
                <w:rFonts w:cs="Arial"/>
                <w:color w:val="000000"/>
                <w:szCs w:val="20"/>
              </w:rPr>
            </w:pPr>
            <w:r w:rsidRPr="000211AD">
              <w:rPr>
                <w:rFonts w:cs="Arial"/>
                <w:color w:val="000000"/>
                <w:szCs w:val="20"/>
              </w:rPr>
              <w:t>Bleeding</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FCB88" w14:textId="77777777" w:rsidR="000211AD" w:rsidRPr="000211AD" w:rsidRDefault="000211AD" w:rsidP="000211AD">
            <w:pPr>
              <w:spacing w:line="240" w:lineRule="auto"/>
              <w:rPr>
                <w:rFonts w:cs="Arial"/>
                <w:color w:val="000000"/>
                <w:szCs w:val="20"/>
              </w:rPr>
            </w:pPr>
            <w:r w:rsidRPr="000211AD">
              <w:rPr>
                <w:rFonts w:cs="Arial"/>
                <w:color w:val="000000"/>
                <w:szCs w:val="20"/>
              </w:rPr>
              <w:t>D62</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FF287" w14:textId="77777777" w:rsidR="000211AD" w:rsidRPr="000211AD" w:rsidRDefault="000211AD" w:rsidP="000211AD">
            <w:pPr>
              <w:spacing w:line="240" w:lineRule="auto"/>
              <w:rPr>
                <w:rFonts w:cs="Arial"/>
                <w:color w:val="000000"/>
                <w:szCs w:val="20"/>
              </w:rPr>
            </w:pPr>
            <w:r w:rsidRPr="000211AD">
              <w:rPr>
                <w:rFonts w:cs="Arial"/>
                <w:color w:val="000000"/>
                <w:szCs w:val="20"/>
              </w:rPr>
              <w:t>Acute posthemorrhagic anemia</w:t>
            </w:r>
          </w:p>
        </w:tc>
      </w:tr>
      <w:tr w:rsidR="000211AD" w:rsidRPr="000211AD" w14:paraId="0BACD9EA" w14:textId="77777777" w:rsidTr="000211AD">
        <w:trPr>
          <w:trHeight w:val="290"/>
        </w:trPr>
        <w:tc>
          <w:tcPr>
            <w:tcW w:w="2070" w:type="dxa"/>
            <w:vMerge/>
            <w:tcBorders>
              <w:left w:val="single" w:sz="4" w:space="0" w:color="auto"/>
              <w:right w:val="single" w:sz="4" w:space="0" w:color="auto"/>
            </w:tcBorders>
            <w:shd w:val="clear" w:color="auto" w:fill="auto"/>
            <w:noWrap/>
            <w:hideMark/>
          </w:tcPr>
          <w:p w14:paraId="6F9CF099"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711F1" w14:textId="77777777" w:rsidR="000211AD" w:rsidRPr="000211AD" w:rsidRDefault="000211AD" w:rsidP="000211AD">
            <w:pPr>
              <w:spacing w:line="240" w:lineRule="auto"/>
              <w:rPr>
                <w:rFonts w:cs="Arial"/>
                <w:color w:val="000000"/>
                <w:szCs w:val="20"/>
              </w:rPr>
            </w:pPr>
            <w:r w:rsidRPr="000211AD">
              <w:rPr>
                <w:rFonts w:cs="Arial"/>
                <w:color w:val="000000"/>
                <w:szCs w:val="20"/>
              </w:rPr>
              <w:t>R58</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84E33" w14:textId="77777777" w:rsidR="000211AD" w:rsidRPr="000211AD" w:rsidRDefault="000211AD" w:rsidP="000211AD">
            <w:pPr>
              <w:spacing w:line="240" w:lineRule="auto"/>
              <w:rPr>
                <w:rFonts w:cs="Arial"/>
                <w:color w:val="000000"/>
                <w:szCs w:val="20"/>
              </w:rPr>
            </w:pPr>
            <w:r w:rsidRPr="000211AD">
              <w:rPr>
                <w:rFonts w:cs="Arial"/>
                <w:color w:val="000000"/>
                <w:szCs w:val="20"/>
              </w:rPr>
              <w:t>Hemorrhage, not elsewhere classified</w:t>
            </w:r>
          </w:p>
        </w:tc>
      </w:tr>
      <w:tr w:rsidR="000211AD" w:rsidRPr="000211AD" w14:paraId="271DCE36" w14:textId="77777777" w:rsidTr="000211AD">
        <w:trPr>
          <w:trHeight w:val="290"/>
        </w:trPr>
        <w:tc>
          <w:tcPr>
            <w:tcW w:w="2070" w:type="dxa"/>
            <w:vMerge/>
            <w:tcBorders>
              <w:left w:val="single" w:sz="4" w:space="0" w:color="auto"/>
              <w:right w:val="single" w:sz="4" w:space="0" w:color="auto"/>
            </w:tcBorders>
            <w:shd w:val="clear" w:color="auto" w:fill="auto"/>
            <w:noWrap/>
            <w:hideMark/>
          </w:tcPr>
          <w:p w14:paraId="0130A241"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D4C96" w14:textId="77777777" w:rsidR="000211AD" w:rsidRPr="000211AD" w:rsidRDefault="000211AD" w:rsidP="000211AD">
            <w:pPr>
              <w:spacing w:line="240" w:lineRule="auto"/>
              <w:rPr>
                <w:rFonts w:cs="Arial"/>
                <w:color w:val="000000"/>
                <w:szCs w:val="20"/>
              </w:rPr>
            </w:pPr>
            <w:r w:rsidRPr="000211AD">
              <w:rPr>
                <w:rFonts w:cs="Arial"/>
                <w:color w:val="000000"/>
                <w:szCs w:val="20"/>
              </w:rPr>
              <w:t>K92.2</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00070" w14:textId="77777777" w:rsidR="000211AD" w:rsidRPr="000211AD" w:rsidRDefault="000211AD" w:rsidP="000211AD">
            <w:pPr>
              <w:spacing w:line="240" w:lineRule="auto"/>
              <w:rPr>
                <w:rFonts w:cs="Arial"/>
                <w:color w:val="000000"/>
                <w:szCs w:val="20"/>
              </w:rPr>
            </w:pPr>
            <w:r w:rsidRPr="000211AD">
              <w:rPr>
                <w:rFonts w:cs="Arial"/>
                <w:color w:val="000000"/>
                <w:szCs w:val="20"/>
              </w:rPr>
              <w:t>Gastrointestinal hemorrhage, unspecified</w:t>
            </w:r>
          </w:p>
        </w:tc>
      </w:tr>
      <w:tr w:rsidR="000211AD" w:rsidRPr="000211AD" w14:paraId="572D6884" w14:textId="77777777" w:rsidTr="000211AD">
        <w:trPr>
          <w:trHeight w:val="290"/>
        </w:trPr>
        <w:tc>
          <w:tcPr>
            <w:tcW w:w="2070" w:type="dxa"/>
            <w:vMerge/>
            <w:tcBorders>
              <w:left w:val="single" w:sz="4" w:space="0" w:color="auto"/>
              <w:right w:val="single" w:sz="4" w:space="0" w:color="auto"/>
            </w:tcBorders>
            <w:shd w:val="clear" w:color="auto" w:fill="auto"/>
            <w:noWrap/>
            <w:hideMark/>
          </w:tcPr>
          <w:p w14:paraId="3D7CBB78"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0B9DD" w14:textId="77777777" w:rsidR="000211AD" w:rsidRPr="000211AD" w:rsidRDefault="000211AD" w:rsidP="000211AD">
            <w:pPr>
              <w:spacing w:line="240" w:lineRule="auto"/>
              <w:rPr>
                <w:rFonts w:cs="Arial"/>
                <w:color w:val="000000"/>
                <w:szCs w:val="20"/>
              </w:rPr>
            </w:pPr>
            <w:r w:rsidRPr="000211AD">
              <w:rPr>
                <w:rFonts w:cs="Arial"/>
                <w:color w:val="000000"/>
                <w:szCs w:val="20"/>
              </w:rPr>
              <w:t>K92.1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75A3B" w14:textId="77777777" w:rsidR="000211AD" w:rsidRPr="000211AD" w:rsidRDefault="000211AD" w:rsidP="000211AD">
            <w:pPr>
              <w:spacing w:line="240" w:lineRule="auto"/>
              <w:rPr>
                <w:rFonts w:cs="Arial"/>
                <w:color w:val="000000"/>
                <w:szCs w:val="20"/>
              </w:rPr>
            </w:pPr>
            <w:r w:rsidRPr="000211AD">
              <w:rPr>
                <w:rFonts w:cs="Arial"/>
                <w:color w:val="000000"/>
                <w:szCs w:val="20"/>
              </w:rPr>
              <w:t>Melena</w:t>
            </w:r>
          </w:p>
        </w:tc>
      </w:tr>
      <w:tr w:rsidR="000211AD" w:rsidRPr="000211AD" w14:paraId="7B0E68AC" w14:textId="77777777" w:rsidTr="000211AD">
        <w:trPr>
          <w:trHeight w:val="290"/>
        </w:trPr>
        <w:tc>
          <w:tcPr>
            <w:tcW w:w="2070" w:type="dxa"/>
            <w:vMerge/>
            <w:tcBorders>
              <w:left w:val="single" w:sz="4" w:space="0" w:color="auto"/>
              <w:right w:val="single" w:sz="4" w:space="0" w:color="auto"/>
            </w:tcBorders>
            <w:shd w:val="clear" w:color="auto" w:fill="auto"/>
            <w:noWrap/>
            <w:hideMark/>
          </w:tcPr>
          <w:p w14:paraId="040F7D0D"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D212E" w14:textId="77777777" w:rsidR="000211AD" w:rsidRPr="000211AD" w:rsidRDefault="000211AD" w:rsidP="000211AD">
            <w:pPr>
              <w:spacing w:line="240" w:lineRule="auto"/>
              <w:rPr>
                <w:rFonts w:cs="Arial"/>
                <w:color w:val="000000"/>
                <w:szCs w:val="20"/>
              </w:rPr>
            </w:pPr>
            <w:r w:rsidRPr="000211AD">
              <w:rPr>
                <w:rFonts w:cs="Arial"/>
                <w:color w:val="000000"/>
                <w:szCs w:val="20"/>
              </w:rPr>
              <w:t>K91.840</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ECA2A" w14:textId="77777777" w:rsidR="000211AD" w:rsidRPr="000211AD" w:rsidRDefault="000211AD" w:rsidP="000211AD">
            <w:pPr>
              <w:spacing w:line="240" w:lineRule="auto"/>
              <w:rPr>
                <w:rFonts w:cs="Arial"/>
                <w:color w:val="000000"/>
                <w:szCs w:val="20"/>
              </w:rPr>
            </w:pPr>
            <w:r w:rsidRPr="000211AD">
              <w:rPr>
                <w:rFonts w:cs="Arial"/>
                <w:color w:val="000000"/>
                <w:szCs w:val="20"/>
              </w:rPr>
              <w:t>Postprocedural hemorrhage of a digestive system organ or structure following a digestive system procedure</w:t>
            </w:r>
          </w:p>
        </w:tc>
      </w:tr>
      <w:tr w:rsidR="000211AD" w:rsidRPr="000211AD" w14:paraId="0A74AC55" w14:textId="77777777" w:rsidTr="000211AD">
        <w:trPr>
          <w:trHeight w:val="290"/>
        </w:trPr>
        <w:tc>
          <w:tcPr>
            <w:tcW w:w="2070" w:type="dxa"/>
            <w:vMerge/>
            <w:tcBorders>
              <w:left w:val="single" w:sz="4" w:space="0" w:color="auto"/>
              <w:right w:val="single" w:sz="4" w:space="0" w:color="auto"/>
            </w:tcBorders>
            <w:shd w:val="clear" w:color="auto" w:fill="auto"/>
            <w:noWrap/>
            <w:hideMark/>
          </w:tcPr>
          <w:p w14:paraId="72D29042"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5306F" w14:textId="77777777" w:rsidR="000211AD" w:rsidRPr="000211AD" w:rsidRDefault="000211AD" w:rsidP="000211AD">
            <w:pPr>
              <w:spacing w:line="240" w:lineRule="auto"/>
              <w:rPr>
                <w:rFonts w:cs="Arial"/>
                <w:color w:val="000000"/>
                <w:szCs w:val="20"/>
              </w:rPr>
            </w:pPr>
            <w:r w:rsidRPr="000211AD">
              <w:rPr>
                <w:rFonts w:cs="Arial"/>
                <w:color w:val="000000"/>
                <w:szCs w:val="20"/>
              </w:rPr>
              <w:t>K91.841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FE0EC" w14:textId="77777777" w:rsidR="000211AD" w:rsidRPr="000211AD" w:rsidRDefault="000211AD" w:rsidP="000211AD">
            <w:pPr>
              <w:spacing w:line="240" w:lineRule="auto"/>
              <w:rPr>
                <w:rFonts w:cs="Arial"/>
                <w:color w:val="000000"/>
                <w:szCs w:val="20"/>
              </w:rPr>
            </w:pPr>
            <w:r w:rsidRPr="000211AD">
              <w:rPr>
                <w:rFonts w:cs="Arial"/>
                <w:color w:val="000000"/>
                <w:szCs w:val="20"/>
              </w:rPr>
              <w:t>Postprocedural hemorrhage of a digestive system organ or structure following other procedure</w:t>
            </w:r>
          </w:p>
        </w:tc>
      </w:tr>
      <w:tr w:rsidR="000211AD" w:rsidRPr="000211AD" w14:paraId="42693BEC" w14:textId="77777777" w:rsidTr="000211AD">
        <w:trPr>
          <w:trHeight w:val="290"/>
        </w:trPr>
        <w:tc>
          <w:tcPr>
            <w:tcW w:w="2070" w:type="dxa"/>
            <w:vMerge/>
            <w:tcBorders>
              <w:left w:val="single" w:sz="4" w:space="0" w:color="auto"/>
              <w:right w:val="single" w:sz="4" w:space="0" w:color="auto"/>
            </w:tcBorders>
            <w:shd w:val="clear" w:color="auto" w:fill="auto"/>
            <w:noWrap/>
            <w:hideMark/>
          </w:tcPr>
          <w:p w14:paraId="3903F040"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4AA01" w14:textId="77777777" w:rsidR="000211AD" w:rsidRPr="000211AD" w:rsidRDefault="000211AD" w:rsidP="000211AD">
            <w:pPr>
              <w:spacing w:line="240" w:lineRule="auto"/>
              <w:rPr>
                <w:rFonts w:cs="Arial"/>
                <w:color w:val="000000"/>
                <w:szCs w:val="20"/>
              </w:rPr>
            </w:pPr>
            <w:r w:rsidRPr="000211AD">
              <w:rPr>
                <w:rFonts w:cs="Arial"/>
                <w:color w:val="000000"/>
                <w:szCs w:val="20"/>
              </w:rPr>
              <w:t>K91.61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AD1A4" w14:textId="77777777" w:rsidR="000211AD" w:rsidRPr="000211AD" w:rsidRDefault="000211AD" w:rsidP="000211AD">
            <w:pPr>
              <w:spacing w:line="240" w:lineRule="auto"/>
              <w:rPr>
                <w:rFonts w:cs="Arial"/>
                <w:color w:val="000000"/>
                <w:szCs w:val="20"/>
              </w:rPr>
            </w:pPr>
            <w:r w:rsidRPr="000211AD">
              <w:rPr>
                <w:rFonts w:cs="Arial"/>
                <w:color w:val="000000"/>
                <w:szCs w:val="20"/>
              </w:rPr>
              <w:t>Intraoperative hemorrhage and hematoma of a digestive system organ or structure complicating a digestive system procedure</w:t>
            </w:r>
          </w:p>
        </w:tc>
      </w:tr>
      <w:tr w:rsidR="000211AD" w:rsidRPr="000211AD" w14:paraId="3CE1C5F3" w14:textId="77777777" w:rsidTr="000211AD">
        <w:trPr>
          <w:trHeight w:val="290"/>
        </w:trPr>
        <w:tc>
          <w:tcPr>
            <w:tcW w:w="2070" w:type="dxa"/>
            <w:vMerge/>
            <w:tcBorders>
              <w:left w:val="single" w:sz="4" w:space="0" w:color="auto"/>
              <w:right w:val="single" w:sz="4" w:space="0" w:color="auto"/>
            </w:tcBorders>
            <w:shd w:val="clear" w:color="auto" w:fill="auto"/>
            <w:noWrap/>
            <w:hideMark/>
          </w:tcPr>
          <w:p w14:paraId="5A2CA12D"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03062" w14:textId="77777777" w:rsidR="000211AD" w:rsidRPr="000211AD" w:rsidRDefault="000211AD" w:rsidP="000211AD">
            <w:pPr>
              <w:spacing w:line="240" w:lineRule="auto"/>
              <w:rPr>
                <w:rFonts w:cs="Arial"/>
                <w:color w:val="000000"/>
                <w:szCs w:val="20"/>
              </w:rPr>
            </w:pPr>
            <w:r w:rsidRPr="000211AD">
              <w:rPr>
                <w:rFonts w:cs="Arial"/>
                <w:color w:val="000000"/>
                <w:szCs w:val="20"/>
              </w:rPr>
              <w:t>K91.62</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D152A" w14:textId="77777777" w:rsidR="000211AD" w:rsidRPr="000211AD" w:rsidRDefault="000211AD" w:rsidP="000211AD">
            <w:pPr>
              <w:spacing w:line="240" w:lineRule="auto"/>
              <w:rPr>
                <w:rFonts w:cs="Arial"/>
                <w:color w:val="000000"/>
                <w:szCs w:val="20"/>
              </w:rPr>
            </w:pPr>
            <w:r w:rsidRPr="000211AD">
              <w:rPr>
                <w:rFonts w:cs="Arial"/>
                <w:color w:val="000000"/>
                <w:szCs w:val="20"/>
              </w:rPr>
              <w:t>Intraoperative hemorrhage and hematoma of a digestive system organ or structure complicating other procedure</w:t>
            </w:r>
          </w:p>
        </w:tc>
      </w:tr>
      <w:tr w:rsidR="000211AD" w:rsidRPr="000211AD" w14:paraId="45B9695F" w14:textId="77777777" w:rsidTr="000211AD">
        <w:trPr>
          <w:trHeight w:val="290"/>
        </w:trPr>
        <w:tc>
          <w:tcPr>
            <w:tcW w:w="2070" w:type="dxa"/>
            <w:vMerge/>
            <w:tcBorders>
              <w:left w:val="single" w:sz="4" w:space="0" w:color="auto"/>
              <w:right w:val="single" w:sz="4" w:space="0" w:color="auto"/>
            </w:tcBorders>
            <w:shd w:val="clear" w:color="auto" w:fill="auto"/>
            <w:noWrap/>
            <w:hideMark/>
          </w:tcPr>
          <w:p w14:paraId="3C73BF03"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3B7B9" w14:textId="77777777" w:rsidR="000211AD" w:rsidRPr="000211AD" w:rsidRDefault="000211AD" w:rsidP="000211AD">
            <w:pPr>
              <w:spacing w:line="240" w:lineRule="auto"/>
              <w:rPr>
                <w:rFonts w:cs="Arial"/>
                <w:color w:val="000000"/>
                <w:szCs w:val="20"/>
              </w:rPr>
            </w:pPr>
            <w:r w:rsidRPr="000211AD">
              <w:rPr>
                <w:rFonts w:cs="Arial"/>
                <w:color w:val="000000"/>
                <w:szCs w:val="20"/>
              </w:rPr>
              <w:t>K91.870</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C01AF" w14:textId="77777777" w:rsidR="000211AD" w:rsidRPr="000211AD" w:rsidRDefault="000211AD" w:rsidP="000211AD">
            <w:pPr>
              <w:spacing w:line="240" w:lineRule="auto"/>
              <w:rPr>
                <w:rFonts w:cs="Arial"/>
                <w:color w:val="000000"/>
                <w:szCs w:val="20"/>
              </w:rPr>
            </w:pPr>
            <w:r w:rsidRPr="000211AD">
              <w:rPr>
                <w:rFonts w:cs="Arial"/>
                <w:color w:val="000000"/>
                <w:szCs w:val="20"/>
              </w:rPr>
              <w:t>Postprocedural hematoma of a digestive system organ or structure following a digestive system procedure</w:t>
            </w:r>
          </w:p>
        </w:tc>
      </w:tr>
      <w:tr w:rsidR="000211AD" w:rsidRPr="000211AD" w14:paraId="6C27867F" w14:textId="77777777" w:rsidTr="000211AD">
        <w:trPr>
          <w:trHeight w:val="290"/>
        </w:trPr>
        <w:tc>
          <w:tcPr>
            <w:tcW w:w="2070" w:type="dxa"/>
            <w:vMerge/>
            <w:tcBorders>
              <w:left w:val="single" w:sz="4" w:space="0" w:color="auto"/>
              <w:right w:val="single" w:sz="4" w:space="0" w:color="auto"/>
            </w:tcBorders>
            <w:shd w:val="clear" w:color="auto" w:fill="auto"/>
            <w:noWrap/>
            <w:hideMark/>
          </w:tcPr>
          <w:p w14:paraId="750C3055"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73060" w14:textId="77777777" w:rsidR="000211AD" w:rsidRPr="000211AD" w:rsidRDefault="000211AD" w:rsidP="000211AD">
            <w:pPr>
              <w:spacing w:line="240" w:lineRule="auto"/>
              <w:rPr>
                <w:rFonts w:cs="Arial"/>
                <w:color w:val="000000"/>
                <w:szCs w:val="20"/>
              </w:rPr>
            </w:pPr>
            <w:r w:rsidRPr="000211AD">
              <w:rPr>
                <w:rFonts w:cs="Arial"/>
                <w:color w:val="000000"/>
                <w:szCs w:val="20"/>
              </w:rPr>
              <w:t>K91.871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7CAAF" w14:textId="77777777" w:rsidR="000211AD" w:rsidRPr="000211AD" w:rsidRDefault="000211AD" w:rsidP="000211AD">
            <w:pPr>
              <w:spacing w:line="240" w:lineRule="auto"/>
              <w:rPr>
                <w:rFonts w:cs="Arial"/>
                <w:color w:val="000000"/>
                <w:szCs w:val="20"/>
              </w:rPr>
            </w:pPr>
            <w:r w:rsidRPr="000211AD">
              <w:rPr>
                <w:rFonts w:cs="Arial"/>
                <w:color w:val="000000"/>
                <w:szCs w:val="20"/>
              </w:rPr>
              <w:t>Postprocedural hematoma of a digestive system organ or structure following other procedure</w:t>
            </w:r>
          </w:p>
        </w:tc>
      </w:tr>
      <w:tr w:rsidR="000211AD" w:rsidRPr="000211AD" w14:paraId="77DB5A75" w14:textId="77777777" w:rsidTr="000211AD">
        <w:trPr>
          <w:trHeight w:val="290"/>
        </w:trPr>
        <w:tc>
          <w:tcPr>
            <w:tcW w:w="2070" w:type="dxa"/>
            <w:vMerge/>
            <w:tcBorders>
              <w:left w:val="single" w:sz="4" w:space="0" w:color="auto"/>
              <w:right w:val="single" w:sz="4" w:space="0" w:color="auto"/>
            </w:tcBorders>
            <w:shd w:val="clear" w:color="auto" w:fill="auto"/>
            <w:noWrap/>
            <w:hideMark/>
          </w:tcPr>
          <w:p w14:paraId="435F97C5"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E2E1E" w14:textId="77777777" w:rsidR="000211AD" w:rsidRPr="000211AD" w:rsidRDefault="000211AD" w:rsidP="000211AD">
            <w:pPr>
              <w:spacing w:line="240" w:lineRule="auto"/>
              <w:rPr>
                <w:rFonts w:cs="Arial"/>
                <w:color w:val="000000"/>
                <w:szCs w:val="20"/>
              </w:rPr>
            </w:pPr>
            <w:r w:rsidRPr="000211AD">
              <w:rPr>
                <w:rFonts w:cs="Arial"/>
                <w:color w:val="000000"/>
                <w:szCs w:val="20"/>
              </w:rPr>
              <w:t>K91.872</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C0EA9" w14:textId="77777777" w:rsidR="000211AD" w:rsidRPr="000211AD" w:rsidRDefault="000211AD" w:rsidP="000211AD">
            <w:pPr>
              <w:spacing w:line="240" w:lineRule="auto"/>
              <w:rPr>
                <w:rFonts w:cs="Arial"/>
                <w:color w:val="000000"/>
                <w:szCs w:val="20"/>
              </w:rPr>
            </w:pPr>
            <w:r w:rsidRPr="000211AD">
              <w:rPr>
                <w:rFonts w:cs="Arial"/>
                <w:color w:val="000000"/>
                <w:szCs w:val="20"/>
              </w:rPr>
              <w:t>Postprocedural seroma of a digestive system organ or structure following a digestive system procedure</w:t>
            </w:r>
          </w:p>
        </w:tc>
      </w:tr>
      <w:tr w:rsidR="000211AD" w:rsidRPr="000211AD" w14:paraId="5EA82312" w14:textId="77777777" w:rsidTr="000211AD">
        <w:trPr>
          <w:trHeight w:val="290"/>
        </w:trPr>
        <w:tc>
          <w:tcPr>
            <w:tcW w:w="2070" w:type="dxa"/>
            <w:vMerge/>
            <w:tcBorders>
              <w:left w:val="single" w:sz="4" w:space="0" w:color="auto"/>
              <w:bottom w:val="single" w:sz="4" w:space="0" w:color="auto"/>
              <w:right w:val="single" w:sz="4" w:space="0" w:color="auto"/>
            </w:tcBorders>
            <w:shd w:val="clear" w:color="auto" w:fill="auto"/>
            <w:noWrap/>
            <w:hideMark/>
          </w:tcPr>
          <w:p w14:paraId="352A3E61"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7DD17" w14:textId="77777777" w:rsidR="000211AD" w:rsidRPr="000211AD" w:rsidRDefault="000211AD" w:rsidP="000211AD">
            <w:pPr>
              <w:spacing w:line="240" w:lineRule="auto"/>
              <w:rPr>
                <w:rFonts w:cs="Arial"/>
                <w:color w:val="000000"/>
                <w:szCs w:val="20"/>
              </w:rPr>
            </w:pPr>
            <w:r w:rsidRPr="000211AD">
              <w:rPr>
                <w:rFonts w:cs="Arial"/>
                <w:color w:val="000000"/>
                <w:szCs w:val="20"/>
              </w:rPr>
              <w:t>K91.873</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98AA1" w14:textId="77777777" w:rsidR="000211AD" w:rsidRPr="000211AD" w:rsidRDefault="000211AD" w:rsidP="000211AD">
            <w:pPr>
              <w:spacing w:line="240" w:lineRule="auto"/>
              <w:rPr>
                <w:rFonts w:cs="Arial"/>
                <w:color w:val="000000"/>
                <w:szCs w:val="20"/>
              </w:rPr>
            </w:pPr>
            <w:r w:rsidRPr="000211AD">
              <w:rPr>
                <w:rFonts w:cs="Arial"/>
                <w:color w:val="000000"/>
                <w:szCs w:val="20"/>
              </w:rPr>
              <w:t>Postprocedural seroma of a digestive system organ or structure following other procedure</w:t>
            </w:r>
          </w:p>
        </w:tc>
      </w:tr>
      <w:tr w:rsidR="000211AD" w:rsidRPr="000211AD" w14:paraId="7407D25A" w14:textId="77777777" w:rsidTr="000211AD">
        <w:trPr>
          <w:trHeight w:val="290"/>
        </w:trPr>
        <w:tc>
          <w:tcPr>
            <w:tcW w:w="2070" w:type="dxa"/>
            <w:vMerge w:val="restart"/>
            <w:tcBorders>
              <w:top w:val="single" w:sz="4" w:space="0" w:color="auto"/>
              <w:left w:val="single" w:sz="4" w:space="0" w:color="auto"/>
              <w:right w:val="single" w:sz="4" w:space="0" w:color="auto"/>
            </w:tcBorders>
            <w:shd w:val="clear" w:color="auto" w:fill="auto"/>
            <w:noWrap/>
            <w:hideMark/>
          </w:tcPr>
          <w:p w14:paraId="7356488C" w14:textId="77777777" w:rsidR="000211AD" w:rsidRPr="000211AD" w:rsidRDefault="000211AD" w:rsidP="000211AD">
            <w:pPr>
              <w:spacing w:line="240" w:lineRule="auto"/>
              <w:rPr>
                <w:rFonts w:cs="Arial"/>
                <w:color w:val="000000"/>
                <w:szCs w:val="20"/>
              </w:rPr>
            </w:pPr>
            <w:r w:rsidRPr="000211AD">
              <w:rPr>
                <w:rFonts w:cs="Arial"/>
                <w:color w:val="000000"/>
                <w:szCs w:val="20"/>
              </w:rPr>
              <w:t>Perioperative autologous transfusion of whole blood or blood components</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08FC" w14:textId="77777777" w:rsidR="000211AD" w:rsidRPr="000211AD" w:rsidRDefault="000211AD" w:rsidP="000211AD">
            <w:pPr>
              <w:spacing w:line="240" w:lineRule="auto"/>
              <w:rPr>
                <w:rFonts w:cs="Arial"/>
                <w:color w:val="000000"/>
                <w:szCs w:val="20"/>
              </w:rPr>
            </w:pPr>
            <w:r w:rsidRPr="000211AD">
              <w:rPr>
                <w:rFonts w:cs="Arial"/>
                <w:color w:val="000000"/>
                <w:szCs w:val="20"/>
              </w:rPr>
              <w:t>30233H0</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79B90"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Autologous Whole Blood into Peripheral Vein, Percutaneous Approach</w:t>
            </w:r>
          </w:p>
        </w:tc>
      </w:tr>
      <w:tr w:rsidR="000211AD" w:rsidRPr="000211AD" w14:paraId="20D06C35" w14:textId="77777777" w:rsidTr="000211AD">
        <w:trPr>
          <w:trHeight w:val="290"/>
        </w:trPr>
        <w:tc>
          <w:tcPr>
            <w:tcW w:w="2070" w:type="dxa"/>
            <w:vMerge/>
            <w:tcBorders>
              <w:left w:val="single" w:sz="4" w:space="0" w:color="auto"/>
              <w:right w:val="single" w:sz="4" w:space="0" w:color="auto"/>
            </w:tcBorders>
            <w:shd w:val="clear" w:color="auto" w:fill="auto"/>
            <w:noWrap/>
            <w:hideMark/>
          </w:tcPr>
          <w:p w14:paraId="6B1DCE63"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3AA5E" w14:textId="77777777" w:rsidR="000211AD" w:rsidRPr="000211AD" w:rsidRDefault="000211AD" w:rsidP="000211AD">
            <w:pPr>
              <w:spacing w:line="240" w:lineRule="auto"/>
              <w:rPr>
                <w:rFonts w:cs="Arial"/>
                <w:color w:val="000000"/>
                <w:szCs w:val="20"/>
              </w:rPr>
            </w:pPr>
            <w:r w:rsidRPr="000211AD">
              <w:rPr>
                <w:rFonts w:cs="Arial"/>
                <w:color w:val="000000"/>
                <w:szCs w:val="20"/>
              </w:rPr>
              <w:t>30233N0</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BC278"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Autologous Red Blood Cells into Peripheral Vein, Percutaneous Approach</w:t>
            </w:r>
          </w:p>
        </w:tc>
      </w:tr>
      <w:tr w:rsidR="000211AD" w:rsidRPr="000211AD" w14:paraId="3900BEE2" w14:textId="77777777" w:rsidTr="000211AD">
        <w:trPr>
          <w:trHeight w:val="290"/>
        </w:trPr>
        <w:tc>
          <w:tcPr>
            <w:tcW w:w="2070" w:type="dxa"/>
            <w:vMerge/>
            <w:tcBorders>
              <w:left w:val="single" w:sz="4" w:space="0" w:color="auto"/>
              <w:right w:val="single" w:sz="4" w:space="0" w:color="auto"/>
            </w:tcBorders>
            <w:shd w:val="clear" w:color="auto" w:fill="auto"/>
            <w:noWrap/>
            <w:hideMark/>
          </w:tcPr>
          <w:p w14:paraId="76D3F555"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7B40B" w14:textId="77777777" w:rsidR="000211AD" w:rsidRPr="000211AD" w:rsidRDefault="000211AD" w:rsidP="000211AD">
            <w:pPr>
              <w:spacing w:line="240" w:lineRule="auto"/>
              <w:rPr>
                <w:rFonts w:cs="Arial"/>
                <w:color w:val="000000"/>
                <w:szCs w:val="20"/>
              </w:rPr>
            </w:pPr>
            <w:r w:rsidRPr="000211AD">
              <w:rPr>
                <w:rFonts w:cs="Arial"/>
                <w:color w:val="000000"/>
                <w:szCs w:val="20"/>
              </w:rPr>
              <w:t>30243H0</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2CEB4"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Autologous Whole Blood into Central Vein, Percutaneous Approach</w:t>
            </w:r>
          </w:p>
        </w:tc>
      </w:tr>
      <w:tr w:rsidR="000211AD" w:rsidRPr="000211AD" w14:paraId="366E1653" w14:textId="77777777" w:rsidTr="000211AD">
        <w:trPr>
          <w:trHeight w:val="290"/>
        </w:trPr>
        <w:tc>
          <w:tcPr>
            <w:tcW w:w="2070" w:type="dxa"/>
            <w:vMerge/>
            <w:tcBorders>
              <w:left w:val="single" w:sz="4" w:space="0" w:color="auto"/>
              <w:right w:val="single" w:sz="4" w:space="0" w:color="auto"/>
            </w:tcBorders>
            <w:shd w:val="clear" w:color="auto" w:fill="auto"/>
            <w:noWrap/>
            <w:hideMark/>
          </w:tcPr>
          <w:p w14:paraId="6CA7C8BA"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C8599" w14:textId="77777777" w:rsidR="000211AD" w:rsidRPr="000211AD" w:rsidRDefault="000211AD" w:rsidP="000211AD">
            <w:pPr>
              <w:spacing w:line="240" w:lineRule="auto"/>
              <w:rPr>
                <w:rFonts w:cs="Arial"/>
                <w:color w:val="000000"/>
                <w:szCs w:val="20"/>
              </w:rPr>
            </w:pPr>
            <w:r w:rsidRPr="000211AD">
              <w:rPr>
                <w:rFonts w:cs="Arial"/>
                <w:color w:val="000000"/>
                <w:szCs w:val="20"/>
              </w:rPr>
              <w:t>30243N0</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E2C80"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Autologous Red Blood Cells into Central Vein, Percutaneous Approach</w:t>
            </w:r>
          </w:p>
        </w:tc>
      </w:tr>
      <w:tr w:rsidR="000211AD" w:rsidRPr="000211AD" w14:paraId="6C5B137C" w14:textId="77777777" w:rsidTr="000211AD">
        <w:trPr>
          <w:trHeight w:val="290"/>
        </w:trPr>
        <w:tc>
          <w:tcPr>
            <w:tcW w:w="2070" w:type="dxa"/>
            <w:vMerge/>
            <w:tcBorders>
              <w:left w:val="single" w:sz="4" w:space="0" w:color="auto"/>
              <w:right w:val="single" w:sz="4" w:space="0" w:color="auto"/>
            </w:tcBorders>
            <w:shd w:val="clear" w:color="auto" w:fill="auto"/>
            <w:noWrap/>
            <w:hideMark/>
          </w:tcPr>
          <w:p w14:paraId="385B3051"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955D1" w14:textId="77777777" w:rsidR="000211AD" w:rsidRPr="000211AD" w:rsidRDefault="000211AD" w:rsidP="000211AD">
            <w:pPr>
              <w:spacing w:line="240" w:lineRule="auto"/>
              <w:rPr>
                <w:rFonts w:cs="Arial"/>
                <w:color w:val="000000"/>
                <w:szCs w:val="20"/>
              </w:rPr>
            </w:pPr>
            <w:r w:rsidRPr="000211AD">
              <w:rPr>
                <w:rFonts w:cs="Arial"/>
                <w:color w:val="000000"/>
                <w:szCs w:val="20"/>
              </w:rPr>
              <w:t>30253H0</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DE3DC"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Autologous Whole Blood into Peripheral Artery, Percutaneous Approach</w:t>
            </w:r>
          </w:p>
        </w:tc>
      </w:tr>
      <w:tr w:rsidR="000211AD" w:rsidRPr="000211AD" w14:paraId="18944D4E" w14:textId="77777777" w:rsidTr="000211AD">
        <w:trPr>
          <w:trHeight w:val="290"/>
        </w:trPr>
        <w:tc>
          <w:tcPr>
            <w:tcW w:w="2070" w:type="dxa"/>
            <w:vMerge/>
            <w:tcBorders>
              <w:left w:val="single" w:sz="4" w:space="0" w:color="auto"/>
              <w:right w:val="single" w:sz="4" w:space="0" w:color="auto"/>
            </w:tcBorders>
            <w:shd w:val="clear" w:color="auto" w:fill="auto"/>
            <w:noWrap/>
            <w:hideMark/>
          </w:tcPr>
          <w:p w14:paraId="7D076E75"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58CCC" w14:textId="77777777" w:rsidR="000211AD" w:rsidRPr="000211AD" w:rsidRDefault="000211AD" w:rsidP="000211AD">
            <w:pPr>
              <w:spacing w:line="240" w:lineRule="auto"/>
              <w:rPr>
                <w:rFonts w:cs="Arial"/>
                <w:color w:val="000000"/>
                <w:szCs w:val="20"/>
              </w:rPr>
            </w:pPr>
            <w:r w:rsidRPr="000211AD">
              <w:rPr>
                <w:rFonts w:cs="Arial"/>
                <w:color w:val="000000"/>
                <w:szCs w:val="20"/>
              </w:rPr>
              <w:t>30253N0</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71F30"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Autologous Red Blood Cells into Peripheral Artery, Percutaneous Approach</w:t>
            </w:r>
          </w:p>
        </w:tc>
      </w:tr>
      <w:tr w:rsidR="000211AD" w:rsidRPr="000211AD" w14:paraId="1B1BD7DE" w14:textId="77777777" w:rsidTr="000211AD">
        <w:trPr>
          <w:trHeight w:val="290"/>
        </w:trPr>
        <w:tc>
          <w:tcPr>
            <w:tcW w:w="2070" w:type="dxa"/>
            <w:vMerge/>
            <w:tcBorders>
              <w:left w:val="single" w:sz="4" w:space="0" w:color="auto"/>
              <w:right w:val="single" w:sz="4" w:space="0" w:color="auto"/>
            </w:tcBorders>
            <w:shd w:val="clear" w:color="auto" w:fill="auto"/>
            <w:noWrap/>
            <w:hideMark/>
          </w:tcPr>
          <w:p w14:paraId="0C666D26"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60D0A" w14:textId="77777777" w:rsidR="000211AD" w:rsidRPr="000211AD" w:rsidRDefault="000211AD" w:rsidP="000211AD">
            <w:pPr>
              <w:spacing w:line="240" w:lineRule="auto"/>
              <w:rPr>
                <w:rFonts w:cs="Arial"/>
                <w:color w:val="000000"/>
                <w:szCs w:val="20"/>
              </w:rPr>
            </w:pPr>
            <w:r w:rsidRPr="000211AD">
              <w:rPr>
                <w:rFonts w:cs="Arial"/>
                <w:color w:val="000000"/>
                <w:szCs w:val="20"/>
              </w:rPr>
              <w:t>30263H0</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F2859"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Autologous Whole Blood into Central Artery, Percutaneous Approach</w:t>
            </w:r>
          </w:p>
        </w:tc>
      </w:tr>
      <w:tr w:rsidR="000211AD" w:rsidRPr="000211AD" w14:paraId="18533BB5" w14:textId="77777777" w:rsidTr="000211AD">
        <w:trPr>
          <w:trHeight w:val="290"/>
        </w:trPr>
        <w:tc>
          <w:tcPr>
            <w:tcW w:w="2070" w:type="dxa"/>
            <w:vMerge/>
            <w:tcBorders>
              <w:left w:val="single" w:sz="4" w:space="0" w:color="auto"/>
              <w:bottom w:val="single" w:sz="4" w:space="0" w:color="auto"/>
              <w:right w:val="single" w:sz="4" w:space="0" w:color="auto"/>
            </w:tcBorders>
            <w:shd w:val="clear" w:color="auto" w:fill="auto"/>
            <w:noWrap/>
            <w:hideMark/>
          </w:tcPr>
          <w:p w14:paraId="16352AF4"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D9B2D" w14:textId="77777777" w:rsidR="000211AD" w:rsidRPr="000211AD" w:rsidRDefault="000211AD" w:rsidP="000211AD">
            <w:pPr>
              <w:spacing w:line="240" w:lineRule="auto"/>
              <w:rPr>
                <w:rFonts w:cs="Arial"/>
                <w:color w:val="000000"/>
                <w:szCs w:val="20"/>
              </w:rPr>
            </w:pPr>
            <w:r w:rsidRPr="000211AD">
              <w:rPr>
                <w:rFonts w:cs="Arial"/>
                <w:color w:val="000000"/>
                <w:szCs w:val="20"/>
              </w:rPr>
              <w:t>30263N0</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6BA3B"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Autologous Red Blood Cells into Central Artery, Percutaneous Approach</w:t>
            </w:r>
          </w:p>
        </w:tc>
      </w:tr>
      <w:tr w:rsidR="000211AD" w:rsidRPr="000211AD" w14:paraId="7AAA6CA6" w14:textId="77777777" w:rsidTr="00C30009">
        <w:trPr>
          <w:trHeight w:val="290"/>
        </w:trPr>
        <w:tc>
          <w:tcPr>
            <w:tcW w:w="2070" w:type="dxa"/>
            <w:vMerge w:val="restart"/>
            <w:tcBorders>
              <w:top w:val="single" w:sz="4" w:space="0" w:color="auto"/>
              <w:left w:val="single" w:sz="4" w:space="0" w:color="auto"/>
              <w:right w:val="single" w:sz="4" w:space="0" w:color="auto"/>
            </w:tcBorders>
            <w:shd w:val="clear" w:color="auto" w:fill="auto"/>
            <w:noWrap/>
            <w:hideMark/>
          </w:tcPr>
          <w:p w14:paraId="2901EDC7" w14:textId="10940D8F" w:rsidR="000211AD" w:rsidRDefault="000211AD" w:rsidP="000211AD">
            <w:pPr>
              <w:spacing w:line="240" w:lineRule="auto"/>
              <w:rPr>
                <w:rFonts w:cs="Arial"/>
                <w:color w:val="000000"/>
                <w:szCs w:val="20"/>
              </w:rPr>
            </w:pPr>
            <w:r w:rsidRPr="000211AD">
              <w:rPr>
                <w:rFonts w:cs="Arial"/>
                <w:color w:val="000000"/>
                <w:szCs w:val="20"/>
              </w:rPr>
              <w:lastRenderedPageBreak/>
              <w:t>Exchange transfusion</w:t>
            </w:r>
          </w:p>
          <w:p w14:paraId="1AD8EAB0" w14:textId="77777777" w:rsidR="000211AD" w:rsidRDefault="000211AD" w:rsidP="000211AD">
            <w:pPr>
              <w:spacing w:line="240" w:lineRule="auto"/>
              <w:rPr>
                <w:rFonts w:cs="Arial"/>
                <w:color w:val="000000"/>
                <w:szCs w:val="20"/>
              </w:rPr>
            </w:pPr>
          </w:p>
          <w:p w14:paraId="4C26532A" w14:textId="4A0BC030" w:rsidR="000211AD" w:rsidRPr="000211AD" w:rsidRDefault="000211AD" w:rsidP="000211AD">
            <w:pPr>
              <w:spacing w:line="240" w:lineRule="auto"/>
              <w:rPr>
                <w:rFonts w:cs="Arial"/>
                <w:color w:val="000000"/>
                <w:szCs w:val="20"/>
              </w:rPr>
            </w:pPr>
            <w:r w:rsidRPr="000211AD">
              <w:rPr>
                <w:rFonts w:cs="Arial"/>
                <w:color w:val="000000"/>
                <w:szCs w:val="20"/>
              </w:rPr>
              <w:t>Other transfusion of whole blood</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145E0" w14:textId="77777777" w:rsidR="000211AD" w:rsidRPr="000211AD" w:rsidRDefault="000211AD" w:rsidP="000211AD">
            <w:pPr>
              <w:spacing w:line="240" w:lineRule="auto"/>
              <w:rPr>
                <w:rFonts w:cs="Arial"/>
                <w:color w:val="000000"/>
                <w:szCs w:val="20"/>
              </w:rPr>
            </w:pPr>
            <w:r w:rsidRPr="000211AD">
              <w:rPr>
                <w:rFonts w:cs="Arial"/>
                <w:color w:val="000000"/>
                <w:szCs w:val="20"/>
              </w:rPr>
              <w:t>30233H1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2977D"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Whole Blood into Peripheral Vein, Percutaneous Approach</w:t>
            </w:r>
          </w:p>
        </w:tc>
      </w:tr>
      <w:tr w:rsidR="000211AD" w:rsidRPr="000211AD" w14:paraId="1F0B04E4" w14:textId="77777777" w:rsidTr="00C30009">
        <w:trPr>
          <w:trHeight w:val="290"/>
        </w:trPr>
        <w:tc>
          <w:tcPr>
            <w:tcW w:w="2070" w:type="dxa"/>
            <w:vMerge/>
            <w:tcBorders>
              <w:left w:val="single" w:sz="4" w:space="0" w:color="auto"/>
              <w:right w:val="single" w:sz="4" w:space="0" w:color="auto"/>
            </w:tcBorders>
            <w:shd w:val="clear" w:color="auto" w:fill="auto"/>
            <w:noWrap/>
            <w:hideMark/>
          </w:tcPr>
          <w:p w14:paraId="77171F20" w14:textId="08D9EF4B"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21485" w14:textId="77777777" w:rsidR="000211AD" w:rsidRPr="000211AD" w:rsidRDefault="000211AD" w:rsidP="000211AD">
            <w:pPr>
              <w:spacing w:line="240" w:lineRule="auto"/>
              <w:rPr>
                <w:rFonts w:cs="Arial"/>
                <w:color w:val="000000"/>
                <w:szCs w:val="20"/>
              </w:rPr>
            </w:pPr>
            <w:r w:rsidRPr="000211AD">
              <w:rPr>
                <w:rFonts w:cs="Arial"/>
                <w:color w:val="000000"/>
                <w:szCs w:val="20"/>
              </w:rPr>
              <w:t>30243H1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A22EF"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Whole Blood into Central Vein, Percutaneous Approach</w:t>
            </w:r>
          </w:p>
        </w:tc>
      </w:tr>
      <w:tr w:rsidR="000211AD" w:rsidRPr="000211AD" w14:paraId="555609AB" w14:textId="77777777" w:rsidTr="00C30009">
        <w:trPr>
          <w:trHeight w:val="290"/>
        </w:trPr>
        <w:tc>
          <w:tcPr>
            <w:tcW w:w="2070" w:type="dxa"/>
            <w:vMerge/>
            <w:tcBorders>
              <w:left w:val="single" w:sz="4" w:space="0" w:color="auto"/>
              <w:right w:val="single" w:sz="4" w:space="0" w:color="auto"/>
            </w:tcBorders>
            <w:shd w:val="clear" w:color="auto" w:fill="auto"/>
            <w:noWrap/>
            <w:hideMark/>
          </w:tcPr>
          <w:p w14:paraId="04C75F0C"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5F605" w14:textId="77777777" w:rsidR="000211AD" w:rsidRPr="000211AD" w:rsidRDefault="000211AD" w:rsidP="000211AD">
            <w:pPr>
              <w:spacing w:line="240" w:lineRule="auto"/>
              <w:rPr>
                <w:rFonts w:cs="Arial"/>
                <w:color w:val="000000"/>
                <w:szCs w:val="20"/>
              </w:rPr>
            </w:pPr>
            <w:r w:rsidRPr="000211AD">
              <w:rPr>
                <w:rFonts w:cs="Arial"/>
                <w:color w:val="000000"/>
                <w:szCs w:val="20"/>
              </w:rPr>
              <w:t>30253H1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C1387"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Whole Blood into Peripheral Artery, Percutaneous Approach</w:t>
            </w:r>
          </w:p>
        </w:tc>
      </w:tr>
      <w:tr w:rsidR="000211AD" w:rsidRPr="000211AD" w14:paraId="44B9AC1A" w14:textId="77777777" w:rsidTr="00C30009">
        <w:trPr>
          <w:trHeight w:val="290"/>
        </w:trPr>
        <w:tc>
          <w:tcPr>
            <w:tcW w:w="2070" w:type="dxa"/>
            <w:vMerge/>
            <w:tcBorders>
              <w:left w:val="single" w:sz="4" w:space="0" w:color="auto"/>
              <w:bottom w:val="single" w:sz="4" w:space="0" w:color="auto"/>
              <w:right w:val="single" w:sz="4" w:space="0" w:color="auto"/>
            </w:tcBorders>
            <w:shd w:val="clear" w:color="auto" w:fill="auto"/>
            <w:noWrap/>
            <w:hideMark/>
          </w:tcPr>
          <w:p w14:paraId="60BDC6FA"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74733" w14:textId="77777777" w:rsidR="000211AD" w:rsidRPr="000211AD" w:rsidRDefault="000211AD" w:rsidP="000211AD">
            <w:pPr>
              <w:spacing w:line="240" w:lineRule="auto"/>
              <w:rPr>
                <w:rFonts w:cs="Arial"/>
                <w:color w:val="000000"/>
                <w:szCs w:val="20"/>
              </w:rPr>
            </w:pPr>
            <w:r w:rsidRPr="000211AD">
              <w:rPr>
                <w:rFonts w:cs="Arial"/>
                <w:color w:val="000000"/>
                <w:szCs w:val="20"/>
              </w:rPr>
              <w:t>30263H1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35C53"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Whole Blood into Central Artery, Percutaneous Approach</w:t>
            </w:r>
          </w:p>
        </w:tc>
      </w:tr>
      <w:tr w:rsidR="000211AD" w:rsidRPr="000211AD" w14:paraId="17FC085C" w14:textId="77777777" w:rsidTr="009525B6">
        <w:trPr>
          <w:trHeight w:val="290"/>
        </w:trPr>
        <w:tc>
          <w:tcPr>
            <w:tcW w:w="2070" w:type="dxa"/>
            <w:vMerge w:val="restart"/>
            <w:tcBorders>
              <w:top w:val="single" w:sz="4" w:space="0" w:color="auto"/>
              <w:left w:val="single" w:sz="4" w:space="0" w:color="auto"/>
              <w:right w:val="single" w:sz="4" w:space="0" w:color="auto"/>
            </w:tcBorders>
            <w:shd w:val="clear" w:color="auto" w:fill="auto"/>
            <w:noWrap/>
            <w:hideMark/>
          </w:tcPr>
          <w:p w14:paraId="220C3405"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previously collected autologous blood</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45DBC" w14:textId="77777777" w:rsidR="000211AD" w:rsidRPr="000211AD" w:rsidRDefault="000211AD" w:rsidP="000211AD">
            <w:pPr>
              <w:spacing w:line="240" w:lineRule="auto"/>
              <w:rPr>
                <w:rFonts w:cs="Arial"/>
                <w:color w:val="000000"/>
                <w:szCs w:val="20"/>
              </w:rPr>
            </w:pPr>
            <w:r w:rsidRPr="000211AD">
              <w:rPr>
                <w:rFonts w:cs="Arial"/>
                <w:color w:val="000000"/>
                <w:szCs w:val="20"/>
              </w:rPr>
              <w:t>30233W0</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CDECB"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Autologous Factor IX into Peripheral Vein, Percutaneous Approach</w:t>
            </w:r>
          </w:p>
        </w:tc>
      </w:tr>
      <w:tr w:rsidR="000211AD" w:rsidRPr="000211AD" w14:paraId="53185C0E" w14:textId="77777777" w:rsidTr="009525B6">
        <w:trPr>
          <w:trHeight w:val="290"/>
        </w:trPr>
        <w:tc>
          <w:tcPr>
            <w:tcW w:w="2070" w:type="dxa"/>
            <w:vMerge/>
            <w:tcBorders>
              <w:left w:val="single" w:sz="4" w:space="0" w:color="auto"/>
              <w:right w:val="single" w:sz="4" w:space="0" w:color="auto"/>
            </w:tcBorders>
            <w:shd w:val="clear" w:color="auto" w:fill="auto"/>
            <w:noWrap/>
            <w:hideMark/>
          </w:tcPr>
          <w:p w14:paraId="3AD97994"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9F988" w14:textId="77777777" w:rsidR="000211AD" w:rsidRPr="000211AD" w:rsidRDefault="000211AD" w:rsidP="000211AD">
            <w:pPr>
              <w:spacing w:line="240" w:lineRule="auto"/>
              <w:rPr>
                <w:rFonts w:cs="Arial"/>
                <w:color w:val="000000"/>
                <w:szCs w:val="20"/>
              </w:rPr>
            </w:pPr>
            <w:r w:rsidRPr="000211AD">
              <w:rPr>
                <w:rFonts w:cs="Arial"/>
                <w:color w:val="000000"/>
                <w:szCs w:val="20"/>
              </w:rPr>
              <w:t>30243W0</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6BD49"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Autologous Factor IX into Central Vein, Percutaneous Approach</w:t>
            </w:r>
          </w:p>
        </w:tc>
      </w:tr>
      <w:tr w:rsidR="000211AD" w:rsidRPr="000211AD" w14:paraId="79CEDD0C" w14:textId="77777777" w:rsidTr="009525B6">
        <w:trPr>
          <w:trHeight w:val="290"/>
        </w:trPr>
        <w:tc>
          <w:tcPr>
            <w:tcW w:w="2070" w:type="dxa"/>
            <w:vMerge/>
            <w:tcBorders>
              <w:left w:val="single" w:sz="4" w:space="0" w:color="auto"/>
              <w:right w:val="single" w:sz="4" w:space="0" w:color="auto"/>
            </w:tcBorders>
            <w:shd w:val="clear" w:color="auto" w:fill="auto"/>
            <w:noWrap/>
            <w:hideMark/>
          </w:tcPr>
          <w:p w14:paraId="68906A50"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B681E" w14:textId="77777777" w:rsidR="000211AD" w:rsidRPr="000211AD" w:rsidRDefault="000211AD" w:rsidP="000211AD">
            <w:pPr>
              <w:spacing w:line="240" w:lineRule="auto"/>
              <w:rPr>
                <w:rFonts w:cs="Arial"/>
                <w:color w:val="000000"/>
                <w:szCs w:val="20"/>
              </w:rPr>
            </w:pPr>
            <w:r w:rsidRPr="000211AD">
              <w:rPr>
                <w:rFonts w:cs="Arial"/>
                <w:color w:val="000000"/>
                <w:szCs w:val="20"/>
              </w:rPr>
              <w:t>30253W0</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5ED55"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Autologous Factor IX into Peripheral Artery, Percutaneous Approach</w:t>
            </w:r>
          </w:p>
        </w:tc>
      </w:tr>
      <w:tr w:rsidR="000211AD" w:rsidRPr="000211AD" w14:paraId="6628300C" w14:textId="77777777" w:rsidTr="009525B6">
        <w:trPr>
          <w:trHeight w:val="290"/>
        </w:trPr>
        <w:tc>
          <w:tcPr>
            <w:tcW w:w="2070" w:type="dxa"/>
            <w:vMerge/>
            <w:tcBorders>
              <w:left w:val="single" w:sz="4" w:space="0" w:color="auto"/>
              <w:bottom w:val="single" w:sz="4" w:space="0" w:color="auto"/>
              <w:right w:val="single" w:sz="4" w:space="0" w:color="auto"/>
            </w:tcBorders>
            <w:shd w:val="clear" w:color="auto" w:fill="auto"/>
            <w:noWrap/>
            <w:hideMark/>
          </w:tcPr>
          <w:p w14:paraId="10030947"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79C44" w14:textId="77777777" w:rsidR="000211AD" w:rsidRPr="000211AD" w:rsidRDefault="000211AD" w:rsidP="000211AD">
            <w:pPr>
              <w:spacing w:line="240" w:lineRule="auto"/>
              <w:rPr>
                <w:rFonts w:cs="Arial"/>
                <w:color w:val="000000"/>
                <w:szCs w:val="20"/>
              </w:rPr>
            </w:pPr>
            <w:r w:rsidRPr="000211AD">
              <w:rPr>
                <w:rFonts w:cs="Arial"/>
                <w:color w:val="000000"/>
                <w:szCs w:val="20"/>
              </w:rPr>
              <w:t>30263W0</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2D4BC"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Autologous Factor IX into Central Artery, Percutaneous Approach</w:t>
            </w:r>
          </w:p>
        </w:tc>
      </w:tr>
      <w:tr w:rsidR="000211AD" w:rsidRPr="000211AD" w14:paraId="5E2EAB2F" w14:textId="77777777" w:rsidTr="00ED35C7">
        <w:trPr>
          <w:trHeight w:val="290"/>
        </w:trPr>
        <w:tc>
          <w:tcPr>
            <w:tcW w:w="2070" w:type="dxa"/>
            <w:vMerge w:val="restart"/>
            <w:tcBorders>
              <w:top w:val="single" w:sz="4" w:space="0" w:color="auto"/>
              <w:left w:val="single" w:sz="4" w:space="0" w:color="auto"/>
              <w:right w:val="single" w:sz="4" w:space="0" w:color="auto"/>
            </w:tcBorders>
            <w:shd w:val="clear" w:color="auto" w:fill="auto"/>
            <w:noWrap/>
            <w:hideMark/>
          </w:tcPr>
          <w:p w14:paraId="2EC83106"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packed cells</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D85E6" w14:textId="77777777" w:rsidR="000211AD" w:rsidRPr="000211AD" w:rsidRDefault="000211AD" w:rsidP="000211AD">
            <w:pPr>
              <w:spacing w:line="240" w:lineRule="auto"/>
              <w:rPr>
                <w:rFonts w:cs="Arial"/>
                <w:color w:val="000000"/>
                <w:szCs w:val="20"/>
              </w:rPr>
            </w:pPr>
            <w:r w:rsidRPr="000211AD">
              <w:rPr>
                <w:rFonts w:cs="Arial"/>
                <w:color w:val="000000"/>
                <w:szCs w:val="20"/>
              </w:rPr>
              <w:t>30233N1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6B6C7"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Red Blood Cells into Peripheral Vein, Percutaneous Approach</w:t>
            </w:r>
          </w:p>
        </w:tc>
      </w:tr>
      <w:tr w:rsidR="000211AD" w:rsidRPr="000211AD" w14:paraId="2B9F8F10" w14:textId="77777777" w:rsidTr="00ED35C7">
        <w:trPr>
          <w:trHeight w:val="290"/>
        </w:trPr>
        <w:tc>
          <w:tcPr>
            <w:tcW w:w="2070" w:type="dxa"/>
            <w:vMerge/>
            <w:tcBorders>
              <w:left w:val="single" w:sz="4" w:space="0" w:color="auto"/>
              <w:right w:val="single" w:sz="4" w:space="0" w:color="auto"/>
            </w:tcBorders>
            <w:shd w:val="clear" w:color="auto" w:fill="auto"/>
            <w:noWrap/>
            <w:hideMark/>
          </w:tcPr>
          <w:p w14:paraId="3F6A216F"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186B9" w14:textId="77777777" w:rsidR="000211AD" w:rsidRPr="000211AD" w:rsidRDefault="000211AD" w:rsidP="000211AD">
            <w:pPr>
              <w:spacing w:line="240" w:lineRule="auto"/>
              <w:rPr>
                <w:rFonts w:cs="Arial"/>
                <w:color w:val="000000"/>
                <w:szCs w:val="20"/>
              </w:rPr>
            </w:pPr>
            <w:r w:rsidRPr="000211AD">
              <w:rPr>
                <w:rFonts w:cs="Arial"/>
                <w:color w:val="000000"/>
                <w:szCs w:val="20"/>
              </w:rPr>
              <w:t>30233P1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A5A86"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Frozen Red Cells into Peripheral Vein, Percutaneous Approach</w:t>
            </w:r>
          </w:p>
        </w:tc>
      </w:tr>
      <w:tr w:rsidR="000211AD" w:rsidRPr="000211AD" w14:paraId="39F7D961" w14:textId="77777777" w:rsidTr="00ED35C7">
        <w:trPr>
          <w:trHeight w:val="290"/>
        </w:trPr>
        <w:tc>
          <w:tcPr>
            <w:tcW w:w="2070" w:type="dxa"/>
            <w:vMerge/>
            <w:tcBorders>
              <w:left w:val="single" w:sz="4" w:space="0" w:color="auto"/>
              <w:right w:val="single" w:sz="4" w:space="0" w:color="auto"/>
            </w:tcBorders>
            <w:shd w:val="clear" w:color="auto" w:fill="auto"/>
            <w:noWrap/>
            <w:hideMark/>
          </w:tcPr>
          <w:p w14:paraId="23401E20"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065C6" w14:textId="77777777" w:rsidR="000211AD" w:rsidRPr="000211AD" w:rsidRDefault="000211AD" w:rsidP="000211AD">
            <w:pPr>
              <w:spacing w:line="240" w:lineRule="auto"/>
              <w:rPr>
                <w:rFonts w:cs="Arial"/>
                <w:color w:val="000000"/>
                <w:szCs w:val="20"/>
              </w:rPr>
            </w:pPr>
            <w:r w:rsidRPr="000211AD">
              <w:rPr>
                <w:rFonts w:cs="Arial"/>
                <w:color w:val="000000"/>
                <w:szCs w:val="20"/>
              </w:rPr>
              <w:t>30243N1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D46F3"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Red Blood Cells into Central Vein, Percutaneous Approach</w:t>
            </w:r>
          </w:p>
        </w:tc>
      </w:tr>
      <w:tr w:rsidR="000211AD" w:rsidRPr="000211AD" w14:paraId="5381B07D" w14:textId="77777777" w:rsidTr="00ED35C7">
        <w:trPr>
          <w:trHeight w:val="290"/>
        </w:trPr>
        <w:tc>
          <w:tcPr>
            <w:tcW w:w="2070" w:type="dxa"/>
            <w:vMerge/>
            <w:tcBorders>
              <w:left w:val="single" w:sz="4" w:space="0" w:color="auto"/>
              <w:right w:val="single" w:sz="4" w:space="0" w:color="auto"/>
            </w:tcBorders>
            <w:shd w:val="clear" w:color="auto" w:fill="auto"/>
            <w:noWrap/>
            <w:hideMark/>
          </w:tcPr>
          <w:p w14:paraId="745B36E0"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52B01" w14:textId="77777777" w:rsidR="000211AD" w:rsidRPr="000211AD" w:rsidRDefault="000211AD" w:rsidP="000211AD">
            <w:pPr>
              <w:spacing w:line="240" w:lineRule="auto"/>
              <w:rPr>
                <w:rFonts w:cs="Arial"/>
                <w:color w:val="000000"/>
                <w:szCs w:val="20"/>
              </w:rPr>
            </w:pPr>
            <w:r w:rsidRPr="000211AD">
              <w:rPr>
                <w:rFonts w:cs="Arial"/>
                <w:color w:val="000000"/>
                <w:szCs w:val="20"/>
              </w:rPr>
              <w:t>30243P1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FBA79"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Frozen Red Cells into Central Vein, Percutaneous Approach</w:t>
            </w:r>
          </w:p>
        </w:tc>
      </w:tr>
      <w:tr w:rsidR="000211AD" w:rsidRPr="000211AD" w14:paraId="298BAA17" w14:textId="77777777" w:rsidTr="00ED35C7">
        <w:trPr>
          <w:trHeight w:val="290"/>
        </w:trPr>
        <w:tc>
          <w:tcPr>
            <w:tcW w:w="2070" w:type="dxa"/>
            <w:vMerge/>
            <w:tcBorders>
              <w:left w:val="single" w:sz="4" w:space="0" w:color="auto"/>
              <w:right w:val="single" w:sz="4" w:space="0" w:color="auto"/>
            </w:tcBorders>
            <w:shd w:val="clear" w:color="auto" w:fill="auto"/>
            <w:noWrap/>
            <w:hideMark/>
          </w:tcPr>
          <w:p w14:paraId="315C80E8"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A016C" w14:textId="77777777" w:rsidR="000211AD" w:rsidRPr="000211AD" w:rsidRDefault="000211AD" w:rsidP="000211AD">
            <w:pPr>
              <w:spacing w:line="240" w:lineRule="auto"/>
              <w:rPr>
                <w:rFonts w:cs="Arial"/>
                <w:color w:val="000000"/>
                <w:szCs w:val="20"/>
              </w:rPr>
            </w:pPr>
            <w:r w:rsidRPr="000211AD">
              <w:rPr>
                <w:rFonts w:cs="Arial"/>
                <w:color w:val="000000"/>
                <w:szCs w:val="20"/>
              </w:rPr>
              <w:t>30253N1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56E78"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Red Blood Cells into Peripheral Artery, Percutaneous Approach</w:t>
            </w:r>
          </w:p>
        </w:tc>
      </w:tr>
      <w:tr w:rsidR="000211AD" w:rsidRPr="000211AD" w14:paraId="5218AE31" w14:textId="77777777" w:rsidTr="00ED35C7">
        <w:trPr>
          <w:trHeight w:val="290"/>
        </w:trPr>
        <w:tc>
          <w:tcPr>
            <w:tcW w:w="2070" w:type="dxa"/>
            <w:vMerge/>
            <w:tcBorders>
              <w:left w:val="single" w:sz="4" w:space="0" w:color="auto"/>
              <w:right w:val="single" w:sz="4" w:space="0" w:color="auto"/>
            </w:tcBorders>
            <w:shd w:val="clear" w:color="auto" w:fill="auto"/>
            <w:noWrap/>
            <w:hideMark/>
          </w:tcPr>
          <w:p w14:paraId="6E090C8B"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328AE" w14:textId="77777777" w:rsidR="000211AD" w:rsidRPr="000211AD" w:rsidRDefault="000211AD" w:rsidP="000211AD">
            <w:pPr>
              <w:spacing w:line="240" w:lineRule="auto"/>
              <w:rPr>
                <w:rFonts w:cs="Arial"/>
                <w:color w:val="000000"/>
                <w:szCs w:val="20"/>
              </w:rPr>
            </w:pPr>
            <w:r w:rsidRPr="000211AD">
              <w:rPr>
                <w:rFonts w:cs="Arial"/>
                <w:color w:val="000000"/>
                <w:szCs w:val="20"/>
              </w:rPr>
              <w:t>30253P1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C828B"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Frozen Red Cells into Peripheral Artery, Percutaneous Approach</w:t>
            </w:r>
          </w:p>
        </w:tc>
      </w:tr>
      <w:tr w:rsidR="000211AD" w:rsidRPr="000211AD" w14:paraId="18C8BD14" w14:textId="77777777" w:rsidTr="00ED35C7">
        <w:trPr>
          <w:trHeight w:val="290"/>
        </w:trPr>
        <w:tc>
          <w:tcPr>
            <w:tcW w:w="2070" w:type="dxa"/>
            <w:vMerge/>
            <w:tcBorders>
              <w:left w:val="single" w:sz="4" w:space="0" w:color="auto"/>
              <w:right w:val="single" w:sz="4" w:space="0" w:color="auto"/>
            </w:tcBorders>
            <w:shd w:val="clear" w:color="auto" w:fill="auto"/>
            <w:noWrap/>
            <w:hideMark/>
          </w:tcPr>
          <w:p w14:paraId="17DF6147"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3923E" w14:textId="77777777" w:rsidR="000211AD" w:rsidRPr="000211AD" w:rsidRDefault="000211AD" w:rsidP="000211AD">
            <w:pPr>
              <w:spacing w:line="240" w:lineRule="auto"/>
              <w:rPr>
                <w:rFonts w:cs="Arial"/>
                <w:color w:val="000000"/>
                <w:szCs w:val="20"/>
              </w:rPr>
            </w:pPr>
            <w:r w:rsidRPr="000211AD">
              <w:rPr>
                <w:rFonts w:cs="Arial"/>
                <w:color w:val="000000"/>
                <w:szCs w:val="20"/>
              </w:rPr>
              <w:t>30263N1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E503A"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Red Blood Cells into Central Artery, Percutaneous Approach</w:t>
            </w:r>
          </w:p>
        </w:tc>
      </w:tr>
      <w:tr w:rsidR="000211AD" w:rsidRPr="000211AD" w14:paraId="0DDA7677" w14:textId="77777777" w:rsidTr="00ED35C7">
        <w:trPr>
          <w:trHeight w:val="290"/>
        </w:trPr>
        <w:tc>
          <w:tcPr>
            <w:tcW w:w="2070" w:type="dxa"/>
            <w:vMerge/>
            <w:tcBorders>
              <w:left w:val="single" w:sz="4" w:space="0" w:color="auto"/>
              <w:bottom w:val="single" w:sz="4" w:space="0" w:color="auto"/>
              <w:right w:val="single" w:sz="4" w:space="0" w:color="auto"/>
            </w:tcBorders>
            <w:shd w:val="clear" w:color="auto" w:fill="auto"/>
            <w:noWrap/>
            <w:hideMark/>
          </w:tcPr>
          <w:p w14:paraId="680A736B"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AB0D3" w14:textId="77777777" w:rsidR="000211AD" w:rsidRPr="000211AD" w:rsidRDefault="000211AD" w:rsidP="000211AD">
            <w:pPr>
              <w:spacing w:line="240" w:lineRule="auto"/>
              <w:rPr>
                <w:rFonts w:cs="Arial"/>
                <w:color w:val="000000"/>
                <w:szCs w:val="20"/>
              </w:rPr>
            </w:pPr>
            <w:r w:rsidRPr="000211AD">
              <w:rPr>
                <w:rFonts w:cs="Arial"/>
                <w:color w:val="000000"/>
                <w:szCs w:val="20"/>
              </w:rPr>
              <w:t>30263P1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E9080"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Frozen Red Cells into Central Artery, Percutaneous Approach</w:t>
            </w:r>
          </w:p>
        </w:tc>
      </w:tr>
      <w:tr w:rsidR="000211AD" w:rsidRPr="000211AD" w14:paraId="135FF144" w14:textId="77777777" w:rsidTr="00844861">
        <w:trPr>
          <w:trHeight w:val="290"/>
        </w:trPr>
        <w:tc>
          <w:tcPr>
            <w:tcW w:w="2070" w:type="dxa"/>
            <w:vMerge w:val="restart"/>
            <w:tcBorders>
              <w:top w:val="single" w:sz="4" w:space="0" w:color="auto"/>
              <w:left w:val="single" w:sz="4" w:space="0" w:color="auto"/>
              <w:right w:val="single" w:sz="4" w:space="0" w:color="auto"/>
            </w:tcBorders>
            <w:shd w:val="clear" w:color="auto" w:fill="auto"/>
            <w:noWrap/>
            <w:hideMark/>
          </w:tcPr>
          <w:p w14:paraId="10FF5F5E"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platelets</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A4C1A" w14:textId="77777777" w:rsidR="000211AD" w:rsidRPr="000211AD" w:rsidRDefault="000211AD" w:rsidP="000211AD">
            <w:pPr>
              <w:spacing w:line="240" w:lineRule="auto"/>
              <w:rPr>
                <w:rFonts w:cs="Arial"/>
                <w:color w:val="000000"/>
                <w:szCs w:val="20"/>
              </w:rPr>
            </w:pPr>
            <w:r w:rsidRPr="000211AD">
              <w:rPr>
                <w:rFonts w:cs="Arial"/>
                <w:color w:val="000000"/>
                <w:szCs w:val="20"/>
              </w:rPr>
              <w:t>30233R1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648B4"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Platelets into Peripheral Vein, Percutaneous Approach</w:t>
            </w:r>
          </w:p>
        </w:tc>
      </w:tr>
      <w:tr w:rsidR="000211AD" w:rsidRPr="000211AD" w14:paraId="2B1542CA" w14:textId="77777777" w:rsidTr="00844861">
        <w:trPr>
          <w:trHeight w:val="290"/>
        </w:trPr>
        <w:tc>
          <w:tcPr>
            <w:tcW w:w="2070" w:type="dxa"/>
            <w:vMerge/>
            <w:tcBorders>
              <w:left w:val="single" w:sz="4" w:space="0" w:color="auto"/>
              <w:right w:val="single" w:sz="4" w:space="0" w:color="auto"/>
            </w:tcBorders>
            <w:shd w:val="clear" w:color="auto" w:fill="auto"/>
            <w:noWrap/>
            <w:hideMark/>
          </w:tcPr>
          <w:p w14:paraId="62B7894E"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B59BE" w14:textId="77777777" w:rsidR="000211AD" w:rsidRPr="000211AD" w:rsidRDefault="000211AD" w:rsidP="000211AD">
            <w:pPr>
              <w:spacing w:line="240" w:lineRule="auto"/>
              <w:rPr>
                <w:rFonts w:cs="Arial"/>
                <w:color w:val="000000"/>
                <w:szCs w:val="20"/>
              </w:rPr>
            </w:pPr>
            <w:r w:rsidRPr="000211AD">
              <w:rPr>
                <w:rFonts w:cs="Arial"/>
                <w:color w:val="000000"/>
                <w:szCs w:val="20"/>
              </w:rPr>
              <w:t>30243R1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E90C9"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Platelets into Central Vein, Percutaneous Approach</w:t>
            </w:r>
          </w:p>
        </w:tc>
      </w:tr>
      <w:tr w:rsidR="000211AD" w:rsidRPr="000211AD" w14:paraId="6DA1296B" w14:textId="77777777" w:rsidTr="00844861">
        <w:trPr>
          <w:trHeight w:val="290"/>
        </w:trPr>
        <w:tc>
          <w:tcPr>
            <w:tcW w:w="2070" w:type="dxa"/>
            <w:vMerge/>
            <w:tcBorders>
              <w:left w:val="single" w:sz="4" w:space="0" w:color="auto"/>
              <w:right w:val="single" w:sz="4" w:space="0" w:color="auto"/>
            </w:tcBorders>
            <w:shd w:val="clear" w:color="auto" w:fill="auto"/>
            <w:noWrap/>
            <w:hideMark/>
          </w:tcPr>
          <w:p w14:paraId="69B01C11"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1AC77" w14:textId="77777777" w:rsidR="000211AD" w:rsidRPr="000211AD" w:rsidRDefault="000211AD" w:rsidP="000211AD">
            <w:pPr>
              <w:spacing w:line="240" w:lineRule="auto"/>
              <w:rPr>
                <w:rFonts w:cs="Arial"/>
                <w:color w:val="000000"/>
                <w:szCs w:val="20"/>
              </w:rPr>
            </w:pPr>
            <w:r w:rsidRPr="000211AD">
              <w:rPr>
                <w:rFonts w:cs="Arial"/>
                <w:color w:val="000000"/>
                <w:szCs w:val="20"/>
              </w:rPr>
              <w:t>30253R1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2277A"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Platelets into Peripheral Artery, Percutaneous Approach</w:t>
            </w:r>
          </w:p>
        </w:tc>
      </w:tr>
      <w:tr w:rsidR="000211AD" w:rsidRPr="000211AD" w14:paraId="2D44EB0D" w14:textId="77777777" w:rsidTr="00844861">
        <w:trPr>
          <w:trHeight w:val="290"/>
        </w:trPr>
        <w:tc>
          <w:tcPr>
            <w:tcW w:w="2070" w:type="dxa"/>
            <w:vMerge/>
            <w:tcBorders>
              <w:left w:val="single" w:sz="4" w:space="0" w:color="auto"/>
              <w:bottom w:val="single" w:sz="4" w:space="0" w:color="auto"/>
              <w:right w:val="single" w:sz="4" w:space="0" w:color="auto"/>
            </w:tcBorders>
            <w:shd w:val="clear" w:color="auto" w:fill="auto"/>
            <w:noWrap/>
            <w:hideMark/>
          </w:tcPr>
          <w:p w14:paraId="5ABECD41"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5194B" w14:textId="77777777" w:rsidR="000211AD" w:rsidRPr="000211AD" w:rsidRDefault="000211AD" w:rsidP="000211AD">
            <w:pPr>
              <w:spacing w:line="240" w:lineRule="auto"/>
              <w:rPr>
                <w:rFonts w:cs="Arial"/>
                <w:color w:val="000000"/>
                <w:szCs w:val="20"/>
              </w:rPr>
            </w:pPr>
            <w:r w:rsidRPr="000211AD">
              <w:rPr>
                <w:rFonts w:cs="Arial"/>
                <w:color w:val="000000"/>
                <w:szCs w:val="20"/>
              </w:rPr>
              <w:t>30263R1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8348D"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Platelets into Central Artery, Percutaneous Approach</w:t>
            </w:r>
          </w:p>
        </w:tc>
      </w:tr>
      <w:tr w:rsidR="000211AD" w:rsidRPr="000211AD" w14:paraId="59D475CC" w14:textId="77777777" w:rsidTr="00FD0E22">
        <w:trPr>
          <w:trHeight w:val="290"/>
        </w:trPr>
        <w:tc>
          <w:tcPr>
            <w:tcW w:w="2070" w:type="dxa"/>
            <w:vMerge w:val="restart"/>
            <w:tcBorders>
              <w:top w:val="single" w:sz="4" w:space="0" w:color="auto"/>
              <w:left w:val="single" w:sz="4" w:space="0" w:color="auto"/>
              <w:right w:val="single" w:sz="4" w:space="0" w:color="auto"/>
            </w:tcBorders>
            <w:shd w:val="clear" w:color="auto" w:fill="auto"/>
            <w:noWrap/>
            <w:hideMark/>
          </w:tcPr>
          <w:p w14:paraId="47FA25CB"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coagulation factors</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8AEF1" w14:textId="77777777" w:rsidR="000211AD" w:rsidRPr="000211AD" w:rsidRDefault="000211AD" w:rsidP="000211AD">
            <w:pPr>
              <w:spacing w:line="240" w:lineRule="auto"/>
              <w:rPr>
                <w:rFonts w:cs="Arial"/>
                <w:color w:val="000000"/>
                <w:szCs w:val="20"/>
              </w:rPr>
            </w:pPr>
            <w:r w:rsidRPr="000211AD">
              <w:rPr>
                <w:rFonts w:cs="Arial"/>
                <w:color w:val="000000"/>
                <w:szCs w:val="20"/>
              </w:rPr>
              <w:t>30233T1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C375B"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Fibrinogen into Peripheral Vein, Percutaneous Approach</w:t>
            </w:r>
          </w:p>
        </w:tc>
      </w:tr>
      <w:tr w:rsidR="000211AD" w:rsidRPr="000211AD" w14:paraId="39302D24" w14:textId="77777777" w:rsidTr="00FD0E22">
        <w:trPr>
          <w:trHeight w:val="290"/>
        </w:trPr>
        <w:tc>
          <w:tcPr>
            <w:tcW w:w="2070" w:type="dxa"/>
            <w:vMerge/>
            <w:tcBorders>
              <w:left w:val="single" w:sz="4" w:space="0" w:color="auto"/>
              <w:right w:val="single" w:sz="4" w:space="0" w:color="auto"/>
            </w:tcBorders>
            <w:shd w:val="clear" w:color="auto" w:fill="auto"/>
            <w:noWrap/>
            <w:hideMark/>
          </w:tcPr>
          <w:p w14:paraId="46B807D9"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1E986" w14:textId="77777777" w:rsidR="000211AD" w:rsidRPr="000211AD" w:rsidRDefault="000211AD" w:rsidP="000211AD">
            <w:pPr>
              <w:spacing w:line="240" w:lineRule="auto"/>
              <w:rPr>
                <w:rFonts w:cs="Arial"/>
                <w:color w:val="000000"/>
                <w:szCs w:val="20"/>
              </w:rPr>
            </w:pPr>
            <w:r w:rsidRPr="000211AD">
              <w:rPr>
                <w:rFonts w:cs="Arial"/>
                <w:color w:val="000000"/>
                <w:szCs w:val="20"/>
              </w:rPr>
              <w:t>30233V1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87D6A"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Antihemophilic Factors into Peripheral Vein, Percutaneous Approach</w:t>
            </w:r>
          </w:p>
        </w:tc>
      </w:tr>
      <w:tr w:rsidR="000211AD" w:rsidRPr="000211AD" w14:paraId="10A119BD" w14:textId="77777777" w:rsidTr="00FD0E22">
        <w:trPr>
          <w:trHeight w:val="290"/>
        </w:trPr>
        <w:tc>
          <w:tcPr>
            <w:tcW w:w="2070" w:type="dxa"/>
            <w:vMerge/>
            <w:tcBorders>
              <w:left w:val="single" w:sz="4" w:space="0" w:color="auto"/>
              <w:right w:val="single" w:sz="4" w:space="0" w:color="auto"/>
            </w:tcBorders>
            <w:shd w:val="clear" w:color="auto" w:fill="auto"/>
            <w:noWrap/>
            <w:hideMark/>
          </w:tcPr>
          <w:p w14:paraId="08408B8F"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69962" w14:textId="77777777" w:rsidR="000211AD" w:rsidRPr="000211AD" w:rsidRDefault="000211AD" w:rsidP="000211AD">
            <w:pPr>
              <w:spacing w:line="240" w:lineRule="auto"/>
              <w:rPr>
                <w:rFonts w:cs="Arial"/>
                <w:color w:val="000000"/>
                <w:szCs w:val="20"/>
              </w:rPr>
            </w:pPr>
            <w:r w:rsidRPr="000211AD">
              <w:rPr>
                <w:rFonts w:cs="Arial"/>
                <w:color w:val="000000"/>
                <w:szCs w:val="20"/>
              </w:rPr>
              <w:t>30233W1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7136D"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Factor IX into Peripheral Vein, Percutaneous Approach</w:t>
            </w:r>
          </w:p>
        </w:tc>
      </w:tr>
      <w:tr w:rsidR="000211AD" w:rsidRPr="000211AD" w14:paraId="2D83B45F" w14:textId="77777777" w:rsidTr="00FD0E22">
        <w:trPr>
          <w:trHeight w:val="290"/>
        </w:trPr>
        <w:tc>
          <w:tcPr>
            <w:tcW w:w="2070" w:type="dxa"/>
            <w:vMerge/>
            <w:tcBorders>
              <w:left w:val="single" w:sz="4" w:space="0" w:color="auto"/>
              <w:right w:val="single" w:sz="4" w:space="0" w:color="auto"/>
            </w:tcBorders>
            <w:shd w:val="clear" w:color="auto" w:fill="auto"/>
            <w:noWrap/>
            <w:hideMark/>
          </w:tcPr>
          <w:p w14:paraId="0F6512AC"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A0E00" w14:textId="77777777" w:rsidR="000211AD" w:rsidRPr="000211AD" w:rsidRDefault="000211AD" w:rsidP="000211AD">
            <w:pPr>
              <w:spacing w:line="240" w:lineRule="auto"/>
              <w:rPr>
                <w:rFonts w:cs="Arial"/>
                <w:color w:val="000000"/>
                <w:szCs w:val="20"/>
              </w:rPr>
            </w:pPr>
            <w:r w:rsidRPr="000211AD">
              <w:rPr>
                <w:rFonts w:cs="Arial"/>
                <w:color w:val="000000"/>
                <w:szCs w:val="20"/>
              </w:rPr>
              <w:t>30243T1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7F4B5"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Fibrinogen into Central Vein, Percutaneous Approach</w:t>
            </w:r>
          </w:p>
        </w:tc>
      </w:tr>
      <w:tr w:rsidR="000211AD" w:rsidRPr="000211AD" w14:paraId="5B2FDFF7" w14:textId="77777777" w:rsidTr="00FD0E22">
        <w:trPr>
          <w:trHeight w:val="290"/>
        </w:trPr>
        <w:tc>
          <w:tcPr>
            <w:tcW w:w="2070" w:type="dxa"/>
            <w:vMerge/>
            <w:tcBorders>
              <w:left w:val="single" w:sz="4" w:space="0" w:color="auto"/>
              <w:right w:val="single" w:sz="4" w:space="0" w:color="auto"/>
            </w:tcBorders>
            <w:shd w:val="clear" w:color="auto" w:fill="auto"/>
            <w:noWrap/>
            <w:hideMark/>
          </w:tcPr>
          <w:p w14:paraId="30AB7A94"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A3FFB" w14:textId="77777777" w:rsidR="000211AD" w:rsidRPr="000211AD" w:rsidRDefault="000211AD" w:rsidP="000211AD">
            <w:pPr>
              <w:spacing w:line="240" w:lineRule="auto"/>
              <w:rPr>
                <w:rFonts w:cs="Arial"/>
                <w:color w:val="000000"/>
                <w:szCs w:val="20"/>
              </w:rPr>
            </w:pPr>
            <w:r w:rsidRPr="000211AD">
              <w:rPr>
                <w:rFonts w:cs="Arial"/>
                <w:color w:val="000000"/>
                <w:szCs w:val="20"/>
              </w:rPr>
              <w:t>30243V1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54D35"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Antihemophilic Factors into Central Vein, Percutaneous Approach</w:t>
            </w:r>
          </w:p>
        </w:tc>
      </w:tr>
      <w:tr w:rsidR="000211AD" w:rsidRPr="000211AD" w14:paraId="3E3E53C3" w14:textId="77777777" w:rsidTr="00FD0E22">
        <w:trPr>
          <w:trHeight w:val="290"/>
        </w:trPr>
        <w:tc>
          <w:tcPr>
            <w:tcW w:w="2070" w:type="dxa"/>
            <w:vMerge/>
            <w:tcBorders>
              <w:left w:val="single" w:sz="4" w:space="0" w:color="auto"/>
              <w:right w:val="single" w:sz="4" w:space="0" w:color="auto"/>
            </w:tcBorders>
            <w:shd w:val="clear" w:color="auto" w:fill="auto"/>
            <w:noWrap/>
            <w:hideMark/>
          </w:tcPr>
          <w:p w14:paraId="56AFEE5B"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7FAEA" w14:textId="77777777" w:rsidR="000211AD" w:rsidRPr="000211AD" w:rsidRDefault="000211AD" w:rsidP="000211AD">
            <w:pPr>
              <w:spacing w:line="240" w:lineRule="auto"/>
              <w:rPr>
                <w:rFonts w:cs="Arial"/>
                <w:color w:val="000000"/>
                <w:szCs w:val="20"/>
              </w:rPr>
            </w:pPr>
            <w:r w:rsidRPr="000211AD">
              <w:rPr>
                <w:rFonts w:cs="Arial"/>
                <w:color w:val="000000"/>
                <w:szCs w:val="20"/>
              </w:rPr>
              <w:t>30243W1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1C563"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Factor IX into Central Vein, Percutaneous Approach</w:t>
            </w:r>
          </w:p>
        </w:tc>
      </w:tr>
      <w:tr w:rsidR="000211AD" w:rsidRPr="000211AD" w14:paraId="5AF4B0F9" w14:textId="77777777" w:rsidTr="00FD0E22">
        <w:trPr>
          <w:trHeight w:val="290"/>
        </w:trPr>
        <w:tc>
          <w:tcPr>
            <w:tcW w:w="2070" w:type="dxa"/>
            <w:vMerge/>
            <w:tcBorders>
              <w:left w:val="single" w:sz="4" w:space="0" w:color="auto"/>
              <w:right w:val="single" w:sz="4" w:space="0" w:color="auto"/>
            </w:tcBorders>
            <w:shd w:val="clear" w:color="auto" w:fill="auto"/>
            <w:noWrap/>
            <w:hideMark/>
          </w:tcPr>
          <w:p w14:paraId="78202FC9"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62AF5" w14:textId="77777777" w:rsidR="000211AD" w:rsidRPr="000211AD" w:rsidRDefault="000211AD" w:rsidP="000211AD">
            <w:pPr>
              <w:spacing w:line="240" w:lineRule="auto"/>
              <w:rPr>
                <w:rFonts w:cs="Arial"/>
                <w:color w:val="000000"/>
                <w:szCs w:val="20"/>
              </w:rPr>
            </w:pPr>
            <w:r w:rsidRPr="000211AD">
              <w:rPr>
                <w:rFonts w:cs="Arial"/>
                <w:color w:val="000000"/>
                <w:szCs w:val="20"/>
              </w:rPr>
              <w:t>30253T1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AB314"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Fibrinogen into Peripheral Artery, Percutaneous Approach</w:t>
            </w:r>
          </w:p>
        </w:tc>
      </w:tr>
      <w:tr w:rsidR="000211AD" w:rsidRPr="000211AD" w14:paraId="3818F6A5" w14:textId="77777777" w:rsidTr="00FD0E22">
        <w:trPr>
          <w:trHeight w:val="290"/>
        </w:trPr>
        <w:tc>
          <w:tcPr>
            <w:tcW w:w="2070" w:type="dxa"/>
            <w:vMerge/>
            <w:tcBorders>
              <w:left w:val="single" w:sz="4" w:space="0" w:color="auto"/>
              <w:right w:val="single" w:sz="4" w:space="0" w:color="auto"/>
            </w:tcBorders>
            <w:shd w:val="clear" w:color="auto" w:fill="auto"/>
            <w:noWrap/>
            <w:hideMark/>
          </w:tcPr>
          <w:p w14:paraId="78362ED3"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F43D8" w14:textId="77777777" w:rsidR="000211AD" w:rsidRPr="000211AD" w:rsidRDefault="000211AD" w:rsidP="000211AD">
            <w:pPr>
              <w:spacing w:line="240" w:lineRule="auto"/>
              <w:rPr>
                <w:rFonts w:cs="Arial"/>
                <w:color w:val="000000"/>
                <w:szCs w:val="20"/>
              </w:rPr>
            </w:pPr>
            <w:r w:rsidRPr="000211AD">
              <w:rPr>
                <w:rFonts w:cs="Arial"/>
                <w:color w:val="000000"/>
                <w:szCs w:val="20"/>
              </w:rPr>
              <w:t>30253V1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A496"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Antihemophilic Factors into Peripheral Artery, Percutaneous Approach</w:t>
            </w:r>
          </w:p>
        </w:tc>
      </w:tr>
      <w:tr w:rsidR="000211AD" w:rsidRPr="000211AD" w14:paraId="1144DE93" w14:textId="77777777" w:rsidTr="00FD0E22">
        <w:trPr>
          <w:trHeight w:val="290"/>
        </w:trPr>
        <w:tc>
          <w:tcPr>
            <w:tcW w:w="2070" w:type="dxa"/>
            <w:vMerge/>
            <w:tcBorders>
              <w:left w:val="single" w:sz="4" w:space="0" w:color="auto"/>
              <w:right w:val="single" w:sz="4" w:space="0" w:color="auto"/>
            </w:tcBorders>
            <w:shd w:val="clear" w:color="auto" w:fill="auto"/>
            <w:noWrap/>
            <w:hideMark/>
          </w:tcPr>
          <w:p w14:paraId="30BADDDA"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DB9BB" w14:textId="77777777" w:rsidR="000211AD" w:rsidRPr="000211AD" w:rsidRDefault="000211AD" w:rsidP="000211AD">
            <w:pPr>
              <w:spacing w:line="240" w:lineRule="auto"/>
              <w:rPr>
                <w:rFonts w:cs="Arial"/>
                <w:color w:val="000000"/>
                <w:szCs w:val="20"/>
              </w:rPr>
            </w:pPr>
            <w:r w:rsidRPr="000211AD">
              <w:rPr>
                <w:rFonts w:cs="Arial"/>
                <w:color w:val="000000"/>
                <w:szCs w:val="20"/>
              </w:rPr>
              <w:t>30253W1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B03FD"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Factor IX into Peripheral Artery, Percutaneous Approach</w:t>
            </w:r>
          </w:p>
        </w:tc>
      </w:tr>
      <w:tr w:rsidR="000211AD" w:rsidRPr="000211AD" w14:paraId="77990D43" w14:textId="77777777" w:rsidTr="00FD0E22">
        <w:trPr>
          <w:trHeight w:val="290"/>
        </w:trPr>
        <w:tc>
          <w:tcPr>
            <w:tcW w:w="2070" w:type="dxa"/>
            <w:vMerge/>
            <w:tcBorders>
              <w:left w:val="single" w:sz="4" w:space="0" w:color="auto"/>
              <w:right w:val="single" w:sz="4" w:space="0" w:color="auto"/>
            </w:tcBorders>
            <w:shd w:val="clear" w:color="auto" w:fill="auto"/>
            <w:noWrap/>
            <w:hideMark/>
          </w:tcPr>
          <w:p w14:paraId="1A1B62D4"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B260D" w14:textId="77777777" w:rsidR="000211AD" w:rsidRPr="000211AD" w:rsidRDefault="000211AD" w:rsidP="000211AD">
            <w:pPr>
              <w:spacing w:line="240" w:lineRule="auto"/>
              <w:rPr>
                <w:rFonts w:cs="Arial"/>
                <w:color w:val="000000"/>
                <w:szCs w:val="20"/>
              </w:rPr>
            </w:pPr>
            <w:r w:rsidRPr="000211AD">
              <w:rPr>
                <w:rFonts w:cs="Arial"/>
                <w:color w:val="000000"/>
                <w:szCs w:val="20"/>
              </w:rPr>
              <w:t>30263T1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F7BB0"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Fibrinogen into Central Artery, Percutaneous Approach</w:t>
            </w:r>
          </w:p>
        </w:tc>
      </w:tr>
      <w:tr w:rsidR="000211AD" w:rsidRPr="000211AD" w14:paraId="7F0B294E" w14:textId="77777777" w:rsidTr="00FD0E22">
        <w:trPr>
          <w:trHeight w:val="290"/>
        </w:trPr>
        <w:tc>
          <w:tcPr>
            <w:tcW w:w="2070" w:type="dxa"/>
            <w:vMerge/>
            <w:tcBorders>
              <w:left w:val="single" w:sz="4" w:space="0" w:color="auto"/>
              <w:right w:val="single" w:sz="4" w:space="0" w:color="auto"/>
            </w:tcBorders>
            <w:shd w:val="clear" w:color="auto" w:fill="auto"/>
            <w:noWrap/>
            <w:hideMark/>
          </w:tcPr>
          <w:p w14:paraId="459ECD22"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06CB0" w14:textId="77777777" w:rsidR="000211AD" w:rsidRPr="000211AD" w:rsidRDefault="000211AD" w:rsidP="000211AD">
            <w:pPr>
              <w:spacing w:line="240" w:lineRule="auto"/>
              <w:rPr>
                <w:rFonts w:cs="Arial"/>
                <w:color w:val="000000"/>
                <w:szCs w:val="20"/>
              </w:rPr>
            </w:pPr>
            <w:r w:rsidRPr="000211AD">
              <w:rPr>
                <w:rFonts w:cs="Arial"/>
                <w:color w:val="000000"/>
                <w:szCs w:val="20"/>
              </w:rPr>
              <w:t>30263V1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685E2"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Antihemophilic Factors into Central Artery, Percutaneous Approach</w:t>
            </w:r>
          </w:p>
        </w:tc>
      </w:tr>
      <w:tr w:rsidR="000211AD" w:rsidRPr="000211AD" w14:paraId="188DBBF4" w14:textId="77777777" w:rsidTr="00FD0E22">
        <w:trPr>
          <w:trHeight w:val="290"/>
        </w:trPr>
        <w:tc>
          <w:tcPr>
            <w:tcW w:w="2070" w:type="dxa"/>
            <w:vMerge/>
            <w:tcBorders>
              <w:left w:val="single" w:sz="4" w:space="0" w:color="auto"/>
              <w:bottom w:val="single" w:sz="4" w:space="0" w:color="auto"/>
              <w:right w:val="single" w:sz="4" w:space="0" w:color="auto"/>
            </w:tcBorders>
            <w:shd w:val="clear" w:color="auto" w:fill="auto"/>
            <w:noWrap/>
            <w:hideMark/>
          </w:tcPr>
          <w:p w14:paraId="6A3C9F6D"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D0FCF" w14:textId="77777777" w:rsidR="000211AD" w:rsidRPr="000211AD" w:rsidRDefault="000211AD" w:rsidP="000211AD">
            <w:pPr>
              <w:spacing w:line="240" w:lineRule="auto"/>
              <w:rPr>
                <w:rFonts w:cs="Arial"/>
                <w:color w:val="000000"/>
                <w:szCs w:val="20"/>
              </w:rPr>
            </w:pPr>
            <w:r w:rsidRPr="000211AD">
              <w:rPr>
                <w:rFonts w:cs="Arial"/>
                <w:color w:val="000000"/>
                <w:szCs w:val="20"/>
              </w:rPr>
              <w:t>30263W1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451AB"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Factor IX into Central Artery, Percutaneous Approach</w:t>
            </w:r>
          </w:p>
        </w:tc>
      </w:tr>
      <w:tr w:rsidR="000211AD" w:rsidRPr="000211AD" w14:paraId="5137F1BB" w14:textId="77777777" w:rsidTr="004C38F2">
        <w:trPr>
          <w:trHeight w:val="290"/>
        </w:trPr>
        <w:tc>
          <w:tcPr>
            <w:tcW w:w="2070" w:type="dxa"/>
            <w:vMerge w:val="restart"/>
            <w:tcBorders>
              <w:top w:val="single" w:sz="4" w:space="0" w:color="auto"/>
              <w:left w:val="single" w:sz="4" w:space="0" w:color="auto"/>
              <w:right w:val="single" w:sz="4" w:space="0" w:color="auto"/>
            </w:tcBorders>
            <w:shd w:val="clear" w:color="auto" w:fill="auto"/>
            <w:noWrap/>
            <w:hideMark/>
          </w:tcPr>
          <w:p w14:paraId="10704746"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other serum or serum protein</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B14C8" w14:textId="77777777" w:rsidR="000211AD" w:rsidRPr="000211AD" w:rsidRDefault="000211AD" w:rsidP="000211AD">
            <w:pPr>
              <w:spacing w:line="240" w:lineRule="auto"/>
              <w:rPr>
                <w:rFonts w:cs="Arial"/>
                <w:color w:val="000000"/>
                <w:szCs w:val="20"/>
              </w:rPr>
            </w:pPr>
            <w:r w:rsidRPr="000211AD">
              <w:rPr>
                <w:rFonts w:cs="Arial"/>
                <w:color w:val="000000"/>
                <w:szCs w:val="20"/>
              </w:rPr>
              <w:t>30233J1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91A05"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Serum Albumin into Peripheral Vein, Percutaneous Approach</w:t>
            </w:r>
          </w:p>
        </w:tc>
      </w:tr>
      <w:tr w:rsidR="000211AD" w:rsidRPr="000211AD" w14:paraId="0F63552F" w14:textId="77777777" w:rsidTr="004C38F2">
        <w:trPr>
          <w:trHeight w:val="290"/>
        </w:trPr>
        <w:tc>
          <w:tcPr>
            <w:tcW w:w="2070" w:type="dxa"/>
            <w:vMerge/>
            <w:tcBorders>
              <w:left w:val="single" w:sz="4" w:space="0" w:color="auto"/>
              <w:right w:val="single" w:sz="4" w:space="0" w:color="auto"/>
            </w:tcBorders>
            <w:shd w:val="clear" w:color="auto" w:fill="auto"/>
            <w:noWrap/>
            <w:hideMark/>
          </w:tcPr>
          <w:p w14:paraId="6A416A73"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D9D9C" w14:textId="77777777" w:rsidR="000211AD" w:rsidRPr="000211AD" w:rsidRDefault="000211AD" w:rsidP="000211AD">
            <w:pPr>
              <w:spacing w:line="240" w:lineRule="auto"/>
              <w:rPr>
                <w:rFonts w:cs="Arial"/>
                <w:color w:val="000000"/>
                <w:szCs w:val="20"/>
              </w:rPr>
            </w:pPr>
            <w:r w:rsidRPr="000211AD">
              <w:rPr>
                <w:rFonts w:cs="Arial"/>
                <w:color w:val="000000"/>
                <w:szCs w:val="20"/>
              </w:rPr>
              <w:t>30243J1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44FBA"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Serum Albumin into Central Vein, Percutaneous Approach</w:t>
            </w:r>
          </w:p>
        </w:tc>
      </w:tr>
      <w:tr w:rsidR="000211AD" w:rsidRPr="000211AD" w14:paraId="43FC22E7" w14:textId="77777777" w:rsidTr="004C38F2">
        <w:trPr>
          <w:trHeight w:val="290"/>
        </w:trPr>
        <w:tc>
          <w:tcPr>
            <w:tcW w:w="2070" w:type="dxa"/>
            <w:vMerge/>
            <w:tcBorders>
              <w:left w:val="single" w:sz="4" w:space="0" w:color="auto"/>
              <w:right w:val="single" w:sz="4" w:space="0" w:color="auto"/>
            </w:tcBorders>
            <w:shd w:val="clear" w:color="auto" w:fill="auto"/>
            <w:noWrap/>
            <w:hideMark/>
          </w:tcPr>
          <w:p w14:paraId="70C7B1E8"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0F636" w14:textId="77777777" w:rsidR="000211AD" w:rsidRPr="000211AD" w:rsidRDefault="000211AD" w:rsidP="000211AD">
            <w:pPr>
              <w:spacing w:line="240" w:lineRule="auto"/>
              <w:rPr>
                <w:rFonts w:cs="Arial"/>
                <w:color w:val="000000"/>
                <w:szCs w:val="20"/>
              </w:rPr>
            </w:pPr>
            <w:r w:rsidRPr="000211AD">
              <w:rPr>
                <w:rFonts w:cs="Arial"/>
                <w:color w:val="000000"/>
                <w:szCs w:val="20"/>
              </w:rPr>
              <w:t>30253J1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242DF"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Serum Albumin into Peripheral Artery, Percutaneous Approach</w:t>
            </w:r>
          </w:p>
        </w:tc>
      </w:tr>
      <w:tr w:rsidR="000211AD" w:rsidRPr="000211AD" w14:paraId="2E73881E" w14:textId="77777777" w:rsidTr="004C38F2">
        <w:trPr>
          <w:trHeight w:val="290"/>
        </w:trPr>
        <w:tc>
          <w:tcPr>
            <w:tcW w:w="2070" w:type="dxa"/>
            <w:vMerge/>
            <w:tcBorders>
              <w:left w:val="single" w:sz="4" w:space="0" w:color="auto"/>
              <w:bottom w:val="single" w:sz="4" w:space="0" w:color="auto"/>
              <w:right w:val="single" w:sz="4" w:space="0" w:color="auto"/>
            </w:tcBorders>
            <w:shd w:val="clear" w:color="auto" w:fill="auto"/>
            <w:noWrap/>
            <w:hideMark/>
          </w:tcPr>
          <w:p w14:paraId="3AD3D31B"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8ED1" w14:textId="77777777" w:rsidR="000211AD" w:rsidRPr="000211AD" w:rsidRDefault="000211AD" w:rsidP="000211AD">
            <w:pPr>
              <w:spacing w:line="240" w:lineRule="auto"/>
              <w:rPr>
                <w:rFonts w:cs="Arial"/>
                <w:color w:val="000000"/>
                <w:szCs w:val="20"/>
              </w:rPr>
            </w:pPr>
            <w:r w:rsidRPr="000211AD">
              <w:rPr>
                <w:rFonts w:cs="Arial"/>
                <w:color w:val="000000"/>
                <w:szCs w:val="20"/>
              </w:rPr>
              <w:t>30263J1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1EA39"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Serum Albumin into Central Artery, Percutaneous Approach</w:t>
            </w:r>
          </w:p>
        </w:tc>
      </w:tr>
      <w:tr w:rsidR="000211AD" w:rsidRPr="000211AD" w14:paraId="4F129082" w14:textId="77777777" w:rsidTr="000B482A">
        <w:trPr>
          <w:trHeight w:val="290"/>
        </w:trPr>
        <w:tc>
          <w:tcPr>
            <w:tcW w:w="2070" w:type="dxa"/>
            <w:vMerge w:val="restart"/>
            <w:tcBorders>
              <w:top w:val="single" w:sz="4" w:space="0" w:color="auto"/>
              <w:left w:val="single" w:sz="4" w:space="0" w:color="auto"/>
              <w:right w:val="single" w:sz="4" w:space="0" w:color="auto"/>
            </w:tcBorders>
            <w:shd w:val="clear" w:color="auto" w:fill="auto"/>
            <w:noWrap/>
            <w:hideMark/>
          </w:tcPr>
          <w:p w14:paraId="2139A0AC"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fresh/frozen plasma</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59BAF" w14:textId="77777777" w:rsidR="000211AD" w:rsidRPr="000211AD" w:rsidRDefault="000211AD" w:rsidP="000211AD">
            <w:pPr>
              <w:spacing w:line="240" w:lineRule="auto"/>
              <w:rPr>
                <w:rFonts w:cs="Arial"/>
                <w:color w:val="000000"/>
                <w:szCs w:val="20"/>
              </w:rPr>
            </w:pPr>
            <w:r w:rsidRPr="000211AD">
              <w:rPr>
                <w:rFonts w:cs="Arial"/>
                <w:color w:val="000000"/>
                <w:szCs w:val="20"/>
              </w:rPr>
              <w:t>30233K1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26111"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Frozen Plasma into Peripheral Vein, Percutaneous Approach</w:t>
            </w:r>
          </w:p>
        </w:tc>
      </w:tr>
      <w:tr w:rsidR="000211AD" w:rsidRPr="000211AD" w14:paraId="0B7234E6" w14:textId="77777777" w:rsidTr="000B482A">
        <w:trPr>
          <w:trHeight w:val="290"/>
        </w:trPr>
        <w:tc>
          <w:tcPr>
            <w:tcW w:w="2070" w:type="dxa"/>
            <w:vMerge/>
            <w:tcBorders>
              <w:left w:val="single" w:sz="4" w:space="0" w:color="auto"/>
              <w:right w:val="single" w:sz="4" w:space="0" w:color="auto"/>
            </w:tcBorders>
            <w:shd w:val="clear" w:color="auto" w:fill="auto"/>
            <w:noWrap/>
            <w:hideMark/>
          </w:tcPr>
          <w:p w14:paraId="163EA212"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C5404" w14:textId="77777777" w:rsidR="000211AD" w:rsidRPr="000211AD" w:rsidRDefault="000211AD" w:rsidP="000211AD">
            <w:pPr>
              <w:spacing w:line="240" w:lineRule="auto"/>
              <w:rPr>
                <w:rFonts w:cs="Arial"/>
                <w:color w:val="000000"/>
                <w:szCs w:val="20"/>
              </w:rPr>
            </w:pPr>
            <w:r w:rsidRPr="000211AD">
              <w:rPr>
                <w:rFonts w:cs="Arial"/>
                <w:color w:val="000000"/>
                <w:szCs w:val="20"/>
              </w:rPr>
              <w:t>30233L1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02898"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Fresh Plasma into Peripheral Vein, Percutaneous Approach</w:t>
            </w:r>
          </w:p>
        </w:tc>
      </w:tr>
      <w:tr w:rsidR="000211AD" w:rsidRPr="000211AD" w14:paraId="0FB1C940" w14:textId="77777777" w:rsidTr="000B482A">
        <w:trPr>
          <w:trHeight w:val="290"/>
        </w:trPr>
        <w:tc>
          <w:tcPr>
            <w:tcW w:w="2070" w:type="dxa"/>
            <w:vMerge/>
            <w:tcBorders>
              <w:left w:val="single" w:sz="4" w:space="0" w:color="auto"/>
              <w:right w:val="single" w:sz="4" w:space="0" w:color="auto"/>
            </w:tcBorders>
            <w:shd w:val="clear" w:color="auto" w:fill="auto"/>
            <w:noWrap/>
            <w:hideMark/>
          </w:tcPr>
          <w:p w14:paraId="376421B0"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D3761" w14:textId="77777777" w:rsidR="000211AD" w:rsidRPr="000211AD" w:rsidRDefault="000211AD" w:rsidP="000211AD">
            <w:pPr>
              <w:spacing w:line="240" w:lineRule="auto"/>
              <w:rPr>
                <w:rFonts w:cs="Arial"/>
                <w:color w:val="000000"/>
                <w:szCs w:val="20"/>
              </w:rPr>
            </w:pPr>
            <w:r w:rsidRPr="000211AD">
              <w:rPr>
                <w:rFonts w:cs="Arial"/>
                <w:color w:val="000000"/>
                <w:szCs w:val="20"/>
              </w:rPr>
              <w:t>30243K1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240EE"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Frozen Plasma into Central Vein, Percutaneous Approach</w:t>
            </w:r>
          </w:p>
        </w:tc>
      </w:tr>
      <w:tr w:rsidR="000211AD" w:rsidRPr="000211AD" w14:paraId="140812EB" w14:textId="77777777" w:rsidTr="000B482A">
        <w:trPr>
          <w:trHeight w:val="290"/>
        </w:trPr>
        <w:tc>
          <w:tcPr>
            <w:tcW w:w="2070" w:type="dxa"/>
            <w:vMerge/>
            <w:tcBorders>
              <w:left w:val="single" w:sz="4" w:space="0" w:color="auto"/>
              <w:right w:val="single" w:sz="4" w:space="0" w:color="auto"/>
            </w:tcBorders>
            <w:shd w:val="clear" w:color="auto" w:fill="auto"/>
            <w:noWrap/>
            <w:hideMark/>
          </w:tcPr>
          <w:p w14:paraId="3282471C"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ED31D" w14:textId="77777777" w:rsidR="000211AD" w:rsidRPr="000211AD" w:rsidRDefault="000211AD" w:rsidP="000211AD">
            <w:pPr>
              <w:spacing w:line="240" w:lineRule="auto"/>
              <w:rPr>
                <w:rFonts w:cs="Arial"/>
                <w:color w:val="000000"/>
                <w:szCs w:val="20"/>
              </w:rPr>
            </w:pPr>
            <w:r w:rsidRPr="000211AD">
              <w:rPr>
                <w:rFonts w:cs="Arial"/>
                <w:color w:val="000000"/>
                <w:szCs w:val="20"/>
              </w:rPr>
              <w:t>30243L1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5E67D"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Fresh Plasma into Central Vein, Percutaneous Approach</w:t>
            </w:r>
          </w:p>
        </w:tc>
      </w:tr>
      <w:tr w:rsidR="000211AD" w:rsidRPr="000211AD" w14:paraId="24306F82" w14:textId="77777777" w:rsidTr="000B482A">
        <w:trPr>
          <w:trHeight w:val="290"/>
        </w:trPr>
        <w:tc>
          <w:tcPr>
            <w:tcW w:w="2070" w:type="dxa"/>
            <w:vMerge/>
            <w:tcBorders>
              <w:left w:val="single" w:sz="4" w:space="0" w:color="auto"/>
              <w:right w:val="single" w:sz="4" w:space="0" w:color="auto"/>
            </w:tcBorders>
            <w:shd w:val="clear" w:color="auto" w:fill="auto"/>
            <w:noWrap/>
            <w:hideMark/>
          </w:tcPr>
          <w:p w14:paraId="14CA7C1E"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84DF6" w14:textId="77777777" w:rsidR="000211AD" w:rsidRPr="000211AD" w:rsidRDefault="000211AD" w:rsidP="000211AD">
            <w:pPr>
              <w:spacing w:line="240" w:lineRule="auto"/>
              <w:rPr>
                <w:rFonts w:cs="Arial"/>
                <w:color w:val="000000"/>
                <w:szCs w:val="20"/>
              </w:rPr>
            </w:pPr>
            <w:r w:rsidRPr="000211AD">
              <w:rPr>
                <w:rFonts w:cs="Arial"/>
                <w:color w:val="000000"/>
                <w:szCs w:val="20"/>
              </w:rPr>
              <w:t>30253K1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39FA5"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Frozen Plasma into Peripheral Artery, Percutaneous Approach</w:t>
            </w:r>
          </w:p>
        </w:tc>
      </w:tr>
      <w:tr w:rsidR="000211AD" w:rsidRPr="000211AD" w14:paraId="270E1F9F" w14:textId="77777777" w:rsidTr="000B482A">
        <w:trPr>
          <w:trHeight w:val="290"/>
        </w:trPr>
        <w:tc>
          <w:tcPr>
            <w:tcW w:w="2070" w:type="dxa"/>
            <w:vMerge/>
            <w:tcBorders>
              <w:left w:val="single" w:sz="4" w:space="0" w:color="auto"/>
              <w:right w:val="single" w:sz="4" w:space="0" w:color="auto"/>
            </w:tcBorders>
            <w:shd w:val="clear" w:color="auto" w:fill="auto"/>
            <w:noWrap/>
            <w:hideMark/>
          </w:tcPr>
          <w:p w14:paraId="71329DA6"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6D7D3" w14:textId="77777777" w:rsidR="000211AD" w:rsidRPr="000211AD" w:rsidRDefault="000211AD" w:rsidP="000211AD">
            <w:pPr>
              <w:spacing w:line="240" w:lineRule="auto"/>
              <w:rPr>
                <w:rFonts w:cs="Arial"/>
                <w:color w:val="000000"/>
                <w:szCs w:val="20"/>
              </w:rPr>
            </w:pPr>
            <w:r w:rsidRPr="000211AD">
              <w:rPr>
                <w:rFonts w:cs="Arial"/>
                <w:color w:val="000000"/>
                <w:szCs w:val="20"/>
              </w:rPr>
              <w:t>30253L1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2907E"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Fresh Plasma into Peripheral Artery, Percutaneous Approach</w:t>
            </w:r>
          </w:p>
        </w:tc>
      </w:tr>
      <w:tr w:rsidR="000211AD" w:rsidRPr="000211AD" w14:paraId="13F134CE" w14:textId="77777777" w:rsidTr="000B482A">
        <w:trPr>
          <w:trHeight w:val="290"/>
        </w:trPr>
        <w:tc>
          <w:tcPr>
            <w:tcW w:w="2070" w:type="dxa"/>
            <w:vMerge/>
            <w:tcBorders>
              <w:left w:val="single" w:sz="4" w:space="0" w:color="auto"/>
              <w:right w:val="single" w:sz="4" w:space="0" w:color="auto"/>
            </w:tcBorders>
            <w:shd w:val="clear" w:color="auto" w:fill="auto"/>
            <w:noWrap/>
            <w:hideMark/>
          </w:tcPr>
          <w:p w14:paraId="63DFD553"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7C4B2" w14:textId="77777777" w:rsidR="000211AD" w:rsidRPr="000211AD" w:rsidRDefault="000211AD" w:rsidP="000211AD">
            <w:pPr>
              <w:spacing w:line="240" w:lineRule="auto"/>
              <w:rPr>
                <w:rFonts w:cs="Arial"/>
                <w:color w:val="000000"/>
                <w:szCs w:val="20"/>
              </w:rPr>
            </w:pPr>
            <w:r w:rsidRPr="000211AD">
              <w:rPr>
                <w:rFonts w:cs="Arial"/>
                <w:color w:val="000000"/>
                <w:szCs w:val="20"/>
              </w:rPr>
              <w:t>30263K1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19796"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Frozen Plasma into Central Artery, Percutaneous Approach</w:t>
            </w:r>
          </w:p>
        </w:tc>
      </w:tr>
      <w:tr w:rsidR="000211AD" w:rsidRPr="000211AD" w14:paraId="6344901A" w14:textId="77777777" w:rsidTr="000B482A">
        <w:trPr>
          <w:trHeight w:val="290"/>
        </w:trPr>
        <w:tc>
          <w:tcPr>
            <w:tcW w:w="2070" w:type="dxa"/>
            <w:vMerge/>
            <w:tcBorders>
              <w:left w:val="single" w:sz="4" w:space="0" w:color="auto"/>
              <w:bottom w:val="single" w:sz="4" w:space="0" w:color="auto"/>
              <w:right w:val="single" w:sz="4" w:space="0" w:color="auto"/>
            </w:tcBorders>
            <w:shd w:val="clear" w:color="auto" w:fill="auto"/>
            <w:noWrap/>
            <w:hideMark/>
          </w:tcPr>
          <w:p w14:paraId="2783781D"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3A9A1" w14:textId="77777777" w:rsidR="000211AD" w:rsidRPr="000211AD" w:rsidRDefault="000211AD" w:rsidP="000211AD">
            <w:pPr>
              <w:spacing w:line="240" w:lineRule="auto"/>
              <w:rPr>
                <w:rFonts w:cs="Arial"/>
                <w:color w:val="000000"/>
                <w:szCs w:val="20"/>
              </w:rPr>
            </w:pPr>
            <w:r w:rsidRPr="000211AD">
              <w:rPr>
                <w:rFonts w:cs="Arial"/>
                <w:color w:val="000000"/>
                <w:szCs w:val="20"/>
              </w:rPr>
              <w:t>30263L1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F6F11"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Fresh Plasma into Central Artery, Percutaneous Approach</w:t>
            </w:r>
          </w:p>
        </w:tc>
      </w:tr>
      <w:tr w:rsidR="000211AD" w:rsidRPr="000211AD" w14:paraId="31549FA5" w14:textId="77777777" w:rsidTr="00B652F4">
        <w:trPr>
          <w:trHeight w:val="290"/>
        </w:trPr>
        <w:tc>
          <w:tcPr>
            <w:tcW w:w="2070" w:type="dxa"/>
            <w:vMerge w:val="restart"/>
            <w:tcBorders>
              <w:top w:val="single" w:sz="4" w:space="0" w:color="auto"/>
              <w:left w:val="single" w:sz="4" w:space="0" w:color="auto"/>
              <w:right w:val="single" w:sz="4" w:space="0" w:color="auto"/>
            </w:tcBorders>
            <w:shd w:val="clear" w:color="auto" w:fill="auto"/>
            <w:noWrap/>
            <w:hideMark/>
          </w:tcPr>
          <w:p w14:paraId="585926BC"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cryoprecipitate</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FECB6" w14:textId="77777777" w:rsidR="000211AD" w:rsidRPr="000211AD" w:rsidRDefault="000211AD" w:rsidP="000211AD">
            <w:pPr>
              <w:spacing w:line="240" w:lineRule="auto"/>
              <w:rPr>
                <w:rFonts w:cs="Arial"/>
                <w:color w:val="000000"/>
                <w:szCs w:val="20"/>
              </w:rPr>
            </w:pPr>
            <w:r w:rsidRPr="000211AD">
              <w:rPr>
                <w:rFonts w:cs="Arial"/>
                <w:color w:val="000000"/>
                <w:szCs w:val="20"/>
              </w:rPr>
              <w:t>30233M1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8E9F8"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Plasma Cryoprecipitate into Peripheral Vein, Percutaneous Approach</w:t>
            </w:r>
          </w:p>
        </w:tc>
      </w:tr>
      <w:tr w:rsidR="000211AD" w:rsidRPr="000211AD" w14:paraId="3DE21110" w14:textId="77777777" w:rsidTr="00B652F4">
        <w:trPr>
          <w:trHeight w:val="290"/>
        </w:trPr>
        <w:tc>
          <w:tcPr>
            <w:tcW w:w="2070" w:type="dxa"/>
            <w:vMerge/>
            <w:tcBorders>
              <w:left w:val="single" w:sz="4" w:space="0" w:color="auto"/>
              <w:right w:val="single" w:sz="4" w:space="0" w:color="auto"/>
            </w:tcBorders>
            <w:shd w:val="clear" w:color="auto" w:fill="auto"/>
            <w:noWrap/>
            <w:hideMark/>
          </w:tcPr>
          <w:p w14:paraId="167D3A89"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B5915" w14:textId="77777777" w:rsidR="000211AD" w:rsidRPr="000211AD" w:rsidRDefault="000211AD" w:rsidP="000211AD">
            <w:pPr>
              <w:spacing w:line="240" w:lineRule="auto"/>
              <w:rPr>
                <w:rFonts w:cs="Arial"/>
                <w:color w:val="000000"/>
                <w:szCs w:val="20"/>
              </w:rPr>
            </w:pPr>
            <w:r w:rsidRPr="000211AD">
              <w:rPr>
                <w:rFonts w:cs="Arial"/>
                <w:color w:val="000000"/>
                <w:szCs w:val="20"/>
              </w:rPr>
              <w:t>30243M1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56720"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Plasma Cryoprecipitate into Central Vein, Percutaneous Approach</w:t>
            </w:r>
          </w:p>
        </w:tc>
      </w:tr>
      <w:tr w:rsidR="000211AD" w:rsidRPr="000211AD" w14:paraId="41EA5BCD" w14:textId="77777777" w:rsidTr="00B652F4">
        <w:trPr>
          <w:trHeight w:val="290"/>
        </w:trPr>
        <w:tc>
          <w:tcPr>
            <w:tcW w:w="2070" w:type="dxa"/>
            <w:vMerge/>
            <w:tcBorders>
              <w:left w:val="single" w:sz="4" w:space="0" w:color="auto"/>
              <w:right w:val="single" w:sz="4" w:space="0" w:color="auto"/>
            </w:tcBorders>
            <w:shd w:val="clear" w:color="auto" w:fill="auto"/>
            <w:noWrap/>
            <w:hideMark/>
          </w:tcPr>
          <w:p w14:paraId="24B575DF"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7A46E" w14:textId="77777777" w:rsidR="000211AD" w:rsidRPr="000211AD" w:rsidRDefault="000211AD" w:rsidP="000211AD">
            <w:pPr>
              <w:spacing w:line="240" w:lineRule="auto"/>
              <w:rPr>
                <w:rFonts w:cs="Arial"/>
                <w:color w:val="000000"/>
                <w:szCs w:val="20"/>
              </w:rPr>
            </w:pPr>
            <w:r w:rsidRPr="000211AD">
              <w:rPr>
                <w:rFonts w:cs="Arial"/>
                <w:color w:val="000000"/>
                <w:szCs w:val="20"/>
              </w:rPr>
              <w:t>30253M1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C078B"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Plasma Cryoprecipitate into Peripheral Artery, Percutaneous Approach</w:t>
            </w:r>
          </w:p>
        </w:tc>
      </w:tr>
      <w:tr w:rsidR="000211AD" w:rsidRPr="000211AD" w14:paraId="7C61B5A5" w14:textId="77777777" w:rsidTr="00B652F4">
        <w:trPr>
          <w:trHeight w:val="290"/>
        </w:trPr>
        <w:tc>
          <w:tcPr>
            <w:tcW w:w="2070" w:type="dxa"/>
            <w:vMerge/>
            <w:tcBorders>
              <w:left w:val="single" w:sz="4" w:space="0" w:color="auto"/>
              <w:bottom w:val="single" w:sz="4" w:space="0" w:color="auto"/>
              <w:right w:val="single" w:sz="4" w:space="0" w:color="auto"/>
            </w:tcBorders>
            <w:shd w:val="clear" w:color="auto" w:fill="auto"/>
            <w:noWrap/>
            <w:hideMark/>
          </w:tcPr>
          <w:p w14:paraId="56D0AE6C"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0551B" w14:textId="77777777" w:rsidR="000211AD" w:rsidRPr="000211AD" w:rsidRDefault="000211AD" w:rsidP="000211AD">
            <w:pPr>
              <w:spacing w:line="240" w:lineRule="auto"/>
              <w:rPr>
                <w:rFonts w:cs="Arial"/>
                <w:color w:val="000000"/>
                <w:szCs w:val="20"/>
              </w:rPr>
            </w:pPr>
            <w:r w:rsidRPr="000211AD">
              <w:rPr>
                <w:rFonts w:cs="Arial"/>
                <w:color w:val="000000"/>
                <w:szCs w:val="20"/>
              </w:rPr>
              <w:t>30263M1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DA78D"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Plasma Cryoprecipitate into Central Artery, Percutaneous Approach</w:t>
            </w:r>
          </w:p>
        </w:tc>
      </w:tr>
      <w:tr w:rsidR="000211AD" w:rsidRPr="000211AD" w14:paraId="7F19224A" w14:textId="77777777" w:rsidTr="003743B2">
        <w:trPr>
          <w:trHeight w:val="290"/>
        </w:trPr>
        <w:tc>
          <w:tcPr>
            <w:tcW w:w="2070" w:type="dxa"/>
            <w:vMerge w:val="restart"/>
            <w:tcBorders>
              <w:top w:val="single" w:sz="4" w:space="0" w:color="auto"/>
              <w:left w:val="single" w:sz="4" w:space="0" w:color="auto"/>
              <w:right w:val="single" w:sz="4" w:space="0" w:color="auto"/>
            </w:tcBorders>
            <w:shd w:val="clear" w:color="auto" w:fill="auto"/>
            <w:noWrap/>
            <w:hideMark/>
          </w:tcPr>
          <w:p w14:paraId="4B826A96" w14:textId="77777777" w:rsidR="000211AD" w:rsidRPr="000211AD" w:rsidRDefault="000211AD" w:rsidP="000211AD">
            <w:pPr>
              <w:spacing w:line="240" w:lineRule="auto"/>
              <w:rPr>
                <w:rFonts w:cs="Arial"/>
                <w:color w:val="000000"/>
                <w:szCs w:val="20"/>
              </w:rPr>
            </w:pPr>
            <w:r w:rsidRPr="000211AD">
              <w:rPr>
                <w:rFonts w:cs="Arial"/>
                <w:color w:val="000000"/>
                <w:szCs w:val="20"/>
              </w:rPr>
              <w:t>Transfusion of other substance</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FC8D8" w14:textId="77777777" w:rsidR="000211AD" w:rsidRPr="000211AD" w:rsidRDefault="000211AD" w:rsidP="000211AD">
            <w:pPr>
              <w:spacing w:line="240" w:lineRule="auto"/>
              <w:rPr>
                <w:rFonts w:cs="Arial"/>
                <w:color w:val="000000"/>
                <w:szCs w:val="20"/>
              </w:rPr>
            </w:pPr>
            <w:r w:rsidRPr="000211AD">
              <w:rPr>
                <w:rFonts w:cs="Arial"/>
                <w:color w:val="000000"/>
                <w:szCs w:val="20"/>
              </w:rPr>
              <w:t>30233Q1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8E3D4"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White Cells into Peripheral Vein, Percutaneous Approach</w:t>
            </w:r>
          </w:p>
        </w:tc>
      </w:tr>
      <w:tr w:rsidR="000211AD" w:rsidRPr="000211AD" w14:paraId="78C601BE" w14:textId="77777777" w:rsidTr="003743B2">
        <w:trPr>
          <w:trHeight w:val="290"/>
        </w:trPr>
        <w:tc>
          <w:tcPr>
            <w:tcW w:w="2070" w:type="dxa"/>
            <w:vMerge/>
            <w:tcBorders>
              <w:left w:val="single" w:sz="4" w:space="0" w:color="auto"/>
              <w:right w:val="single" w:sz="4" w:space="0" w:color="auto"/>
            </w:tcBorders>
            <w:shd w:val="clear" w:color="auto" w:fill="auto"/>
            <w:noWrap/>
            <w:hideMark/>
          </w:tcPr>
          <w:p w14:paraId="02456EC4"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70EAC" w14:textId="77777777" w:rsidR="000211AD" w:rsidRPr="000211AD" w:rsidRDefault="000211AD" w:rsidP="000211AD">
            <w:pPr>
              <w:spacing w:line="240" w:lineRule="auto"/>
              <w:rPr>
                <w:rFonts w:cs="Arial"/>
                <w:color w:val="000000"/>
                <w:szCs w:val="20"/>
              </w:rPr>
            </w:pPr>
            <w:r w:rsidRPr="000211AD">
              <w:rPr>
                <w:rFonts w:cs="Arial"/>
                <w:color w:val="000000"/>
                <w:szCs w:val="20"/>
              </w:rPr>
              <w:t>30243Q1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AC28A"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White Cells into Central Vein, Percutaneous Approach</w:t>
            </w:r>
          </w:p>
        </w:tc>
      </w:tr>
      <w:tr w:rsidR="000211AD" w:rsidRPr="000211AD" w14:paraId="52CAFDC4" w14:textId="77777777" w:rsidTr="003743B2">
        <w:trPr>
          <w:trHeight w:val="290"/>
        </w:trPr>
        <w:tc>
          <w:tcPr>
            <w:tcW w:w="2070" w:type="dxa"/>
            <w:vMerge/>
            <w:tcBorders>
              <w:left w:val="single" w:sz="4" w:space="0" w:color="auto"/>
              <w:right w:val="single" w:sz="4" w:space="0" w:color="auto"/>
            </w:tcBorders>
            <w:shd w:val="clear" w:color="auto" w:fill="auto"/>
            <w:noWrap/>
            <w:hideMark/>
          </w:tcPr>
          <w:p w14:paraId="5F3DDF84"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4B0C7" w14:textId="77777777" w:rsidR="000211AD" w:rsidRPr="000211AD" w:rsidRDefault="000211AD" w:rsidP="000211AD">
            <w:pPr>
              <w:spacing w:line="240" w:lineRule="auto"/>
              <w:rPr>
                <w:rFonts w:cs="Arial"/>
                <w:color w:val="000000"/>
                <w:szCs w:val="20"/>
              </w:rPr>
            </w:pPr>
            <w:r w:rsidRPr="000211AD">
              <w:rPr>
                <w:rFonts w:cs="Arial"/>
                <w:color w:val="000000"/>
                <w:szCs w:val="20"/>
              </w:rPr>
              <w:t>30253Q1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EBCBA"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White Cells into Peripheral Artery, Percutaneous Approach</w:t>
            </w:r>
          </w:p>
        </w:tc>
      </w:tr>
      <w:tr w:rsidR="000211AD" w:rsidRPr="000211AD" w14:paraId="7CCB28C8" w14:textId="77777777" w:rsidTr="00A70E14">
        <w:trPr>
          <w:trHeight w:val="290"/>
        </w:trPr>
        <w:tc>
          <w:tcPr>
            <w:tcW w:w="2070" w:type="dxa"/>
            <w:vMerge/>
            <w:tcBorders>
              <w:left w:val="single" w:sz="4" w:space="0" w:color="auto"/>
              <w:bottom w:val="single" w:sz="4" w:space="0" w:color="auto"/>
              <w:right w:val="single" w:sz="4" w:space="0" w:color="auto"/>
            </w:tcBorders>
            <w:shd w:val="clear" w:color="auto" w:fill="auto"/>
            <w:noWrap/>
            <w:hideMark/>
          </w:tcPr>
          <w:p w14:paraId="50762C02" w14:textId="77777777" w:rsidR="000211AD" w:rsidRPr="000211AD" w:rsidRDefault="000211AD" w:rsidP="000211AD">
            <w:pPr>
              <w:spacing w:line="240" w:lineRule="auto"/>
              <w:rPr>
                <w:rFonts w:cs="Arial"/>
                <w:color w:val="000000"/>
                <w:szCs w:val="20"/>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32077" w14:textId="77777777" w:rsidR="000211AD" w:rsidRPr="000211AD" w:rsidRDefault="000211AD" w:rsidP="000211AD">
            <w:pPr>
              <w:spacing w:line="240" w:lineRule="auto"/>
              <w:rPr>
                <w:rFonts w:cs="Arial"/>
                <w:color w:val="000000"/>
                <w:szCs w:val="20"/>
              </w:rPr>
            </w:pPr>
            <w:r w:rsidRPr="000211AD">
              <w:rPr>
                <w:rFonts w:cs="Arial"/>
                <w:color w:val="000000"/>
                <w:szCs w:val="20"/>
              </w:rPr>
              <w:t>30263Q1</w:t>
            </w:r>
          </w:p>
        </w:tc>
        <w:tc>
          <w:tcPr>
            <w:tcW w:w="6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169F9" w14:textId="77777777" w:rsidR="000211AD" w:rsidRPr="000211AD" w:rsidRDefault="000211AD" w:rsidP="000211AD">
            <w:pPr>
              <w:spacing w:line="240" w:lineRule="auto"/>
              <w:rPr>
                <w:rFonts w:cs="Arial"/>
                <w:color w:val="000000"/>
                <w:szCs w:val="20"/>
              </w:rPr>
            </w:pPr>
            <w:r w:rsidRPr="000211AD">
              <w:rPr>
                <w:rFonts w:cs="Arial"/>
                <w:color w:val="000000"/>
                <w:szCs w:val="20"/>
              </w:rPr>
              <w:t xml:space="preserve">Transfusion of </w:t>
            </w:r>
            <w:proofErr w:type="spellStart"/>
            <w:r w:rsidRPr="000211AD">
              <w:rPr>
                <w:rFonts w:cs="Arial"/>
                <w:color w:val="000000"/>
                <w:szCs w:val="20"/>
              </w:rPr>
              <w:t>Nonautologous</w:t>
            </w:r>
            <w:proofErr w:type="spellEnd"/>
            <w:r w:rsidRPr="000211AD">
              <w:rPr>
                <w:rFonts w:cs="Arial"/>
                <w:color w:val="000000"/>
                <w:szCs w:val="20"/>
              </w:rPr>
              <w:t xml:space="preserve"> White Cells into Central Artery, Percutaneous Approach</w:t>
            </w:r>
          </w:p>
        </w:tc>
      </w:tr>
      <w:tr w:rsidR="00A70E14" w:rsidRPr="000211AD" w14:paraId="2A6C6395" w14:textId="77777777" w:rsidTr="00D30042">
        <w:trPr>
          <w:trHeight w:val="29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14:paraId="2B9626D4" w14:textId="130875D6" w:rsidR="00A70E14" w:rsidRPr="000211AD" w:rsidRDefault="00A70E14" w:rsidP="000211AD">
            <w:pPr>
              <w:spacing w:line="240" w:lineRule="auto"/>
              <w:rPr>
                <w:rFonts w:cs="Arial"/>
                <w:color w:val="000000"/>
                <w:szCs w:val="20"/>
              </w:rPr>
            </w:pPr>
            <w:r>
              <w:rPr>
                <w:rFonts w:cs="Arial"/>
                <w:color w:val="000000"/>
                <w:szCs w:val="20"/>
              </w:rPr>
              <w:t>Comorbidities</w:t>
            </w:r>
          </w:p>
        </w:tc>
        <w:tc>
          <w:tcPr>
            <w:tcW w:w="73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675E38" w14:textId="119B6D05" w:rsidR="00A70E14" w:rsidRDefault="00A70E14" w:rsidP="00A70E14">
            <w:pPr>
              <w:spacing w:line="240" w:lineRule="auto"/>
              <w:rPr>
                <w:color w:val="000000"/>
                <w:shd w:val="clear" w:color="auto" w:fill="FFFFFF"/>
              </w:rPr>
            </w:pPr>
            <w:r>
              <w:rPr>
                <w:color w:val="000000"/>
                <w:shd w:val="clear" w:color="auto" w:fill="FFFFFF"/>
              </w:rPr>
              <w:t xml:space="preserve">Quan H, Sundararajan V, </w:t>
            </w:r>
            <w:proofErr w:type="spellStart"/>
            <w:r>
              <w:rPr>
                <w:color w:val="000000"/>
                <w:shd w:val="clear" w:color="auto" w:fill="FFFFFF"/>
              </w:rPr>
              <w:t>Halfon</w:t>
            </w:r>
            <w:proofErr w:type="spellEnd"/>
            <w:r>
              <w:rPr>
                <w:color w:val="000000"/>
                <w:shd w:val="clear" w:color="auto" w:fill="FFFFFF"/>
              </w:rPr>
              <w:t xml:space="preserve"> P, et al. Coding algorithms for defining comorbidities in ICD-9-CM and ICD-10 administrative data. </w:t>
            </w:r>
            <w:r>
              <w:rPr>
                <w:rStyle w:val="ref-journal"/>
                <w:color w:val="000000"/>
                <w:shd w:val="clear" w:color="auto" w:fill="FFFFFF"/>
              </w:rPr>
              <w:t>Med Care. </w:t>
            </w:r>
            <w:proofErr w:type="gramStart"/>
            <w:r>
              <w:rPr>
                <w:color w:val="000000"/>
                <w:shd w:val="clear" w:color="auto" w:fill="FFFFFF"/>
              </w:rPr>
              <w:t>2005;</w:t>
            </w:r>
            <w:r>
              <w:rPr>
                <w:rStyle w:val="ref-vol"/>
                <w:color w:val="000000"/>
                <w:shd w:val="clear" w:color="auto" w:fill="FFFFFF"/>
              </w:rPr>
              <w:t>43</w:t>
            </w:r>
            <w:r>
              <w:rPr>
                <w:color w:val="000000"/>
                <w:shd w:val="clear" w:color="auto" w:fill="FFFFFF"/>
              </w:rPr>
              <w:t>:1130</w:t>
            </w:r>
            <w:proofErr w:type="gramEnd"/>
            <w:r>
              <w:rPr>
                <w:color w:val="000000"/>
                <w:shd w:val="clear" w:color="auto" w:fill="FFFFFF"/>
              </w:rPr>
              <w:t xml:space="preserve">–1139. </w:t>
            </w:r>
            <w:proofErr w:type="spellStart"/>
            <w:r>
              <w:rPr>
                <w:color w:val="000000"/>
                <w:shd w:val="clear" w:color="auto" w:fill="FFFFFF"/>
              </w:rPr>
              <w:t>doi</w:t>
            </w:r>
            <w:proofErr w:type="spellEnd"/>
            <w:r>
              <w:rPr>
                <w:color w:val="000000"/>
                <w:shd w:val="clear" w:color="auto" w:fill="FFFFFF"/>
              </w:rPr>
              <w:t>: 10.1097/01.mlr.0000182534.19832.83.</w:t>
            </w:r>
          </w:p>
          <w:p w14:paraId="12B223E6" w14:textId="77777777" w:rsidR="00A70E14" w:rsidRDefault="00A70E14" w:rsidP="00A70E14">
            <w:pPr>
              <w:spacing w:line="240" w:lineRule="auto"/>
              <w:rPr>
                <w:rFonts w:cs="Arial"/>
                <w:color w:val="000000"/>
                <w:szCs w:val="20"/>
              </w:rPr>
            </w:pPr>
          </w:p>
          <w:p w14:paraId="048CD8F8" w14:textId="6C197575" w:rsidR="00A70E14" w:rsidRPr="000211AD" w:rsidRDefault="00A70E14" w:rsidP="00A70E14">
            <w:pPr>
              <w:spacing w:line="240" w:lineRule="auto"/>
              <w:rPr>
                <w:rFonts w:cs="Arial"/>
                <w:color w:val="000000"/>
                <w:szCs w:val="20"/>
              </w:rPr>
            </w:pPr>
            <w:r w:rsidRPr="00A70E14">
              <w:rPr>
                <w:rFonts w:cs="Arial"/>
                <w:color w:val="000000"/>
                <w:szCs w:val="20"/>
              </w:rPr>
              <w:t xml:space="preserve">Elixhauser Comorbidity Software for ICD-10-CM (beta version) Healthcare Cost </w:t>
            </w:r>
            <w:r w:rsidRPr="00A70E14">
              <w:rPr>
                <w:rFonts w:cs="Arial"/>
                <w:color w:val="000000"/>
                <w:szCs w:val="20"/>
              </w:rPr>
              <w:lastRenderedPageBreak/>
              <w:t>and Utilization Project (HCUP). November 2018. Agency for Healthcare Research and Quality, Rockville, MD. www.hcup-us.ahrq.gov/toolssoftware/comorbidityicd10/comorbidity_icd10.jsp.</w:t>
            </w:r>
          </w:p>
        </w:tc>
      </w:tr>
    </w:tbl>
    <w:p w14:paraId="5BA86FAC" w14:textId="6B036C17" w:rsidR="004C125F" w:rsidRPr="004C125F" w:rsidRDefault="000211AD">
      <w:pPr>
        <w:rPr>
          <w:b/>
          <w:bCs/>
        </w:rPr>
      </w:pPr>
      <w:r w:rsidRPr="000211AD">
        <w:rPr>
          <w:rFonts w:cs="Arial"/>
          <w:color w:val="000000"/>
          <w:szCs w:val="20"/>
        </w:rPr>
        <w:lastRenderedPageBreak/>
        <w:t>*Including sub</w:t>
      </w:r>
      <w:r>
        <w:rPr>
          <w:rFonts w:cs="Arial"/>
          <w:color w:val="000000"/>
          <w:szCs w:val="20"/>
        </w:rPr>
        <w:t>-</w:t>
      </w:r>
      <w:r w:rsidRPr="000211AD">
        <w:rPr>
          <w:rFonts w:cs="Arial"/>
          <w:color w:val="000000"/>
          <w:szCs w:val="20"/>
        </w:rPr>
        <w:t>codes</w:t>
      </w:r>
    </w:p>
    <w:sectPr w:rsidR="004C125F" w:rsidRPr="004C1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D48FE"/>
    <w:multiLevelType w:val="hybridMultilevel"/>
    <w:tmpl w:val="02C6BD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B276063"/>
    <w:multiLevelType w:val="hybridMultilevel"/>
    <w:tmpl w:val="12629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56"/>
    <w:rsid w:val="000211AD"/>
    <w:rsid w:val="001E0687"/>
    <w:rsid w:val="0043040C"/>
    <w:rsid w:val="004B7729"/>
    <w:rsid w:val="004C125F"/>
    <w:rsid w:val="0060574B"/>
    <w:rsid w:val="009D7869"/>
    <w:rsid w:val="00A113E1"/>
    <w:rsid w:val="00A70E14"/>
    <w:rsid w:val="00E53456"/>
    <w:rsid w:val="00F20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7232"/>
  <w15:chartTrackingRefBased/>
  <w15:docId w15:val="{66B1408E-BEA4-486F-81F6-FE08CB2F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56"/>
    <w:pPr>
      <w:spacing w:after="0" w:line="48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E53456"/>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456"/>
    <w:rPr>
      <w:rFonts w:ascii="Arial" w:eastAsia="Times New Roman" w:hAnsi="Arial" w:cs="Arial"/>
      <w:b/>
      <w:bCs/>
      <w:kern w:val="32"/>
      <w:sz w:val="32"/>
      <w:szCs w:val="32"/>
    </w:rPr>
  </w:style>
  <w:style w:type="character" w:customStyle="1" w:styleId="ref-journal">
    <w:name w:val="ref-journal"/>
    <w:basedOn w:val="DefaultParagraphFont"/>
    <w:rsid w:val="00A70E14"/>
  </w:style>
  <w:style w:type="character" w:customStyle="1" w:styleId="ref-vol">
    <w:name w:val="ref-vol"/>
    <w:basedOn w:val="DefaultParagraphFont"/>
    <w:rsid w:val="00A70E14"/>
  </w:style>
  <w:style w:type="paragraph" w:styleId="ListParagraph">
    <w:name w:val="List Paragraph"/>
    <w:basedOn w:val="Normal"/>
    <w:uiPriority w:val="34"/>
    <w:qFormat/>
    <w:rsid w:val="00430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328582">
      <w:bodyDiv w:val="1"/>
      <w:marLeft w:val="0"/>
      <w:marRight w:val="0"/>
      <w:marTop w:val="0"/>
      <w:marBottom w:val="0"/>
      <w:divBdr>
        <w:top w:val="none" w:sz="0" w:space="0" w:color="auto"/>
        <w:left w:val="none" w:sz="0" w:space="0" w:color="auto"/>
        <w:bottom w:val="none" w:sz="0" w:space="0" w:color="auto"/>
        <w:right w:val="none" w:sz="0" w:space="0" w:color="auto"/>
      </w:divBdr>
    </w:div>
    <w:div w:id="329527386">
      <w:bodyDiv w:val="1"/>
      <w:marLeft w:val="0"/>
      <w:marRight w:val="0"/>
      <w:marTop w:val="0"/>
      <w:marBottom w:val="0"/>
      <w:divBdr>
        <w:top w:val="none" w:sz="0" w:space="0" w:color="auto"/>
        <w:left w:val="none" w:sz="0" w:space="0" w:color="auto"/>
        <w:bottom w:val="none" w:sz="0" w:space="0" w:color="auto"/>
        <w:right w:val="none" w:sz="0" w:space="0" w:color="auto"/>
      </w:divBdr>
      <w:divsChild>
        <w:div w:id="171183983">
          <w:marLeft w:val="0"/>
          <w:marRight w:val="0"/>
          <w:marTop w:val="0"/>
          <w:marBottom w:val="0"/>
          <w:divBdr>
            <w:top w:val="none" w:sz="0" w:space="0" w:color="auto"/>
            <w:left w:val="none" w:sz="0" w:space="0" w:color="auto"/>
            <w:bottom w:val="none" w:sz="0" w:space="0" w:color="auto"/>
            <w:right w:val="none" w:sz="0" w:space="0" w:color="auto"/>
          </w:divBdr>
        </w:div>
      </w:divsChild>
    </w:div>
    <w:div w:id="20889187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6ce3f3c5-67c1-4935-b6d4-117a97b95e5e" xsi:nil="true"/>
    <MigrationWizIdPermissions xmlns="6ce3f3c5-67c1-4935-b6d4-117a97b95e5e" xsi:nil="true"/>
    <MigrationWizIdSecurityGroups xmlns="6ce3f3c5-67c1-4935-b6d4-117a97b95e5e" xsi:nil="true"/>
    <MigrationWizId xmlns="6ce3f3c5-67c1-4935-b6d4-117a97b95e5e" xsi:nil="true"/>
    <MigrationWizIdPermissionLevels xmlns="6ce3f3c5-67c1-4935-b6d4-117a97b95e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B1D09B7028A4B9F1C17145C6A7901" ma:contentTypeVersion="18" ma:contentTypeDescription="Create a new document." ma:contentTypeScope="" ma:versionID="d531b88291bb5f9185abc577cbf17a20">
  <xsd:schema xmlns:xsd="http://www.w3.org/2001/XMLSchema" xmlns:xs="http://www.w3.org/2001/XMLSchema" xmlns:p="http://schemas.microsoft.com/office/2006/metadata/properties" xmlns:ns3="6ce3f3c5-67c1-4935-b6d4-117a97b95e5e" xmlns:ns4="ed9649d3-dfe7-4f11-acff-17a289f69a30" targetNamespace="http://schemas.microsoft.com/office/2006/metadata/properties" ma:root="true" ma:fieldsID="2f5fda83f5ed21ce165fa75c9b187fae" ns3:_="" ns4:_="">
    <xsd:import namespace="6ce3f3c5-67c1-4935-b6d4-117a97b95e5e"/>
    <xsd:import namespace="ed9649d3-dfe7-4f11-acff-17a289f69a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3f3c5-67c1-4935-b6d4-117a97b95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649d3-dfe7-4f11-acff-17a289f69a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A4655-129B-4C92-8C89-89387B23EBD0}">
  <ds:schemaRefs>
    <ds:schemaRef ds:uri="http://purl.org/dc/elements/1.1/"/>
    <ds:schemaRef ds:uri="http://schemas.microsoft.com/office/2006/documentManagement/types"/>
    <ds:schemaRef ds:uri="http://purl.org/dc/terms/"/>
    <ds:schemaRef ds:uri="http://schemas.microsoft.com/office/infopath/2007/PartnerControls"/>
    <ds:schemaRef ds:uri="6ce3f3c5-67c1-4935-b6d4-117a97b95e5e"/>
    <ds:schemaRef ds:uri="http://www.w3.org/XML/1998/namespace"/>
    <ds:schemaRef ds:uri="ed9649d3-dfe7-4f11-acff-17a289f69a30"/>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8B8F279-6D5B-4EDA-9265-00C9A6A2C9BB}">
  <ds:schemaRefs>
    <ds:schemaRef ds:uri="http://schemas.microsoft.com/sharepoint/v3/contenttype/forms"/>
  </ds:schemaRefs>
</ds:datastoreItem>
</file>

<file path=customXml/itemProps3.xml><?xml version="1.0" encoding="utf-8"?>
<ds:datastoreItem xmlns:ds="http://schemas.openxmlformats.org/officeDocument/2006/customXml" ds:itemID="{B1573A5B-A405-44A9-B438-F29C69024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3f3c5-67c1-4935-b6d4-117a97b95e5e"/>
    <ds:schemaRef ds:uri="ed9649d3-dfe7-4f11-acff-17a289f6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Stephen [JJCUS]</dc:creator>
  <cp:keywords/>
  <dc:description/>
  <cp:lastModifiedBy>Boon Lee</cp:lastModifiedBy>
  <cp:revision>2</cp:revision>
  <dcterms:created xsi:type="dcterms:W3CDTF">2020-06-25T22:56:00Z</dcterms:created>
  <dcterms:modified xsi:type="dcterms:W3CDTF">2020-06-25T22:56:00Z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0x01010033BB1D09B7028A4B9F1C17145C6A7901</vt:lpwstr>
  </property>
</Properties>
</file>