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CBC19" w14:textId="77777777" w:rsidR="00FC3350" w:rsidRDefault="00FC3350" w:rsidP="00FC3350">
      <w:pPr>
        <w:pStyle w:val="EndNoteBibliography"/>
        <w:spacing w:line="480" w:lineRule="auto"/>
        <w:rPr>
          <w:rFonts w:ascii="Times New Roman" w:eastAsia="Arial Unicode MS" w:hAnsi="Times New Roman" w:cs="Times New Roman"/>
          <w:b/>
          <w:noProof w:val="0"/>
          <w:color w:val="000000"/>
          <w:sz w:val="22"/>
        </w:rPr>
      </w:pPr>
    </w:p>
    <w:p w14:paraId="4808D2DD" w14:textId="77777777" w:rsidR="00FC3350" w:rsidRPr="001E019A" w:rsidRDefault="00FC3350" w:rsidP="00FC3350">
      <w:pPr>
        <w:pStyle w:val="EndNoteBibliography"/>
        <w:spacing w:line="480" w:lineRule="auto"/>
        <w:rPr>
          <w:rFonts w:ascii="Times New Roman" w:eastAsia="Arial Unicode MS" w:hAnsi="Times New Roman" w:cs="Times New Roman"/>
          <w:b/>
          <w:noProof w:val="0"/>
          <w:color w:val="000000"/>
          <w:sz w:val="22"/>
        </w:rPr>
      </w:pPr>
      <w:r>
        <w:rPr>
          <w:rFonts w:ascii="Times New Roman" w:eastAsia="Arial Unicode MS" w:hAnsi="Times New Roman" w:cs="Times New Roman"/>
          <w:b/>
          <w:color w:val="000000"/>
          <w:sz w:val="22"/>
        </w:rPr>
        <w:drawing>
          <wp:inline distT="0" distB="0" distL="0" distR="0" wp14:anchorId="79C76770" wp14:editId="71D83709">
            <wp:extent cx="5274945" cy="5431790"/>
            <wp:effectExtent l="0" t="0" r="1905" b="0"/>
            <wp:docPr id="1" name="图片 1" descr="C:\Users\Administrator\Desktop\二修 需要改声明和附加图\03_Jul_2020_28_Jun_2020_Fig_supl_1_revis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二修 需要改声明和附加图\03_Jul_2020_28_Jun_2020_Fig_supl_1_revised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543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019A">
        <w:rPr>
          <w:rFonts w:ascii="Times New Roman" w:eastAsia="Arial Unicode MS" w:hAnsi="Times New Roman" w:cs="Times New Roman"/>
          <w:b/>
          <w:noProof w:val="0"/>
          <w:color w:val="000000"/>
          <w:sz w:val="22"/>
        </w:rPr>
        <w:t xml:space="preserve">Supplementary Figure 1 The effects of knockdown of miR-31-5p on apoptosis, inflammation, and oxidative stress in HPMECs treated with CSE. </w:t>
      </w:r>
      <w:r w:rsidRPr="001E019A">
        <w:rPr>
          <w:rFonts w:ascii="Times New Roman" w:eastAsia="Arial Unicode MS" w:hAnsi="Times New Roman" w:cs="Times New Roman"/>
          <w:noProof w:val="0"/>
          <w:color w:val="000000"/>
          <w:sz w:val="22"/>
        </w:rPr>
        <w:t xml:space="preserve">(A-H) HPMECs were treated with anti-NC, 2.5% CSE+anti-NC, or 2.5% CSE+anti-miR-31-5p. (A) The cell apoptosis was assessed by flow cytometry assay. (B) The caspase-3 activity was measured by kit in HPMECs. (C-D) The expression levels of IL-6 and TNF-α were shown in supernatant. (E-H) ROS production, MDA level, SOD activity, and GSH/GSSG ratio were presented in HPMECs. Data shown are mean ± SD and from three independent experiments. </w:t>
      </w:r>
      <w:r w:rsidRPr="001E019A">
        <w:rPr>
          <w:rFonts w:ascii="Times New Roman" w:eastAsia="Arial Unicode MS" w:hAnsi="Times New Roman"/>
          <w:noProof w:val="0"/>
          <w:color w:val="000000"/>
          <w:sz w:val="22"/>
        </w:rPr>
        <w:t>*</w:t>
      </w:r>
      <w:r w:rsidRPr="001E019A">
        <w:rPr>
          <w:rFonts w:ascii="Times New Roman" w:eastAsia="Arial Unicode MS" w:hAnsi="Times New Roman"/>
          <w:i/>
          <w:noProof w:val="0"/>
          <w:color w:val="000000"/>
          <w:sz w:val="22"/>
        </w:rPr>
        <w:t xml:space="preserve">P </w:t>
      </w:r>
      <w:r w:rsidRPr="001E019A">
        <w:rPr>
          <w:rFonts w:ascii="Times New Roman" w:eastAsia="Arial Unicode MS" w:hAnsi="Times New Roman"/>
          <w:noProof w:val="0"/>
          <w:color w:val="000000"/>
          <w:sz w:val="22"/>
        </w:rPr>
        <w:t>&lt; 0.05.</w:t>
      </w:r>
    </w:p>
    <w:p w14:paraId="158E4294" w14:textId="77777777" w:rsidR="00FC3350" w:rsidRDefault="00FC3350" w:rsidP="00FC3350">
      <w:pPr>
        <w:pStyle w:val="EndNoteBibliography"/>
        <w:spacing w:line="480" w:lineRule="auto"/>
        <w:rPr>
          <w:rFonts w:ascii="Times New Roman" w:eastAsia="Arial Unicode MS" w:hAnsi="Times New Roman" w:cs="Times New Roman"/>
          <w:b/>
          <w:noProof w:val="0"/>
          <w:color w:val="000000"/>
          <w:sz w:val="22"/>
        </w:rPr>
      </w:pPr>
      <w:r>
        <w:rPr>
          <w:rFonts w:ascii="Times New Roman" w:eastAsia="Arial Unicode MS" w:hAnsi="Times New Roman" w:cs="Times New Roman"/>
          <w:b/>
          <w:color w:val="000000"/>
          <w:sz w:val="22"/>
        </w:rPr>
        <w:lastRenderedPageBreak/>
        <w:drawing>
          <wp:inline distT="0" distB="0" distL="0" distR="0" wp14:anchorId="0EC43E26" wp14:editId="1990DE3F">
            <wp:extent cx="5274945" cy="5950585"/>
            <wp:effectExtent l="0" t="0" r="1905" b="0"/>
            <wp:docPr id="2" name="图片 2" descr="C:\Users\Administrator\Desktop\二修 需要改声明和附加图\03_Jul_2020_28_Jun_2020_Fig_supl_2_revis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二修 需要改声明和附加图\03_Jul_2020_28_Jun_2020_Fig_supl_2_revised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595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CD686" w14:textId="77777777" w:rsidR="00FC3350" w:rsidRPr="00FC3350" w:rsidRDefault="00FC3350" w:rsidP="00FC3350">
      <w:pPr>
        <w:pStyle w:val="EndNoteBibliography"/>
        <w:spacing w:line="480" w:lineRule="auto"/>
        <w:rPr>
          <w:rFonts w:ascii="Times New Roman" w:eastAsia="Arial Unicode MS" w:hAnsi="Times New Roman"/>
          <w:noProof w:val="0"/>
          <w:color w:val="000000"/>
          <w:sz w:val="22"/>
        </w:rPr>
      </w:pPr>
      <w:r w:rsidRPr="001E019A">
        <w:rPr>
          <w:rFonts w:ascii="Times New Roman" w:eastAsia="Arial Unicode MS" w:hAnsi="Times New Roman" w:cs="Times New Roman"/>
          <w:b/>
          <w:noProof w:val="0"/>
          <w:color w:val="000000"/>
          <w:sz w:val="22"/>
        </w:rPr>
        <w:t xml:space="preserve">Supplementary Figure 2 The effects of overexpression of Notch1 on apoptosis, inflammation, and oxidative stress in HPMECs treated with CSE. </w:t>
      </w:r>
      <w:r w:rsidRPr="001E019A">
        <w:rPr>
          <w:rFonts w:ascii="Times New Roman" w:eastAsia="Arial Unicode MS" w:hAnsi="Times New Roman" w:cs="Times New Roman"/>
          <w:noProof w:val="0"/>
          <w:color w:val="000000"/>
          <w:sz w:val="22"/>
        </w:rPr>
        <w:t>(A) The overexpression efficiency of Notch1</w:t>
      </w:r>
      <w:r w:rsidRPr="001E019A">
        <w:rPr>
          <w:noProof w:val="0"/>
          <w:color w:val="000000"/>
        </w:rPr>
        <w:t xml:space="preserve"> </w:t>
      </w:r>
      <w:r w:rsidRPr="001E019A">
        <w:rPr>
          <w:rFonts w:ascii="Times New Roman" w:eastAsia="Arial Unicode MS" w:hAnsi="Times New Roman" w:cs="Times New Roman"/>
          <w:noProof w:val="0"/>
          <w:color w:val="000000"/>
          <w:sz w:val="22"/>
        </w:rPr>
        <w:t>vector was determined by western blot assay. (B-I) HPMECs were treated with vector, 2.5% CSE+vector, or 2.5% CSE+Notch1. (B) The flow cytometry assay was used to assess cell apoptosis. (C) The caspase-3 activity was shown in HPMECs. (D-E) The abundances of IL-6 and TNF-α</w:t>
      </w:r>
      <w:r w:rsidRPr="001E019A">
        <w:rPr>
          <w:rFonts w:ascii="Times New Roman" w:eastAsia="Arial Unicode MS" w:hAnsi="Times New Roman" w:cs="Times New Roman" w:hint="eastAsia"/>
          <w:noProof w:val="0"/>
          <w:color w:val="000000"/>
          <w:sz w:val="22"/>
        </w:rPr>
        <w:t xml:space="preserve"> </w:t>
      </w:r>
      <w:r w:rsidRPr="001E019A">
        <w:rPr>
          <w:rFonts w:ascii="Times New Roman" w:eastAsia="Arial Unicode MS" w:hAnsi="Times New Roman" w:cs="Times New Roman"/>
          <w:noProof w:val="0"/>
          <w:color w:val="000000"/>
          <w:sz w:val="22"/>
        </w:rPr>
        <w:t xml:space="preserve">in supernatant were shown. (F-I) ROS production, MDA </w:t>
      </w:r>
      <w:r w:rsidRPr="001E019A">
        <w:rPr>
          <w:rFonts w:ascii="Times New Roman" w:eastAsia="Arial Unicode MS" w:hAnsi="Times New Roman" w:cs="Times New Roman"/>
          <w:noProof w:val="0"/>
          <w:color w:val="000000"/>
          <w:sz w:val="22"/>
        </w:rPr>
        <w:lastRenderedPageBreak/>
        <w:t xml:space="preserve">level, SOD activity, and GSH/GSSG ratio were presented in HPMECs. Data shown are mean ± SD and from three independent experiments. </w:t>
      </w:r>
      <w:r w:rsidRPr="001E019A">
        <w:rPr>
          <w:rFonts w:ascii="Times New Roman" w:eastAsia="Arial Unicode MS" w:hAnsi="Times New Roman"/>
          <w:noProof w:val="0"/>
          <w:color w:val="000000"/>
          <w:sz w:val="22"/>
        </w:rPr>
        <w:t>*</w:t>
      </w:r>
      <w:r w:rsidRPr="001E019A">
        <w:rPr>
          <w:rFonts w:ascii="Times New Roman" w:eastAsia="Arial Unicode MS" w:hAnsi="Times New Roman"/>
          <w:i/>
          <w:noProof w:val="0"/>
          <w:color w:val="000000"/>
          <w:sz w:val="22"/>
        </w:rPr>
        <w:t xml:space="preserve">P </w:t>
      </w:r>
      <w:r w:rsidRPr="001E019A">
        <w:rPr>
          <w:rFonts w:ascii="Times New Roman" w:eastAsia="Arial Unicode MS" w:hAnsi="Times New Roman"/>
          <w:noProof w:val="0"/>
          <w:color w:val="000000"/>
          <w:sz w:val="22"/>
        </w:rPr>
        <w:t>&lt; 0.05.</w:t>
      </w:r>
      <w:bookmarkStart w:id="0" w:name="_GoBack"/>
      <w:bookmarkEnd w:id="0"/>
    </w:p>
    <w:p w14:paraId="54DE9358" w14:textId="77777777" w:rsidR="00C002BB" w:rsidRDefault="00C873D2"/>
    <w:sectPr w:rsidR="00C002BB" w:rsidSect="007922E0">
      <w:headerReference w:type="default" r:id="rId8"/>
      <w:footerReference w:type="default" r:id="rId9"/>
      <w:pgSz w:w="11906" w:h="16838" w:code="9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E6CAD5" w14:textId="77777777" w:rsidR="00C873D2" w:rsidRDefault="00C873D2">
      <w:r>
        <w:separator/>
      </w:r>
    </w:p>
  </w:endnote>
  <w:endnote w:type="continuationSeparator" w:id="0">
    <w:p w14:paraId="0A050E06" w14:textId="77777777" w:rsidR="00C873D2" w:rsidRDefault="00C8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232488"/>
      <w:docPartObj>
        <w:docPartGallery w:val="Page Numbers (Bottom of Page)"/>
        <w:docPartUnique/>
      </w:docPartObj>
    </w:sdtPr>
    <w:sdtEndPr/>
    <w:sdtContent>
      <w:p w14:paraId="710D73AE" w14:textId="77777777" w:rsidR="007922E0" w:rsidRDefault="00FC3350">
        <w:pPr>
          <w:pStyle w:val="a4"/>
          <w:jc w:val="center"/>
        </w:pPr>
        <w:r>
          <w:rPr>
            <w:noProof/>
            <w:lang w:val="zh-CN"/>
          </w:rPr>
          <w:fldChar w:fldCharType="begin"/>
        </w:r>
        <w:r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 w:rsidR="0023786A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14:paraId="2C1BD312" w14:textId="77777777" w:rsidR="007922E0" w:rsidRDefault="00C873D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75539F" w14:textId="77777777" w:rsidR="00C873D2" w:rsidRDefault="00C873D2">
      <w:r>
        <w:separator/>
      </w:r>
    </w:p>
  </w:footnote>
  <w:footnote w:type="continuationSeparator" w:id="0">
    <w:p w14:paraId="6C040043" w14:textId="77777777" w:rsidR="00C873D2" w:rsidRDefault="00C87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CEF1D" w14:textId="77777777" w:rsidR="00C14652" w:rsidRDefault="00C873D2" w:rsidP="00915CE9">
    <w:pPr>
      <w:pStyle w:val="a3"/>
      <w:pBdr>
        <w:bottom w:val="none" w:sz="0" w:space="0" w:color="auto"/>
      </w:pBdr>
      <w:ind w:left="360" w:hanging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CE"/>
    <w:rsid w:val="0023786A"/>
    <w:rsid w:val="006070CE"/>
    <w:rsid w:val="00612B2B"/>
    <w:rsid w:val="00C873D2"/>
    <w:rsid w:val="00FC3350"/>
    <w:rsid w:val="00FC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8305E"/>
  <w15:chartTrackingRefBased/>
  <w15:docId w15:val="{D1DE7ABA-47C8-4BC2-80D8-B415F1D8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350"/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33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335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335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3350"/>
    <w:rPr>
      <w:rFonts w:ascii="Calibri" w:eastAsia="宋体" w:hAnsi="Calibri" w:cs="Times New Roman"/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FC3350"/>
    <w:rPr>
      <w:rFonts w:cs="Calibri"/>
      <w:noProof/>
      <w:sz w:val="20"/>
    </w:rPr>
  </w:style>
  <w:style w:type="character" w:customStyle="1" w:styleId="EndNoteBibliographyChar">
    <w:name w:val="EndNote Bibliography Char"/>
    <w:link w:val="EndNoteBibliography"/>
    <w:rsid w:val="00FC3350"/>
    <w:rPr>
      <w:rFonts w:ascii="Calibri" w:eastAsia="宋体" w:hAnsi="Calibri" w:cs="Calibri"/>
      <w:noProof/>
      <w:sz w:val="20"/>
    </w:rPr>
  </w:style>
  <w:style w:type="character" w:styleId="a5">
    <w:name w:val="annotation reference"/>
    <w:uiPriority w:val="99"/>
    <w:semiHidden/>
    <w:unhideWhenUsed/>
    <w:rsid w:val="00FC3350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FC3350"/>
  </w:style>
  <w:style w:type="character" w:customStyle="1" w:styleId="Char1">
    <w:name w:val="批注文字 Char"/>
    <w:basedOn w:val="a0"/>
    <w:link w:val="a6"/>
    <w:uiPriority w:val="99"/>
    <w:semiHidden/>
    <w:rsid w:val="00FC3350"/>
    <w:rPr>
      <w:rFonts w:ascii="Calibri" w:eastAsia="宋体" w:hAnsi="Calibri" w:cs="Times New Roman"/>
    </w:rPr>
  </w:style>
  <w:style w:type="paragraph" w:styleId="a7">
    <w:name w:val="Balloon Text"/>
    <w:basedOn w:val="a"/>
    <w:link w:val="Char2"/>
    <w:uiPriority w:val="99"/>
    <w:semiHidden/>
    <w:unhideWhenUsed/>
    <w:rsid w:val="00FC335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FC3350"/>
    <w:rPr>
      <w:rFonts w:ascii="Calibri" w:eastAsia="宋体" w:hAnsi="Calibri" w:cs="Times New Roman"/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FC3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185</Words>
  <Characters>1055</Characters>
  <Application>Microsoft Office Word</Application>
  <DocSecurity>0</DocSecurity>
  <Lines>8</Lines>
  <Paragraphs>2</Paragraphs>
  <ScaleCrop>false</ScaleCrop>
  <Company>Microsoft</Company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2020-07-03T06:29:00Z</dcterms:created>
  <dcterms:modified xsi:type="dcterms:W3CDTF">2020-07-03T06:36:00Z</dcterms:modified>
</cp:coreProperties>
</file>