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30" w:rsidRPr="0066616E" w:rsidRDefault="008957C0" w:rsidP="00F55830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Appendix A</w:t>
      </w:r>
      <w:r w:rsidR="00F55830" w:rsidRPr="0066616E">
        <w:rPr>
          <w:rFonts w:asciiTheme="minorHAnsi" w:hAnsiTheme="minorHAnsi" w:cstheme="minorHAnsi"/>
          <w:color w:val="000000" w:themeColor="text1"/>
        </w:rPr>
        <w:t xml:space="preserve">: The World health organization-Uppsala monitoring center causality assessment </w:t>
      </w:r>
      <w:proofErr w:type="gramStart"/>
      <w:r w:rsidR="00F55830" w:rsidRPr="0066616E">
        <w:rPr>
          <w:rFonts w:asciiTheme="minorHAnsi" w:hAnsiTheme="minorHAnsi" w:cstheme="minorHAnsi"/>
          <w:color w:val="000000" w:themeColor="text1"/>
        </w:rPr>
        <w:t>scale</w:t>
      </w:r>
      <w:r w:rsidR="000F50C8">
        <w:rPr>
          <w:rFonts w:asciiTheme="minorHAnsi" w:hAnsiTheme="minorHAnsi" w:cstheme="minorHAnsi"/>
          <w:color w:val="000000" w:themeColor="text1"/>
          <w:vertAlign w:val="superscript"/>
        </w:rPr>
        <w:t>[</w:t>
      </w:r>
      <w:proofErr w:type="gramEnd"/>
      <w:r w:rsidR="000F50C8">
        <w:rPr>
          <w:rFonts w:asciiTheme="minorHAnsi" w:hAnsiTheme="minorHAnsi" w:cstheme="minorHAnsi"/>
          <w:color w:val="000000" w:themeColor="text1"/>
          <w:vertAlign w:val="superscript"/>
        </w:rPr>
        <w:t>38</w:t>
      </w:r>
      <w:r w:rsidR="0024304C" w:rsidRPr="00917CD4">
        <w:rPr>
          <w:rFonts w:asciiTheme="minorHAnsi" w:hAnsiTheme="minorHAnsi" w:cstheme="minorHAnsi"/>
          <w:color w:val="000000" w:themeColor="text1"/>
          <w:vertAlign w:val="superscript"/>
        </w:rPr>
        <w:t>]</w:t>
      </w:r>
      <w:r w:rsidR="00F55830" w:rsidRPr="0066616E"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Style w:val="TableGrid"/>
        <w:tblW w:w="94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7323"/>
      </w:tblGrid>
      <w:tr w:rsidR="00F55830" w:rsidRPr="0066616E" w:rsidTr="00D12826">
        <w:trPr>
          <w:trHeight w:val="238"/>
        </w:trPr>
        <w:tc>
          <w:tcPr>
            <w:tcW w:w="2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14406861"/>
            <w:bookmarkStart w:id="1" w:name="_Toc14424559"/>
            <w:bookmarkStart w:id="2" w:name="_Toc15543354"/>
            <w:bookmarkStart w:id="3" w:name="_Toc24364964"/>
            <w:bookmarkStart w:id="4" w:name="_Toc31659158"/>
            <w:bookmarkStart w:id="5" w:name="_Toc31666214"/>
            <w:bookmarkStart w:id="6" w:name="_Toc31682559"/>
            <w:r w:rsidRPr="0066616E">
              <w:rPr>
                <w:rFonts w:asciiTheme="minorHAnsi" w:hAnsiTheme="minorHAnsi" w:cstheme="minorHAnsi"/>
                <w:sz w:val="24"/>
                <w:szCs w:val="24"/>
              </w:rPr>
              <w:t>Causality term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73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7" w:name="_Toc24364965"/>
            <w:bookmarkStart w:id="8" w:name="_Toc14406862"/>
            <w:bookmarkStart w:id="9" w:name="_Toc14424560"/>
            <w:bookmarkStart w:id="10" w:name="_Toc15543355"/>
            <w:bookmarkStart w:id="11" w:name="_Toc31659159"/>
            <w:bookmarkStart w:id="12" w:name="_Toc31666215"/>
            <w:bookmarkStart w:id="13" w:name="_Toc31682560"/>
            <w:r w:rsidRPr="0066616E">
              <w:rPr>
                <w:rFonts w:asciiTheme="minorHAnsi" w:hAnsiTheme="minorHAnsi" w:cstheme="minorHAnsi"/>
                <w:sz w:val="24"/>
                <w:szCs w:val="24"/>
              </w:rPr>
              <w:t>Assessment criteria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F55830" w:rsidRPr="0066616E" w:rsidTr="00D12826">
        <w:trPr>
          <w:trHeight w:val="2092"/>
        </w:trPr>
        <w:tc>
          <w:tcPr>
            <w:tcW w:w="2135" w:type="dxa"/>
            <w:tcBorders>
              <w:top w:val="single" w:sz="4" w:space="0" w:color="000000" w:themeColor="text1"/>
            </w:tcBorders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4" w:name="_Toc14406863"/>
            <w:bookmarkStart w:id="15" w:name="_Toc14424561"/>
            <w:bookmarkStart w:id="16" w:name="_Toc15543356"/>
            <w:bookmarkStart w:id="17" w:name="_Toc24364966"/>
            <w:bookmarkStart w:id="18" w:name="_Toc31659160"/>
            <w:bookmarkStart w:id="19" w:name="_Toc31666216"/>
            <w:bookmarkStart w:id="20" w:name="_Toc31682561"/>
            <w:r w:rsidRPr="0066616E">
              <w:rPr>
                <w:rFonts w:asciiTheme="minorHAnsi" w:hAnsiTheme="minorHAnsi" w:cstheme="minorHAnsi"/>
                <w:sz w:val="24"/>
                <w:szCs w:val="24"/>
              </w:rPr>
              <w:t>Certain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7323" w:type="dxa"/>
            <w:tcBorders>
              <w:top w:val="single" w:sz="4" w:space="0" w:color="000000" w:themeColor="text1"/>
            </w:tcBorders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bookmarkStart w:id="21" w:name="_Toc14406864"/>
            <w:bookmarkStart w:id="22" w:name="_Toc14424562"/>
            <w:bookmarkStart w:id="23" w:name="_Toc15543357"/>
            <w:bookmarkStart w:id="24" w:name="_Toc24364967"/>
            <w:bookmarkStart w:id="25" w:name="_Toc31659161"/>
            <w:bookmarkStart w:id="26" w:name="_Toc31666217"/>
            <w:bookmarkStart w:id="27" w:name="_Toc31682562"/>
            <w:r w:rsidRPr="0066616E">
              <w:rPr>
                <w:rFonts w:asciiTheme="minorHAnsi" w:hAnsiTheme="minorHAnsi" w:cstheme="minorHAnsi"/>
                <w:b w:val="0"/>
                <w:sz w:val="24"/>
                <w:szCs w:val="24"/>
              </w:rPr>
              <w:t>Event or laboratory abnormality with plausible time relationship to drug intake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 w:rsidR="00F55830" w:rsidRPr="0066616E" w:rsidRDefault="00F55830" w:rsidP="00D12826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4"/>
                <w:szCs w:val="24"/>
              </w:rPr>
              <w:t>Cannot be explained  by other drug or disease</w:t>
            </w:r>
          </w:p>
          <w:p w:rsidR="00F55830" w:rsidRPr="0066616E" w:rsidRDefault="00F55830" w:rsidP="00D12826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4"/>
                <w:szCs w:val="24"/>
              </w:rPr>
              <w:t xml:space="preserve">Response to withdrawal plausible </w:t>
            </w:r>
          </w:p>
          <w:p w:rsidR="00F55830" w:rsidRPr="0066616E" w:rsidRDefault="00F55830" w:rsidP="00D12826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4"/>
                <w:szCs w:val="24"/>
              </w:rPr>
              <w:t xml:space="preserve">Event definitive pharmacologically </w:t>
            </w:r>
          </w:p>
        </w:tc>
      </w:tr>
      <w:tr w:rsidR="00F55830" w:rsidRPr="0066616E" w:rsidTr="00D12826">
        <w:trPr>
          <w:trHeight w:val="1753"/>
        </w:trPr>
        <w:tc>
          <w:tcPr>
            <w:tcW w:w="2135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8" w:name="_Toc14406865"/>
            <w:bookmarkStart w:id="29" w:name="_Toc14424563"/>
            <w:bookmarkStart w:id="30" w:name="_Toc15543358"/>
            <w:bookmarkStart w:id="31" w:name="_Toc24364968"/>
            <w:bookmarkStart w:id="32" w:name="_Toc31659162"/>
            <w:bookmarkStart w:id="33" w:name="_Toc31666218"/>
            <w:bookmarkStart w:id="34" w:name="_Toc31682563"/>
            <w:r w:rsidRPr="0066616E">
              <w:rPr>
                <w:rFonts w:asciiTheme="minorHAnsi" w:hAnsiTheme="minorHAnsi" w:cstheme="minorHAnsi"/>
                <w:sz w:val="24"/>
                <w:szCs w:val="24"/>
              </w:rPr>
              <w:t>Probable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7323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bookmarkStart w:id="35" w:name="_Toc14406866"/>
            <w:bookmarkStart w:id="36" w:name="_Toc14424564"/>
            <w:bookmarkStart w:id="37" w:name="_Toc15543359"/>
            <w:bookmarkStart w:id="38" w:name="_Toc24364969"/>
            <w:bookmarkStart w:id="39" w:name="_Toc31659163"/>
            <w:bookmarkStart w:id="40" w:name="_Toc31666219"/>
            <w:bookmarkStart w:id="41" w:name="_Toc31682564"/>
            <w:r w:rsidRPr="0066616E">
              <w:rPr>
                <w:rFonts w:asciiTheme="minorHAnsi" w:hAnsiTheme="minorHAnsi" w:cstheme="minorHAnsi"/>
                <w:b w:val="0"/>
                <w:sz w:val="24"/>
                <w:szCs w:val="24"/>
              </w:rPr>
              <w:t>Event or laboratory abnormality with plausible time relationship to drug intake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:rsidR="00F55830" w:rsidRPr="0066616E" w:rsidRDefault="00F55830" w:rsidP="00D12826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4"/>
                <w:szCs w:val="24"/>
              </w:rPr>
              <w:t>Unlikely to attributed to disease or other drugs</w:t>
            </w:r>
          </w:p>
          <w:p w:rsidR="00F55830" w:rsidRPr="0066616E" w:rsidRDefault="00F55830" w:rsidP="00D12826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4"/>
                <w:szCs w:val="24"/>
              </w:rPr>
              <w:t xml:space="preserve">Response to withdrawal clinically reasonable </w:t>
            </w:r>
          </w:p>
        </w:tc>
      </w:tr>
      <w:tr w:rsidR="00F55830" w:rsidRPr="0066616E" w:rsidTr="00D12826">
        <w:trPr>
          <w:trHeight w:val="1403"/>
        </w:trPr>
        <w:tc>
          <w:tcPr>
            <w:tcW w:w="2135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2" w:name="_Toc14406867"/>
            <w:bookmarkStart w:id="43" w:name="_Toc14424565"/>
            <w:bookmarkStart w:id="44" w:name="_Toc15543360"/>
            <w:bookmarkStart w:id="45" w:name="_Toc24364970"/>
            <w:bookmarkStart w:id="46" w:name="_Toc31659164"/>
            <w:bookmarkStart w:id="47" w:name="_Toc31666220"/>
            <w:bookmarkStart w:id="48" w:name="_Toc31682565"/>
            <w:r w:rsidRPr="0066616E">
              <w:rPr>
                <w:rFonts w:asciiTheme="minorHAnsi" w:hAnsiTheme="minorHAnsi" w:cstheme="minorHAnsi"/>
                <w:sz w:val="24"/>
                <w:szCs w:val="24"/>
              </w:rPr>
              <w:t>Possible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</w:tc>
        <w:tc>
          <w:tcPr>
            <w:tcW w:w="7323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bookmarkStart w:id="49" w:name="_Toc14406868"/>
            <w:bookmarkStart w:id="50" w:name="_Toc14424566"/>
            <w:bookmarkStart w:id="51" w:name="_Toc15543361"/>
            <w:bookmarkStart w:id="52" w:name="_Toc24364971"/>
            <w:bookmarkStart w:id="53" w:name="_Toc31659165"/>
            <w:bookmarkStart w:id="54" w:name="_Toc31666221"/>
            <w:bookmarkStart w:id="55" w:name="_Toc31682566"/>
            <w:r w:rsidRPr="0066616E">
              <w:rPr>
                <w:rFonts w:asciiTheme="minorHAnsi" w:hAnsiTheme="minorHAnsi" w:cstheme="minorHAnsi"/>
                <w:b w:val="0"/>
                <w:sz w:val="24"/>
                <w:szCs w:val="24"/>
              </w:rPr>
              <w:t>Event or laboratory abnormality with plausible time relationship to drug intake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</w:p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bookmarkStart w:id="56" w:name="_Toc14406869"/>
            <w:bookmarkStart w:id="57" w:name="_Toc14424567"/>
            <w:bookmarkStart w:id="58" w:name="_Toc15543362"/>
            <w:bookmarkStart w:id="59" w:name="_Toc24364972"/>
            <w:bookmarkStart w:id="60" w:name="_Toc31659166"/>
            <w:bookmarkStart w:id="61" w:name="_Toc31666222"/>
            <w:bookmarkStart w:id="62" w:name="_Toc31682567"/>
            <w:r w:rsidRPr="0066616E">
              <w:rPr>
                <w:rFonts w:asciiTheme="minorHAnsi" w:hAnsiTheme="minorHAnsi" w:cstheme="minorHAnsi"/>
                <w:b w:val="0"/>
                <w:sz w:val="24"/>
                <w:szCs w:val="24"/>
              </w:rPr>
              <w:t>Could also be explained by disease or other drug</w:t>
            </w:r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  <w:p w:rsidR="00F55830" w:rsidRPr="0066616E" w:rsidRDefault="00F55830" w:rsidP="00D12826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4"/>
                <w:szCs w:val="24"/>
              </w:rPr>
              <w:t>Information on drug  withdrawal may be lacking or unclear</w:t>
            </w:r>
          </w:p>
        </w:tc>
      </w:tr>
      <w:tr w:rsidR="00F55830" w:rsidRPr="0066616E" w:rsidTr="00D12826">
        <w:trPr>
          <w:trHeight w:val="116"/>
        </w:trPr>
        <w:tc>
          <w:tcPr>
            <w:tcW w:w="2135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3" w:name="_Toc14406870"/>
            <w:bookmarkStart w:id="64" w:name="_Toc14424568"/>
            <w:bookmarkStart w:id="65" w:name="_Toc15543363"/>
            <w:bookmarkStart w:id="66" w:name="_Toc24364973"/>
            <w:bookmarkStart w:id="67" w:name="_Toc31659167"/>
            <w:bookmarkStart w:id="68" w:name="_Toc31666223"/>
            <w:bookmarkStart w:id="69" w:name="_Toc31682568"/>
            <w:r w:rsidRPr="0066616E">
              <w:rPr>
                <w:rFonts w:asciiTheme="minorHAnsi" w:hAnsiTheme="minorHAnsi" w:cstheme="minorHAnsi"/>
                <w:sz w:val="24"/>
                <w:szCs w:val="24"/>
              </w:rPr>
              <w:t>Unlikely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7323" w:type="dxa"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bookmarkStart w:id="70" w:name="_Toc31659168"/>
            <w:bookmarkStart w:id="71" w:name="_Toc31666224"/>
            <w:bookmarkStart w:id="72" w:name="_Toc31682569"/>
            <w:bookmarkStart w:id="73" w:name="_Toc14406871"/>
            <w:bookmarkStart w:id="74" w:name="_Toc14424569"/>
            <w:bookmarkStart w:id="75" w:name="_Toc15543364"/>
            <w:bookmarkStart w:id="76" w:name="_Toc24364974"/>
            <w:r w:rsidRPr="0066616E">
              <w:rPr>
                <w:rFonts w:asciiTheme="minorHAnsi" w:hAnsiTheme="minorHAnsi" w:cstheme="minorHAnsi"/>
                <w:b w:val="0"/>
                <w:sz w:val="24"/>
                <w:szCs w:val="24"/>
              </w:rPr>
              <w:t>Event or laboratory abnormality with plausible time relationship to drug intake that makes a relationship improbable</w:t>
            </w:r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  <w:p w:rsidR="00F55830" w:rsidRPr="0066616E" w:rsidRDefault="00F55830" w:rsidP="00D12826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4"/>
                <w:szCs w:val="24"/>
              </w:rPr>
              <w:t>Disease or other drug provide  plausible explanation</w:t>
            </w:r>
          </w:p>
        </w:tc>
      </w:tr>
    </w:tbl>
    <w:p w:rsidR="00F55830" w:rsidRDefault="00F55830" w:rsidP="00F55830">
      <w:pPr>
        <w:pStyle w:val="Caption"/>
        <w:spacing w:after="0" w:line="360" w:lineRule="auto"/>
        <w:jc w:val="both"/>
        <w:rPr>
          <w:rFonts w:cstheme="minorHAnsi"/>
          <w:bCs w:val="0"/>
          <w:color w:val="000000" w:themeColor="text1"/>
          <w:sz w:val="22"/>
          <w:szCs w:val="24"/>
        </w:rPr>
      </w:pPr>
      <w:bookmarkStart w:id="77" w:name="_Toc15543365"/>
      <w:bookmarkStart w:id="78" w:name="_Toc14424570"/>
      <w:bookmarkStart w:id="79" w:name="_Toc14406872"/>
      <w:bookmarkStart w:id="80" w:name="_Toc24364012"/>
    </w:p>
    <w:p w:rsidR="00F55830" w:rsidRDefault="00F55830" w:rsidP="00F55830">
      <w:pPr>
        <w:pStyle w:val="Caption"/>
        <w:spacing w:after="0" w:line="360" w:lineRule="auto"/>
        <w:jc w:val="both"/>
        <w:rPr>
          <w:rFonts w:cstheme="minorHAnsi"/>
          <w:bCs w:val="0"/>
          <w:color w:val="000000" w:themeColor="text1"/>
          <w:sz w:val="22"/>
          <w:szCs w:val="24"/>
        </w:rPr>
      </w:pPr>
    </w:p>
    <w:p w:rsidR="000A36FD" w:rsidRDefault="000A36FD" w:rsidP="000A36FD"/>
    <w:p w:rsidR="00727F7D" w:rsidRDefault="00727F7D" w:rsidP="000A36FD"/>
    <w:p w:rsidR="00727F7D" w:rsidRPr="000A36FD" w:rsidRDefault="00727F7D" w:rsidP="000A36FD"/>
    <w:p w:rsidR="008957C0" w:rsidRDefault="008957C0" w:rsidP="008957C0"/>
    <w:p w:rsidR="008957C0" w:rsidRDefault="008957C0" w:rsidP="008957C0"/>
    <w:p w:rsidR="008957C0" w:rsidRDefault="008957C0" w:rsidP="008957C0"/>
    <w:p w:rsidR="00F55830" w:rsidRPr="0066616E" w:rsidRDefault="008957C0" w:rsidP="00F55830">
      <w:pPr>
        <w:pStyle w:val="Caption"/>
        <w:spacing w:after="0" w:line="360" w:lineRule="auto"/>
        <w:jc w:val="both"/>
        <w:rPr>
          <w:rFonts w:cstheme="minorHAnsi"/>
          <w:color w:val="000000" w:themeColor="text1"/>
          <w:sz w:val="22"/>
          <w:szCs w:val="24"/>
        </w:rPr>
      </w:pPr>
      <w:r>
        <w:rPr>
          <w:rFonts w:cstheme="minorHAnsi"/>
          <w:bCs w:val="0"/>
          <w:color w:val="000000" w:themeColor="text1"/>
          <w:sz w:val="22"/>
          <w:szCs w:val="24"/>
        </w:rPr>
        <w:lastRenderedPageBreak/>
        <w:t>Appendix B</w:t>
      </w:r>
      <w:proofErr w:type="gramStart"/>
      <w:r w:rsidR="00F55830" w:rsidRPr="0066616E">
        <w:rPr>
          <w:rFonts w:cstheme="minorHAnsi"/>
          <w:bCs w:val="0"/>
          <w:color w:val="000000" w:themeColor="text1"/>
          <w:sz w:val="22"/>
          <w:szCs w:val="24"/>
        </w:rPr>
        <w:t>:</w:t>
      </w:r>
      <w:r w:rsidR="00F55830" w:rsidRPr="0066616E">
        <w:rPr>
          <w:rFonts w:cstheme="minorHAnsi"/>
          <w:b w:val="0"/>
          <w:color w:val="000000" w:themeColor="text1"/>
          <w:sz w:val="22"/>
          <w:szCs w:val="24"/>
        </w:rPr>
        <w:t>Hartwig’s</w:t>
      </w:r>
      <w:proofErr w:type="gramEnd"/>
      <w:r w:rsidR="00F55830" w:rsidRPr="0066616E">
        <w:rPr>
          <w:rFonts w:cstheme="minorHAnsi"/>
          <w:b w:val="0"/>
          <w:color w:val="000000" w:themeColor="text1"/>
          <w:sz w:val="22"/>
          <w:szCs w:val="24"/>
        </w:rPr>
        <w:t xml:space="preserve"> Severity Assessment Scale</w:t>
      </w:r>
      <w:bookmarkEnd w:id="77"/>
      <w:bookmarkEnd w:id="78"/>
      <w:bookmarkEnd w:id="79"/>
      <w:bookmarkEnd w:id="80"/>
      <w:r w:rsidR="000F50C8">
        <w:rPr>
          <w:rFonts w:cstheme="minorHAnsi"/>
          <w:b w:val="0"/>
          <w:color w:val="000000" w:themeColor="text1"/>
          <w:sz w:val="22"/>
          <w:szCs w:val="24"/>
          <w:vertAlign w:val="superscript"/>
        </w:rPr>
        <w:t>[39</w:t>
      </w:r>
      <w:r w:rsidR="0024304C" w:rsidRPr="00917CD4">
        <w:rPr>
          <w:rFonts w:cstheme="minorHAnsi"/>
          <w:b w:val="0"/>
          <w:color w:val="000000" w:themeColor="text1"/>
          <w:sz w:val="22"/>
          <w:szCs w:val="24"/>
          <w:vertAlign w:val="superscript"/>
        </w:rPr>
        <w:t>]</w:t>
      </w:r>
    </w:p>
    <w:tbl>
      <w:tblPr>
        <w:tblStyle w:val="TableGrid"/>
        <w:tblW w:w="98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100"/>
      </w:tblGrid>
      <w:tr w:rsidR="00F55830" w:rsidRPr="0066616E" w:rsidTr="00D12826">
        <w:tc>
          <w:tcPr>
            <w:tcW w:w="1728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81" w:name="_Toc14406873"/>
            <w:bookmarkStart w:id="82" w:name="_Toc14424571"/>
            <w:bookmarkStart w:id="83" w:name="_Toc15543366"/>
            <w:bookmarkStart w:id="84" w:name="_Toc24364975"/>
            <w:bookmarkStart w:id="85" w:name="_Toc31659169"/>
            <w:bookmarkStart w:id="86" w:name="_Toc31666225"/>
            <w:bookmarkStart w:id="87" w:name="_Toc31682570"/>
            <w:r w:rsidRPr="0066616E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</w:rPr>
              <w:t>Level 1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</w:p>
        </w:tc>
        <w:tc>
          <w:tcPr>
            <w:tcW w:w="8100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88" w:name="_Toc14406874"/>
            <w:bookmarkStart w:id="89" w:name="_Toc14424572"/>
            <w:bookmarkStart w:id="90" w:name="_Toc15543367"/>
            <w:bookmarkStart w:id="91" w:name="_Toc24364976"/>
            <w:bookmarkStart w:id="92" w:name="_Toc31659170"/>
            <w:bookmarkStart w:id="93" w:name="_Toc31666226"/>
            <w:bookmarkStart w:id="94" w:name="_Toc31682571"/>
            <w:r w:rsidRPr="0066616E">
              <w:rPr>
                <w:rFonts w:asciiTheme="minorHAnsi" w:hAnsiTheme="minorHAnsi" w:cstheme="minorHAnsi"/>
                <w:b w:val="0"/>
                <w:sz w:val="22"/>
                <w:szCs w:val="24"/>
              </w:rPr>
              <w:t>An ADR occurred but required no change in treatment with the suspected drug.</w:t>
            </w:r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</w:p>
        </w:tc>
      </w:tr>
      <w:tr w:rsidR="00F55830" w:rsidRPr="0066616E" w:rsidTr="00D12826">
        <w:tc>
          <w:tcPr>
            <w:tcW w:w="1728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95" w:name="_Toc14406875"/>
            <w:bookmarkStart w:id="96" w:name="_Toc14424573"/>
            <w:bookmarkStart w:id="97" w:name="_Toc15543368"/>
            <w:bookmarkStart w:id="98" w:name="_Toc24364977"/>
            <w:bookmarkStart w:id="99" w:name="_Toc31659171"/>
            <w:bookmarkStart w:id="100" w:name="_Toc31666227"/>
            <w:bookmarkStart w:id="101" w:name="_Toc31682572"/>
            <w:r w:rsidRPr="0066616E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</w:rPr>
              <w:t>Level 2</w:t>
            </w:r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</w:p>
        </w:tc>
        <w:tc>
          <w:tcPr>
            <w:tcW w:w="8100" w:type="dxa"/>
            <w:hideMark/>
          </w:tcPr>
          <w:p w:rsidR="00F55830" w:rsidRPr="0066616E" w:rsidRDefault="00F55830" w:rsidP="00D128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 w:themeColor="text1"/>
                <w:sz w:val="22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2"/>
                <w:szCs w:val="24"/>
              </w:rPr>
              <w:t>The ADR required that treatment with the suspected drug be held, discontinued, or otherwise changed. No antidote or other treatment requirement was required. No increase in length of stay</w:t>
            </w:r>
          </w:p>
        </w:tc>
      </w:tr>
      <w:tr w:rsidR="00F55830" w:rsidRPr="0066616E" w:rsidTr="00D12826">
        <w:tc>
          <w:tcPr>
            <w:tcW w:w="1728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102" w:name="_Toc14406876"/>
            <w:bookmarkStart w:id="103" w:name="_Toc14424574"/>
            <w:bookmarkStart w:id="104" w:name="_Toc15543369"/>
            <w:bookmarkStart w:id="105" w:name="_Toc24364978"/>
            <w:bookmarkStart w:id="106" w:name="_Toc31659172"/>
            <w:bookmarkStart w:id="107" w:name="_Toc31666228"/>
            <w:bookmarkStart w:id="108" w:name="_Toc31682573"/>
            <w:r w:rsidRPr="0066616E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</w:rPr>
              <w:t>Level 3</w:t>
            </w:r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  <w:tc>
          <w:tcPr>
            <w:tcW w:w="8100" w:type="dxa"/>
            <w:hideMark/>
          </w:tcPr>
          <w:p w:rsidR="00F55830" w:rsidRPr="0066616E" w:rsidRDefault="00F55830" w:rsidP="00D128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 w:themeColor="text1"/>
                <w:sz w:val="22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2"/>
                <w:szCs w:val="24"/>
              </w:rPr>
              <w:t xml:space="preserve">The ADR required that treatment with the suspected drug be held, discontinued, or otherwise changed. </w:t>
            </w:r>
            <w:bookmarkStart w:id="109" w:name="_Toc14406877"/>
            <w:bookmarkStart w:id="110" w:name="_Toc14424575"/>
            <w:r w:rsidRPr="0066616E">
              <w:rPr>
                <w:rFonts w:cstheme="minorHAnsi"/>
                <w:color w:val="000000" w:themeColor="text1"/>
                <w:sz w:val="22"/>
                <w:szCs w:val="24"/>
              </w:rPr>
              <w:t xml:space="preserve">And/or An Antidote or other treatment was required. No increase in length of stay </w:t>
            </w:r>
            <w:bookmarkEnd w:id="109"/>
            <w:bookmarkEnd w:id="110"/>
          </w:p>
        </w:tc>
      </w:tr>
      <w:tr w:rsidR="00F55830" w:rsidRPr="0066616E" w:rsidTr="00D12826">
        <w:tc>
          <w:tcPr>
            <w:tcW w:w="1728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111" w:name="_Toc14406878"/>
            <w:bookmarkStart w:id="112" w:name="_Toc14424576"/>
            <w:bookmarkStart w:id="113" w:name="_Toc15543370"/>
            <w:bookmarkStart w:id="114" w:name="_Toc24364979"/>
            <w:bookmarkStart w:id="115" w:name="_Toc31659173"/>
            <w:bookmarkStart w:id="116" w:name="_Toc31666229"/>
            <w:bookmarkStart w:id="117" w:name="_Toc31682574"/>
            <w:r w:rsidRPr="0066616E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</w:rPr>
              <w:t>Level 4</w:t>
            </w:r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</w:p>
        </w:tc>
        <w:tc>
          <w:tcPr>
            <w:tcW w:w="8100" w:type="dxa"/>
            <w:hideMark/>
          </w:tcPr>
          <w:p w:rsidR="00F55830" w:rsidRPr="0066616E" w:rsidRDefault="00F55830" w:rsidP="00D128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 w:themeColor="text1"/>
                <w:sz w:val="22"/>
                <w:szCs w:val="24"/>
              </w:rPr>
            </w:pPr>
            <w:r w:rsidRPr="0066616E">
              <w:rPr>
                <w:rFonts w:cstheme="minorHAnsi"/>
                <w:color w:val="000000" w:themeColor="text1"/>
                <w:sz w:val="22"/>
                <w:szCs w:val="24"/>
              </w:rPr>
              <w:t>Any level 3 ADR which increases length of stay</w:t>
            </w:r>
            <w:bookmarkStart w:id="118" w:name="_Toc14406879"/>
            <w:bookmarkStart w:id="119" w:name="_Toc14424577"/>
            <w:r w:rsidRPr="0066616E">
              <w:rPr>
                <w:rFonts w:cstheme="minorHAnsi"/>
                <w:color w:val="000000" w:themeColor="text1"/>
                <w:sz w:val="22"/>
                <w:szCs w:val="24"/>
              </w:rPr>
              <w:t xml:space="preserve"> by at least 1 day. Or The ADR was the reason for the admission</w:t>
            </w:r>
            <w:bookmarkEnd w:id="118"/>
            <w:bookmarkEnd w:id="119"/>
          </w:p>
        </w:tc>
      </w:tr>
      <w:tr w:rsidR="00F55830" w:rsidRPr="0066616E" w:rsidTr="00D12826">
        <w:tc>
          <w:tcPr>
            <w:tcW w:w="1728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120" w:name="_Toc14406880"/>
            <w:bookmarkStart w:id="121" w:name="_Toc14424578"/>
            <w:bookmarkStart w:id="122" w:name="_Toc15543371"/>
            <w:bookmarkStart w:id="123" w:name="_Toc24364980"/>
            <w:bookmarkStart w:id="124" w:name="_Toc31659174"/>
            <w:bookmarkStart w:id="125" w:name="_Toc31666230"/>
            <w:bookmarkStart w:id="126" w:name="_Toc31682575"/>
            <w:r w:rsidRPr="0066616E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</w:rPr>
              <w:t>Level 5</w:t>
            </w:r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</w:p>
        </w:tc>
        <w:tc>
          <w:tcPr>
            <w:tcW w:w="8100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127" w:name="_Toc14406881"/>
            <w:bookmarkStart w:id="128" w:name="_Toc14424579"/>
            <w:bookmarkStart w:id="129" w:name="_Toc15543372"/>
            <w:bookmarkStart w:id="130" w:name="_Toc24364981"/>
            <w:bookmarkStart w:id="131" w:name="_Toc31659175"/>
            <w:bookmarkStart w:id="132" w:name="_Toc31666231"/>
            <w:bookmarkStart w:id="133" w:name="_Toc31682576"/>
            <w:r w:rsidRPr="0066616E">
              <w:rPr>
                <w:rFonts w:asciiTheme="minorHAnsi" w:hAnsiTheme="minorHAnsi" w:cstheme="minorHAnsi"/>
                <w:b w:val="0"/>
                <w:sz w:val="22"/>
                <w:szCs w:val="24"/>
              </w:rPr>
              <w:t>Any level 4 ADR which requires intensive medical care</w:t>
            </w:r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</w:p>
        </w:tc>
      </w:tr>
      <w:tr w:rsidR="00F55830" w:rsidRPr="0066616E" w:rsidTr="00D12826">
        <w:tc>
          <w:tcPr>
            <w:tcW w:w="1728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134" w:name="_Toc14406882"/>
            <w:bookmarkStart w:id="135" w:name="_Toc14424580"/>
            <w:bookmarkStart w:id="136" w:name="_Toc15543373"/>
            <w:bookmarkStart w:id="137" w:name="_Toc24364982"/>
            <w:bookmarkStart w:id="138" w:name="_Toc31659176"/>
            <w:bookmarkStart w:id="139" w:name="_Toc31666232"/>
            <w:bookmarkStart w:id="140" w:name="_Toc31682577"/>
            <w:r w:rsidRPr="0066616E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</w:rPr>
              <w:t>Level 6</w:t>
            </w:r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</w:p>
        </w:tc>
        <w:tc>
          <w:tcPr>
            <w:tcW w:w="8100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141" w:name="_Toc14406883"/>
            <w:bookmarkStart w:id="142" w:name="_Toc14424581"/>
            <w:bookmarkStart w:id="143" w:name="_Toc15543374"/>
            <w:bookmarkStart w:id="144" w:name="_Toc24364983"/>
            <w:bookmarkStart w:id="145" w:name="_Toc31659177"/>
            <w:bookmarkStart w:id="146" w:name="_Toc31666233"/>
            <w:bookmarkStart w:id="147" w:name="_Toc31682578"/>
            <w:r w:rsidRPr="0066616E">
              <w:rPr>
                <w:rFonts w:asciiTheme="minorHAnsi" w:hAnsiTheme="minorHAnsi" w:cstheme="minorHAnsi"/>
                <w:b w:val="0"/>
                <w:sz w:val="22"/>
                <w:szCs w:val="24"/>
              </w:rPr>
              <w:t>The adverse reaction caused permanent harm to the patient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</w:p>
        </w:tc>
      </w:tr>
      <w:tr w:rsidR="00F55830" w:rsidRPr="0066616E" w:rsidTr="00D12826">
        <w:tc>
          <w:tcPr>
            <w:tcW w:w="1728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148" w:name="_Toc14406884"/>
            <w:bookmarkStart w:id="149" w:name="_Toc14424582"/>
            <w:bookmarkStart w:id="150" w:name="_Toc15543375"/>
            <w:bookmarkStart w:id="151" w:name="_Toc24364984"/>
            <w:bookmarkStart w:id="152" w:name="_Toc31659178"/>
            <w:bookmarkStart w:id="153" w:name="_Toc31666234"/>
            <w:bookmarkStart w:id="154" w:name="_Toc31682579"/>
            <w:r w:rsidRPr="0066616E">
              <w:rPr>
                <w:rFonts w:asciiTheme="minorHAnsi" w:hAnsiTheme="minorHAnsi" w:cstheme="minorHAnsi"/>
                <w:b w:val="0"/>
                <w:bCs w:val="0"/>
                <w:sz w:val="22"/>
                <w:szCs w:val="24"/>
              </w:rPr>
              <w:t>Level 7</w:t>
            </w:r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</w:p>
        </w:tc>
        <w:tc>
          <w:tcPr>
            <w:tcW w:w="8100" w:type="dxa"/>
            <w:hideMark/>
          </w:tcPr>
          <w:p w:rsidR="00F55830" w:rsidRPr="0066616E" w:rsidRDefault="00F55830" w:rsidP="00D12826">
            <w:pPr>
              <w:pStyle w:val="Heading1"/>
              <w:spacing w:before="0"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4"/>
              </w:rPr>
            </w:pPr>
            <w:bookmarkStart w:id="155" w:name="_Toc14406885"/>
            <w:bookmarkStart w:id="156" w:name="_Toc14424583"/>
            <w:bookmarkStart w:id="157" w:name="_Toc15543376"/>
            <w:bookmarkStart w:id="158" w:name="_Toc24364985"/>
            <w:bookmarkStart w:id="159" w:name="_Toc31659179"/>
            <w:bookmarkStart w:id="160" w:name="_Toc31666235"/>
            <w:bookmarkStart w:id="161" w:name="_Toc31682580"/>
            <w:r w:rsidRPr="0066616E">
              <w:rPr>
                <w:rFonts w:asciiTheme="minorHAnsi" w:hAnsiTheme="minorHAnsi" w:cstheme="minorHAnsi"/>
                <w:b w:val="0"/>
                <w:sz w:val="22"/>
                <w:szCs w:val="24"/>
              </w:rPr>
              <w:t>The adverse reaction either directly or indirectly led to the death of the patient</w:t>
            </w:r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</w:p>
        </w:tc>
      </w:tr>
    </w:tbl>
    <w:p w:rsidR="00F55830" w:rsidRPr="0066616E" w:rsidRDefault="00F55830" w:rsidP="00F5583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Cs w:val="24"/>
        </w:rPr>
      </w:pPr>
      <w:bookmarkStart w:id="162" w:name="_Toc15543377"/>
      <w:bookmarkStart w:id="163" w:name="_Toc14424584"/>
      <w:bookmarkStart w:id="164" w:name="_Toc14406886"/>
      <w:r w:rsidRPr="0066616E">
        <w:rPr>
          <w:rFonts w:cstheme="minorHAnsi"/>
          <w:color w:val="000000" w:themeColor="text1"/>
          <w:szCs w:val="24"/>
        </w:rPr>
        <w:t>Mild= level 1 and 2, moderate= level 3 and 4, severe= 5, 6 and 7</w:t>
      </w:r>
      <w:bookmarkEnd w:id="162"/>
      <w:bookmarkEnd w:id="163"/>
      <w:bookmarkEnd w:id="164"/>
      <w:r w:rsidRPr="0066616E">
        <w:rPr>
          <w:rFonts w:cstheme="minorHAnsi"/>
          <w:color w:val="000000" w:themeColor="text1"/>
          <w:szCs w:val="24"/>
        </w:rPr>
        <w:t>, ADR= Adverse drug reaction</w:t>
      </w:r>
    </w:p>
    <w:p w:rsidR="00727F7D" w:rsidRDefault="00727F7D">
      <w:pPr>
        <w:rPr>
          <w:rFonts w:ascii="Segoe UI" w:hAnsi="Segoe UI" w:cs="Segoe UI"/>
          <w:color w:val="212121"/>
          <w:shd w:val="clear" w:color="auto" w:fill="FFFFFF"/>
        </w:rPr>
      </w:pPr>
    </w:p>
    <w:p w:rsidR="00BE21EA" w:rsidRDefault="00BE21EA">
      <w:pPr>
        <w:rPr>
          <w:rFonts w:ascii="Segoe UI" w:hAnsi="Segoe UI" w:cs="Segoe UI"/>
          <w:color w:val="212121"/>
          <w:shd w:val="clear" w:color="auto" w:fill="FFFFFF"/>
        </w:rPr>
      </w:pPr>
      <w:bookmarkStart w:id="165" w:name="_GoBack"/>
      <w:bookmarkEnd w:id="165"/>
    </w:p>
    <w:p w:rsidR="000F50C8" w:rsidRDefault="00727F7D" w:rsidP="000F50C8">
      <w:pPr>
        <w:pStyle w:val="Caption"/>
        <w:numPr>
          <w:ilvl w:val="0"/>
          <w:numId w:val="2"/>
        </w:numPr>
        <w:spacing w:after="0" w:line="360" w:lineRule="auto"/>
        <w:jc w:val="both"/>
        <w:rPr>
          <w:b w:val="0"/>
          <w:color w:val="000000"/>
          <w:shd w:val="clear" w:color="auto" w:fill="FFFFFF"/>
        </w:rPr>
      </w:pPr>
      <w:r w:rsidRPr="00BE21EA">
        <w:rPr>
          <w:b w:val="0"/>
          <w:color w:val="000000"/>
          <w:shd w:val="clear" w:color="auto" w:fill="FFFFFF"/>
        </w:rPr>
        <w:t>The use of the WHO-UMC system for standardised case causality assessment</w:t>
      </w:r>
      <w:r w:rsidR="00B0351A" w:rsidRPr="00BE21EA">
        <w:rPr>
          <w:b w:val="0"/>
          <w:color w:val="000000"/>
          <w:shd w:val="clear" w:color="auto" w:fill="FFFFFF"/>
        </w:rPr>
        <w:t xml:space="preserve">. [Last accessed on 2019 </w:t>
      </w:r>
      <w:r w:rsidR="006A338F" w:rsidRPr="00BE21EA">
        <w:rPr>
          <w:b w:val="0"/>
          <w:color w:val="000000"/>
          <w:shd w:val="clear" w:color="auto" w:fill="FFFFFF"/>
        </w:rPr>
        <w:t>J</w:t>
      </w:r>
      <w:r w:rsidR="00B0351A" w:rsidRPr="00BE21EA">
        <w:rPr>
          <w:b w:val="0"/>
          <w:color w:val="000000"/>
          <w:shd w:val="clear" w:color="auto" w:fill="FFFFFF"/>
        </w:rPr>
        <w:t>uly 11</w:t>
      </w:r>
      <w:proofErr w:type="gramStart"/>
      <w:r w:rsidR="00B0351A" w:rsidRPr="00BE21EA">
        <w:rPr>
          <w:b w:val="0"/>
          <w:color w:val="000000"/>
          <w:shd w:val="clear" w:color="auto" w:fill="FFFFFF"/>
        </w:rPr>
        <w:t>]available</w:t>
      </w:r>
      <w:proofErr w:type="gramEnd"/>
      <w:r w:rsidR="00B0351A" w:rsidRPr="00BE21EA">
        <w:rPr>
          <w:b w:val="0"/>
          <w:color w:val="000000"/>
          <w:shd w:val="clear" w:color="auto" w:fill="FFFFFF"/>
        </w:rPr>
        <w:t xml:space="preserve"> from </w:t>
      </w:r>
      <w:hyperlink r:id="rId9" w:history="1">
        <w:r w:rsidRPr="00BE21EA">
          <w:rPr>
            <w:rStyle w:val="Hyperlink"/>
            <w:b w:val="0"/>
            <w:color w:val="642A8F"/>
            <w:shd w:val="clear" w:color="auto" w:fill="FFFFFF"/>
          </w:rPr>
          <w:t>http://www.WHO-UMC.org/graphics/4409.pdf</w:t>
        </w:r>
      </w:hyperlink>
      <w:r w:rsidRPr="00BE21EA">
        <w:rPr>
          <w:b w:val="0"/>
          <w:color w:val="000000"/>
          <w:shd w:val="clear" w:color="auto" w:fill="FFFFFF"/>
        </w:rPr>
        <w:t> .</w:t>
      </w:r>
    </w:p>
    <w:p w:rsidR="005741B3" w:rsidRPr="000F50C8" w:rsidRDefault="00727F7D" w:rsidP="000F50C8">
      <w:pPr>
        <w:pStyle w:val="Caption"/>
        <w:numPr>
          <w:ilvl w:val="0"/>
          <w:numId w:val="2"/>
        </w:numPr>
        <w:spacing w:after="0" w:line="360" w:lineRule="auto"/>
        <w:jc w:val="both"/>
        <w:rPr>
          <w:b w:val="0"/>
          <w:color w:val="000000"/>
          <w:shd w:val="clear" w:color="auto" w:fill="FFFFFF"/>
        </w:rPr>
      </w:pPr>
      <w:proofErr w:type="spellStart"/>
      <w:r w:rsidRPr="000F50C8">
        <w:rPr>
          <w:b w:val="0"/>
          <w:color w:val="000000"/>
          <w:shd w:val="clear" w:color="auto" w:fill="FFFFFF"/>
        </w:rPr>
        <w:t>Hartwig</w:t>
      </w:r>
      <w:proofErr w:type="spellEnd"/>
      <w:r w:rsidRPr="000F50C8">
        <w:rPr>
          <w:b w:val="0"/>
          <w:color w:val="000000"/>
          <w:shd w:val="clear" w:color="auto" w:fill="FFFFFF"/>
        </w:rPr>
        <w:t xml:space="preserve"> SC, Siegel J, Schneider PJ. </w:t>
      </w:r>
      <w:proofErr w:type="gramStart"/>
      <w:r w:rsidRPr="000F50C8">
        <w:rPr>
          <w:b w:val="0"/>
          <w:color w:val="000000"/>
          <w:shd w:val="clear" w:color="auto" w:fill="FFFFFF"/>
        </w:rPr>
        <w:t>Preventability and severity assessment in reporting adverse drug reactions.</w:t>
      </w:r>
      <w:proofErr w:type="gramEnd"/>
      <w:r w:rsidRPr="000F50C8">
        <w:rPr>
          <w:b w:val="0"/>
          <w:color w:val="000000"/>
          <w:shd w:val="clear" w:color="auto" w:fill="FFFFFF"/>
        </w:rPr>
        <w:t xml:space="preserve"> Am J Hosp Pharm. 1992 Sep</w:t>
      </w:r>
      <w:proofErr w:type="gramStart"/>
      <w:r w:rsidRPr="000F50C8">
        <w:rPr>
          <w:b w:val="0"/>
          <w:color w:val="000000"/>
          <w:shd w:val="clear" w:color="auto" w:fill="FFFFFF"/>
        </w:rPr>
        <w:t>;49</w:t>
      </w:r>
      <w:proofErr w:type="gramEnd"/>
      <w:r w:rsidRPr="000F50C8">
        <w:rPr>
          <w:b w:val="0"/>
          <w:color w:val="000000"/>
          <w:shd w:val="clear" w:color="auto" w:fill="FFFFFF"/>
        </w:rPr>
        <w:t>(9):2229-32. PMID: 1524068.</w:t>
      </w:r>
    </w:p>
    <w:p w:rsidR="0024304C" w:rsidRDefault="0024304C" w:rsidP="0024304C">
      <w:pPr>
        <w:pStyle w:val="ListParagraph"/>
      </w:pPr>
    </w:p>
    <w:p w:rsidR="0024304C" w:rsidRDefault="0024304C" w:rsidP="0024304C">
      <w:pPr>
        <w:pStyle w:val="ListParagraph"/>
      </w:pPr>
    </w:p>
    <w:sectPr w:rsidR="0024304C" w:rsidSect="00BD53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1F" w:rsidRDefault="0044121F" w:rsidP="008957C0">
      <w:pPr>
        <w:spacing w:after="0" w:line="240" w:lineRule="auto"/>
      </w:pPr>
      <w:r>
        <w:separator/>
      </w:r>
    </w:p>
  </w:endnote>
  <w:endnote w:type="continuationSeparator" w:id="0">
    <w:p w:rsidR="0044121F" w:rsidRDefault="0044121F" w:rsidP="0089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C0" w:rsidRDefault="008957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94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7C0" w:rsidRDefault="00F05BE3">
        <w:pPr>
          <w:pStyle w:val="Footer"/>
          <w:jc w:val="center"/>
        </w:pPr>
        <w:r>
          <w:fldChar w:fldCharType="begin"/>
        </w:r>
        <w:r w:rsidR="008957C0">
          <w:instrText xml:space="preserve"> PAGE   \* MERGEFORMAT </w:instrText>
        </w:r>
        <w:r>
          <w:fldChar w:fldCharType="separate"/>
        </w:r>
        <w:r w:rsidR="000F50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7C0" w:rsidRDefault="008957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C0" w:rsidRDefault="00895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1F" w:rsidRDefault="0044121F" w:rsidP="008957C0">
      <w:pPr>
        <w:spacing w:after="0" w:line="240" w:lineRule="auto"/>
      </w:pPr>
      <w:r>
        <w:separator/>
      </w:r>
    </w:p>
  </w:footnote>
  <w:footnote w:type="continuationSeparator" w:id="0">
    <w:p w:rsidR="0044121F" w:rsidRDefault="0044121F" w:rsidP="0089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C0" w:rsidRDefault="008957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C0" w:rsidRDefault="008957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C0" w:rsidRDefault="00895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6F4"/>
    <w:multiLevelType w:val="hybridMultilevel"/>
    <w:tmpl w:val="6120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747D5"/>
    <w:multiLevelType w:val="hybridMultilevel"/>
    <w:tmpl w:val="53205382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30"/>
    <w:rsid w:val="00091D5B"/>
    <w:rsid w:val="000A36FD"/>
    <w:rsid w:val="000F50C8"/>
    <w:rsid w:val="0010600E"/>
    <w:rsid w:val="00154874"/>
    <w:rsid w:val="001F4A1B"/>
    <w:rsid w:val="0024304C"/>
    <w:rsid w:val="00393C8B"/>
    <w:rsid w:val="0044121F"/>
    <w:rsid w:val="004A2F3B"/>
    <w:rsid w:val="006A338F"/>
    <w:rsid w:val="00727F7D"/>
    <w:rsid w:val="008957C0"/>
    <w:rsid w:val="00917CD4"/>
    <w:rsid w:val="009B32A0"/>
    <w:rsid w:val="00AC0B60"/>
    <w:rsid w:val="00B0351A"/>
    <w:rsid w:val="00B1033C"/>
    <w:rsid w:val="00B63452"/>
    <w:rsid w:val="00BD53CF"/>
    <w:rsid w:val="00BE21EA"/>
    <w:rsid w:val="00F05BE3"/>
    <w:rsid w:val="00F5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3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583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30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DefaultChar">
    <w:name w:val="Default Char"/>
    <w:basedOn w:val="DefaultParagraphFont"/>
    <w:link w:val="Default"/>
    <w:locked/>
    <w:rsid w:val="00F55830"/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link w:val="DefaultChar"/>
    <w:rsid w:val="00F55830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5583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rsid w:val="00F55830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95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7C0"/>
  </w:style>
  <w:style w:type="paragraph" w:styleId="Footer">
    <w:name w:val="footer"/>
    <w:basedOn w:val="Normal"/>
    <w:link w:val="FooterChar"/>
    <w:uiPriority w:val="99"/>
    <w:unhideWhenUsed/>
    <w:rsid w:val="00895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7C0"/>
  </w:style>
  <w:style w:type="character" w:styleId="Hyperlink">
    <w:name w:val="Hyperlink"/>
    <w:basedOn w:val="DefaultParagraphFont"/>
    <w:uiPriority w:val="99"/>
    <w:semiHidden/>
    <w:unhideWhenUsed/>
    <w:rsid w:val="000A36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3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583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30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DefaultChar">
    <w:name w:val="Default Char"/>
    <w:basedOn w:val="DefaultParagraphFont"/>
    <w:link w:val="Default"/>
    <w:locked/>
    <w:rsid w:val="00F55830"/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link w:val="DefaultChar"/>
    <w:rsid w:val="00F55830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5583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rsid w:val="00F55830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95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7C0"/>
  </w:style>
  <w:style w:type="paragraph" w:styleId="Footer">
    <w:name w:val="footer"/>
    <w:basedOn w:val="Normal"/>
    <w:link w:val="FooterChar"/>
    <w:uiPriority w:val="99"/>
    <w:unhideWhenUsed/>
    <w:rsid w:val="00895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7C0"/>
  </w:style>
  <w:style w:type="character" w:styleId="Hyperlink">
    <w:name w:val="Hyperlink"/>
    <w:basedOn w:val="DefaultParagraphFont"/>
    <w:uiPriority w:val="99"/>
    <w:semiHidden/>
    <w:unhideWhenUsed/>
    <w:rsid w:val="000A36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ho-umc.org/graphics/4409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3ADF9-BC40-494C-87DF-E99AE8F9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2020-10-19T12:49:00Z</dcterms:created>
  <dcterms:modified xsi:type="dcterms:W3CDTF">2020-10-19T12:49:00Z</dcterms:modified>
</cp:coreProperties>
</file>