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3CEE" w14:textId="0F6859D4" w:rsidR="00E74072" w:rsidRDefault="00E74072"/>
    <w:p w14:paraId="314ADBBB" w14:textId="1FDC53E0" w:rsidR="0080088D" w:rsidRDefault="0080088D"/>
    <w:p w14:paraId="628A8207" w14:textId="775B5FD5" w:rsidR="0080088D" w:rsidRDefault="0080088D" w:rsidP="0080088D">
      <w:pPr>
        <w:jc w:val="center"/>
      </w:pPr>
      <w:r>
        <w:rPr>
          <w:noProof/>
        </w:rPr>
        <w:drawing>
          <wp:inline distT="0" distB="0" distL="0" distR="0" wp14:anchorId="07786F1D" wp14:editId="197EC0A6">
            <wp:extent cx="6462239" cy="234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150" cy="236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D267A" w14:textId="77777777" w:rsidR="0080088D" w:rsidRPr="00702A53" w:rsidRDefault="0080088D" w:rsidP="0080088D">
      <w:pPr>
        <w:widowControl w:val="0"/>
        <w:spacing w:line="480" w:lineRule="auto"/>
        <w:contextualSpacing/>
        <w:jc w:val="both"/>
        <w:rPr>
          <w:rStyle w:val="fontstyle01"/>
          <w:b w:val="0"/>
        </w:rPr>
      </w:pPr>
      <w:r w:rsidRPr="00702A53">
        <w:rPr>
          <w:b/>
          <w:bCs/>
          <w:color w:val="000000"/>
        </w:rPr>
        <w:t>Supplementary Figure 1:</w:t>
      </w:r>
      <w:r w:rsidRPr="00702A53">
        <w:rPr>
          <w:color w:val="000000"/>
        </w:rPr>
        <w:t xml:space="preserve"> </w:t>
      </w:r>
      <w:r w:rsidRPr="0080088D">
        <w:rPr>
          <w:rStyle w:val="fontstyle01"/>
          <w:b w:val="0"/>
          <w:bCs w:val="0"/>
          <w:iCs/>
        </w:rPr>
        <w:t xml:space="preserve">The transfection efficiencies of </w:t>
      </w:r>
      <w:r w:rsidRPr="0080088D">
        <w:rPr>
          <w:rStyle w:val="fontstyle01"/>
          <w:b w:val="0"/>
          <w:bCs w:val="0"/>
        </w:rPr>
        <w:t xml:space="preserve">miR-512-3p mimics and inhibitors in Hep3B </w:t>
      </w:r>
      <w:r w:rsidRPr="0080088D">
        <w:rPr>
          <w:rStyle w:val="fontstyle01"/>
          <w:b w:val="0"/>
          <w:bCs w:val="0"/>
          <w:iCs/>
        </w:rPr>
        <w:t>(A)</w:t>
      </w:r>
      <w:r w:rsidRPr="0080088D">
        <w:rPr>
          <w:rStyle w:val="fontstyle01"/>
          <w:b w:val="0"/>
          <w:bCs w:val="0"/>
        </w:rPr>
        <w:t xml:space="preserve"> and HCCLM3 (</w:t>
      </w:r>
      <w:r w:rsidRPr="0080088D">
        <w:rPr>
          <w:rStyle w:val="fontstyle01"/>
          <w:b w:val="0"/>
          <w:bCs w:val="0"/>
          <w:iCs/>
        </w:rPr>
        <w:t>B)</w:t>
      </w:r>
      <w:r w:rsidRPr="0080088D">
        <w:rPr>
          <w:rStyle w:val="fontstyle01"/>
          <w:b w:val="0"/>
          <w:bCs w:val="0"/>
        </w:rPr>
        <w:t xml:space="preserve"> cells were determined via </w:t>
      </w:r>
      <w:proofErr w:type="spellStart"/>
      <w:r w:rsidRPr="0080088D">
        <w:rPr>
          <w:rStyle w:val="fontstyle01"/>
          <w:b w:val="0"/>
          <w:bCs w:val="0"/>
        </w:rPr>
        <w:t>qRT</w:t>
      </w:r>
      <w:proofErr w:type="spellEnd"/>
      <w:r w:rsidRPr="0080088D">
        <w:rPr>
          <w:rStyle w:val="fontstyle01"/>
          <w:b w:val="0"/>
          <w:bCs w:val="0"/>
        </w:rPr>
        <w:t>-PCR. ***</w:t>
      </w:r>
      <w:r w:rsidRPr="0080088D">
        <w:rPr>
          <w:i/>
          <w:iCs/>
          <w:color w:val="000000"/>
        </w:rPr>
        <w:t>p</w:t>
      </w:r>
      <w:r w:rsidRPr="0080088D">
        <w:rPr>
          <w:b/>
          <w:bCs/>
          <w:color w:val="000000"/>
        </w:rPr>
        <w:t xml:space="preserve"> &lt; </w:t>
      </w:r>
      <w:r w:rsidRPr="0080088D">
        <w:rPr>
          <w:color w:val="000000"/>
        </w:rPr>
        <w:t>0</w:t>
      </w:r>
      <w:r w:rsidRPr="0080088D">
        <w:rPr>
          <w:rStyle w:val="fontstyle01"/>
          <w:b w:val="0"/>
          <w:bCs w:val="0"/>
        </w:rPr>
        <w:t xml:space="preserve">.001, Student’s </w:t>
      </w:r>
      <w:r w:rsidRPr="0080088D">
        <w:rPr>
          <w:rStyle w:val="fontstyle01"/>
          <w:b w:val="0"/>
          <w:bCs w:val="0"/>
          <w:i/>
          <w:iCs/>
        </w:rPr>
        <w:t>t</w:t>
      </w:r>
      <w:r w:rsidRPr="0080088D">
        <w:rPr>
          <w:rStyle w:val="fontstyle01"/>
          <w:b w:val="0"/>
          <w:bCs w:val="0"/>
        </w:rPr>
        <w:t xml:space="preserve">-test, </w:t>
      </w:r>
      <w:r w:rsidRPr="0080088D">
        <w:rPr>
          <w:i/>
          <w:iCs/>
          <w:color w:val="000000"/>
        </w:rPr>
        <w:t>n</w:t>
      </w:r>
      <w:r w:rsidRPr="0080088D">
        <w:rPr>
          <w:b/>
          <w:bCs/>
          <w:color w:val="000000"/>
        </w:rPr>
        <w:t xml:space="preserve"> = </w:t>
      </w:r>
      <w:r w:rsidRPr="0080088D">
        <w:rPr>
          <w:rStyle w:val="fontstyle01"/>
          <w:b w:val="0"/>
          <w:bCs w:val="0"/>
        </w:rPr>
        <w:t>3.</w:t>
      </w:r>
    </w:p>
    <w:p w14:paraId="21339CAD" w14:textId="2C627E9F" w:rsidR="0080088D" w:rsidRDefault="0080088D"/>
    <w:p w14:paraId="26C97508" w14:textId="7C7F1EC9" w:rsidR="0080088D" w:rsidRDefault="0080088D"/>
    <w:p w14:paraId="33CD01B4" w14:textId="77777777" w:rsidR="0080088D" w:rsidRDefault="0080088D">
      <w:pPr>
        <w:rPr>
          <w:rFonts w:hint="eastAsia"/>
        </w:rPr>
      </w:pPr>
    </w:p>
    <w:p w14:paraId="7BEDB458" w14:textId="2BA4B318" w:rsidR="0080088D" w:rsidRDefault="0080088D" w:rsidP="0080088D">
      <w:pPr>
        <w:jc w:val="center"/>
      </w:pPr>
      <w:r>
        <w:rPr>
          <w:noProof/>
        </w:rPr>
        <w:drawing>
          <wp:inline distT="0" distB="0" distL="0" distR="0" wp14:anchorId="687764CD" wp14:editId="58F37D90">
            <wp:extent cx="6453188" cy="2383624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30" cy="23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86B7" w14:textId="77777777" w:rsidR="0080088D" w:rsidRPr="00702A53" w:rsidRDefault="0080088D" w:rsidP="0080088D">
      <w:pPr>
        <w:widowControl w:val="0"/>
        <w:spacing w:line="480" w:lineRule="auto"/>
        <w:contextualSpacing/>
        <w:jc w:val="both"/>
        <w:rPr>
          <w:bCs/>
          <w:color w:val="000000"/>
        </w:rPr>
      </w:pPr>
      <w:r w:rsidRPr="00702A53">
        <w:rPr>
          <w:b/>
          <w:color w:val="000000"/>
        </w:rPr>
        <w:t>Supplementary Figure 2:</w:t>
      </w:r>
      <w:r w:rsidRPr="00702A53">
        <w:rPr>
          <w:color w:val="000000"/>
        </w:rPr>
        <w:t xml:space="preserve"> </w:t>
      </w:r>
      <w:proofErr w:type="spellStart"/>
      <w:r w:rsidRPr="00702A53">
        <w:rPr>
          <w:rStyle w:val="fontstyle01"/>
          <w:b w:val="0"/>
        </w:rPr>
        <w:t>qRT</w:t>
      </w:r>
      <w:proofErr w:type="spellEnd"/>
      <w:r w:rsidRPr="00702A53">
        <w:rPr>
          <w:rStyle w:val="fontstyle01"/>
          <w:b w:val="0"/>
        </w:rPr>
        <w:t>-PCR and western blot</w:t>
      </w:r>
      <w:r w:rsidRPr="00702A53">
        <w:rPr>
          <w:color w:val="000000"/>
        </w:rPr>
        <w:t xml:space="preserve"> analyses indicated that thioredoxin interacting protein was not significantly regulated by miR-512-3p </w:t>
      </w:r>
      <w:r w:rsidRPr="00702A53">
        <w:rPr>
          <w:rStyle w:val="fontstyle01"/>
          <w:b w:val="0"/>
        </w:rPr>
        <w:t>at the mRNA level or the p</w:t>
      </w:r>
      <w:r w:rsidRPr="00702A53">
        <w:rPr>
          <w:color w:val="000000"/>
        </w:rPr>
        <w:t xml:space="preserve">rotein level. </w:t>
      </w:r>
      <w:r w:rsidRPr="00702A53">
        <w:rPr>
          <w:rStyle w:val="fontstyle01"/>
          <w:b w:val="0"/>
        </w:rPr>
        <w:t>*</w:t>
      </w:r>
      <w:r w:rsidRPr="00702A53">
        <w:rPr>
          <w:i/>
          <w:iCs/>
          <w:color w:val="000000"/>
        </w:rPr>
        <w:t>p</w:t>
      </w:r>
      <w:r w:rsidRPr="00702A53">
        <w:rPr>
          <w:color w:val="000000"/>
        </w:rPr>
        <w:t xml:space="preserve"> &lt; 0</w:t>
      </w:r>
      <w:r w:rsidRPr="00702A53">
        <w:rPr>
          <w:rStyle w:val="fontstyle01"/>
          <w:b w:val="0"/>
        </w:rPr>
        <w:t xml:space="preserve">.05, Student’s </w:t>
      </w:r>
      <w:r w:rsidRPr="00702A53">
        <w:rPr>
          <w:rStyle w:val="fontstyle01"/>
          <w:b w:val="0"/>
          <w:i/>
          <w:iCs/>
        </w:rPr>
        <w:t>t</w:t>
      </w:r>
      <w:r w:rsidRPr="00702A53">
        <w:rPr>
          <w:rStyle w:val="fontstyle01"/>
          <w:b w:val="0"/>
        </w:rPr>
        <w:noBreakHyphen/>
        <w:t xml:space="preserve">test, </w:t>
      </w:r>
      <w:r w:rsidRPr="00702A53">
        <w:rPr>
          <w:i/>
          <w:iCs/>
          <w:color w:val="000000"/>
        </w:rPr>
        <w:t>n</w:t>
      </w:r>
      <w:r w:rsidRPr="00702A53">
        <w:rPr>
          <w:color w:val="000000"/>
        </w:rPr>
        <w:t xml:space="preserve"> = </w:t>
      </w:r>
      <w:r w:rsidRPr="00702A53">
        <w:rPr>
          <w:rStyle w:val="fontstyle01"/>
          <w:b w:val="0"/>
        </w:rPr>
        <w:t>3</w:t>
      </w:r>
      <w:r w:rsidRPr="00702A53">
        <w:rPr>
          <w:rStyle w:val="fontstyle01"/>
          <w:b w:val="0"/>
          <w:bCs w:val="0"/>
        </w:rPr>
        <w:t>.</w:t>
      </w:r>
    </w:p>
    <w:p w14:paraId="6EE6C62C" w14:textId="77777777" w:rsidR="0080088D" w:rsidRDefault="0080088D">
      <w:pPr>
        <w:rPr>
          <w:rFonts w:hint="eastAsia"/>
        </w:rPr>
      </w:pPr>
    </w:p>
    <w:sectPr w:rsidR="0080088D" w:rsidSect="0080088D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673B5" w14:textId="77777777" w:rsidR="00542C0D" w:rsidRDefault="00542C0D" w:rsidP="0080088D">
      <w:r>
        <w:separator/>
      </w:r>
    </w:p>
  </w:endnote>
  <w:endnote w:type="continuationSeparator" w:id="0">
    <w:p w14:paraId="49FFA064" w14:textId="77777777" w:rsidR="00542C0D" w:rsidRDefault="00542C0D" w:rsidP="0080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50A06" w14:textId="77777777" w:rsidR="00542C0D" w:rsidRDefault="00542C0D" w:rsidP="0080088D">
      <w:r>
        <w:separator/>
      </w:r>
    </w:p>
  </w:footnote>
  <w:footnote w:type="continuationSeparator" w:id="0">
    <w:p w14:paraId="35CD107A" w14:textId="77777777" w:rsidR="00542C0D" w:rsidRDefault="00542C0D" w:rsidP="0080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3C"/>
    <w:rsid w:val="002A02AE"/>
    <w:rsid w:val="00542C0D"/>
    <w:rsid w:val="0080088D"/>
    <w:rsid w:val="008F7A3C"/>
    <w:rsid w:val="00E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065F0"/>
  <w15:chartTrackingRefBased/>
  <w15:docId w15:val="{F23055FF-46FF-492B-A62A-827AC6E6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88D"/>
    <w:pPr>
      <w:spacing w:line="240" w:lineRule="auto"/>
      <w:jc w:val="left"/>
    </w:pPr>
    <w:rPr>
      <w:rFonts w:eastAsia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8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8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08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088D"/>
    <w:rPr>
      <w:sz w:val="18"/>
      <w:szCs w:val="18"/>
    </w:rPr>
  </w:style>
  <w:style w:type="character" w:customStyle="1" w:styleId="fontstyle01">
    <w:name w:val="fontstyle01"/>
    <w:basedOn w:val="a0"/>
    <w:rsid w:val="008008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0088D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a">
    <w:name w:val="annotation text"/>
    <w:basedOn w:val="a"/>
    <w:link w:val="ab"/>
    <w:uiPriority w:val="99"/>
    <w:unhideWhenUsed/>
    <w:rsid w:val="0080088D"/>
    <w:rPr>
      <w:rFonts w:cs="Tahoma"/>
    </w:rPr>
  </w:style>
  <w:style w:type="character" w:customStyle="1" w:styleId="ab">
    <w:name w:val="批注文字 字符"/>
    <w:basedOn w:val="a0"/>
    <w:link w:val="aa"/>
    <w:uiPriority w:val="99"/>
    <w:rsid w:val="0080088D"/>
    <w:rPr>
      <w:rFonts w:eastAsia="宋体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亮</dc:creator>
  <cp:keywords/>
  <dc:description/>
  <cp:lastModifiedBy>王 亮</cp:lastModifiedBy>
  <cp:revision>2</cp:revision>
  <dcterms:created xsi:type="dcterms:W3CDTF">2020-05-26T00:51:00Z</dcterms:created>
  <dcterms:modified xsi:type="dcterms:W3CDTF">2020-05-26T00:58:00Z</dcterms:modified>
</cp:coreProperties>
</file>