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E540A" w14:textId="77777777" w:rsidR="00B433FD" w:rsidRPr="00335E2D" w:rsidRDefault="00B433FD" w:rsidP="00B433F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>Supplementary Data</w:t>
      </w:r>
    </w:p>
    <w:p w14:paraId="5F1AF632" w14:textId="77777777" w:rsidR="00592D1D" w:rsidRPr="00335E2D" w:rsidRDefault="00592D1D" w:rsidP="00B433F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>End processing factor APLF promotes NHEJ efficiency and contributes to TMZ- and ionizing radiation-resistance in glioblastoma cells</w:t>
      </w:r>
    </w:p>
    <w:p w14:paraId="2863D207" w14:textId="77777777" w:rsidR="00592D1D" w:rsidRPr="00335E2D" w:rsidRDefault="00592D1D" w:rsidP="00592D1D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sz w:val="24"/>
          <w:szCs w:val="24"/>
        </w:rPr>
        <w:t xml:space="preserve">Wei Dong, </w:t>
      </w:r>
      <w:proofErr w:type="spellStart"/>
      <w:r w:rsidRPr="00335E2D">
        <w:rPr>
          <w:rFonts w:cstheme="minorHAnsi"/>
          <w:sz w:val="24"/>
          <w:szCs w:val="24"/>
        </w:rPr>
        <w:t>Lanlan</w:t>
      </w:r>
      <w:proofErr w:type="spellEnd"/>
      <w:r w:rsidRPr="00335E2D">
        <w:rPr>
          <w:rFonts w:cstheme="minorHAnsi"/>
          <w:sz w:val="24"/>
          <w:szCs w:val="24"/>
        </w:rPr>
        <w:t xml:space="preserve"> Li, </w:t>
      </w:r>
      <w:proofErr w:type="spellStart"/>
      <w:r w:rsidRPr="00335E2D">
        <w:rPr>
          <w:rFonts w:cstheme="minorHAnsi"/>
          <w:sz w:val="24"/>
          <w:szCs w:val="24"/>
        </w:rPr>
        <w:t>Xuepeng</w:t>
      </w:r>
      <w:proofErr w:type="spellEnd"/>
      <w:r w:rsidRPr="00335E2D">
        <w:rPr>
          <w:rFonts w:cstheme="minorHAnsi"/>
          <w:sz w:val="24"/>
          <w:szCs w:val="24"/>
        </w:rPr>
        <w:t xml:space="preserve"> Teng, Xinhua Yang, </w:t>
      </w:r>
      <w:proofErr w:type="spellStart"/>
      <w:r w:rsidRPr="00335E2D">
        <w:rPr>
          <w:rFonts w:cstheme="minorHAnsi"/>
          <w:sz w:val="24"/>
          <w:szCs w:val="24"/>
        </w:rPr>
        <w:t>Shujing</w:t>
      </w:r>
      <w:proofErr w:type="spellEnd"/>
      <w:r w:rsidRPr="00335E2D">
        <w:rPr>
          <w:rFonts w:cstheme="minorHAnsi"/>
          <w:sz w:val="24"/>
          <w:szCs w:val="24"/>
        </w:rPr>
        <w:t xml:space="preserve"> Si, Jie Chai</w:t>
      </w:r>
    </w:p>
    <w:p w14:paraId="187D25AC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141AE3C5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66A0BD74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3F90F085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3667EEF1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4C46581C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41AF0BBB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7361CB70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09C684F9" w14:textId="77777777" w:rsidR="00592D1D" w:rsidRPr="00335E2D" w:rsidRDefault="00592D1D" w:rsidP="00B433FD">
      <w:pPr>
        <w:spacing w:line="360" w:lineRule="auto"/>
        <w:rPr>
          <w:rFonts w:ascii="Arial" w:hAnsi="Arial" w:cs="Arial"/>
          <w:b/>
        </w:rPr>
      </w:pPr>
    </w:p>
    <w:p w14:paraId="1FE7EC8C" w14:textId="6FEA6935" w:rsidR="00B433FD" w:rsidRPr="00335E2D" w:rsidRDefault="00B433FD" w:rsidP="00B433FD">
      <w:pPr>
        <w:spacing w:line="360" w:lineRule="auto"/>
        <w:rPr>
          <w:rFonts w:ascii="Arial" w:hAnsi="Arial" w:cs="Arial"/>
          <w:b/>
        </w:rPr>
      </w:pPr>
    </w:p>
    <w:p w14:paraId="0FB8C662" w14:textId="332AB49E" w:rsidR="00BC6971" w:rsidRPr="00335E2D" w:rsidRDefault="00BC6971" w:rsidP="00B433FD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0FD5047F" wp14:editId="2F2A7D28">
            <wp:extent cx="2566299" cy="4207933"/>
            <wp:effectExtent l="0" t="0" r="571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193" cy="42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174F" w14:textId="4163F1AF" w:rsidR="00AE6EC6" w:rsidRPr="00335E2D" w:rsidRDefault="004F45BD" w:rsidP="00AE6EC6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="00816A67" w:rsidRPr="00335E2D">
        <w:rPr>
          <w:rFonts w:cstheme="minorHAnsi" w:hint="eastAsia"/>
          <w:b/>
          <w:sz w:val="24"/>
          <w:szCs w:val="24"/>
        </w:rPr>
        <w:t>1</w:t>
      </w:r>
      <w:r w:rsidRPr="00335E2D">
        <w:rPr>
          <w:rFonts w:cstheme="minorHAnsi"/>
          <w:b/>
          <w:sz w:val="24"/>
          <w:szCs w:val="24"/>
        </w:rPr>
        <w:t>.</w:t>
      </w:r>
      <w:r w:rsidR="00AE6EC6" w:rsidRPr="00335E2D">
        <w:rPr>
          <w:rFonts w:cstheme="minorHAnsi"/>
          <w:b/>
          <w:sz w:val="24"/>
          <w:szCs w:val="24"/>
        </w:rPr>
        <w:t xml:space="preserve"> Expression of HR key factors was irrelevant to TMZ resistance</w:t>
      </w:r>
    </w:p>
    <w:p w14:paraId="35731E3C" w14:textId="582EE448" w:rsidR="00AE6EC6" w:rsidRPr="00335E2D" w:rsidRDefault="00AE6EC6" w:rsidP="00AE6EC6">
      <w:pPr>
        <w:spacing w:line="360" w:lineRule="auto"/>
        <w:rPr>
          <w:rFonts w:cstheme="minorHAnsi"/>
          <w:bCs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(A) </w:t>
      </w:r>
      <w:r w:rsidRPr="00335E2D">
        <w:rPr>
          <w:rFonts w:cstheme="minorHAnsi"/>
          <w:bCs/>
          <w:sz w:val="24"/>
          <w:szCs w:val="24"/>
        </w:rPr>
        <w:t xml:space="preserve">RAD51 mRNA expression in GBM patient samples. TMZ sensitive group: n=30. TMZ resistant group: n=40. ns: not significant. </w:t>
      </w:r>
      <w:r w:rsidRPr="00335E2D">
        <w:rPr>
          <w:rFonts w:cstheme="minorHAnsi"/>
          <w:b/>
          <w:sz w:val="24"/>
          <w:szCs w:val="24"/>
        </w:rPr>
        <w:t xml:space="preserve">(B) </w:t>
      </w:r>
      <w:r w:rsidRPr="00335E2D">
        <w:rPr>
          <w:rFonts w:cstheme="minorHAnsi"/>
          <w:bCs/>
          <w:sz w:val="24"/>
          <w:szCs w:val="24"/>
        </w:rPr>
        <w:t>BRCA1 mRNA expression in GBM patient samples. TMZ sensitive group: n=30. TMZ resistant group: n=40. ns: not significant.</w:t>
      </w:r>
    </w:p>
    <w:p w14:paraId="085FEA1E" w14:textId="1FA5C494" w:rsidR="004F45BD" w:rsidRPr="00335E2D" w:rsidRDefault="004F45BD" w:rsidP="00AE6EC6">
      <w:pPr>
        <w:spacing w:line="360" w:lineRule="auto"/>
        <w:rPr>
          <w:rFonts w:cstheme="minorHAnsi"/>
          <w:bCs/>
          <w:sz w:val="24"/>
          <w:szCs w:val="24"/>
        </w:rPr>
      </w:pPr>
    </w:p>
    <w:p w14:paraId="31647CD4" w14:textId="6C43EAD9" w:rsidR="004F45BD" w:rsidRPr="00335E2D" w:rsidRDefault="00E20023" w:rsidP="00B433FD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2C4E7057" wp14:editId="5F0D0BB3">
            <wp:extent cx="5204460" cy="782775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" r="12426"/>
                    <a:stretch/>
                  </pic:blipFill>
                  <pic:spPr bwMode="auto">
                    <a:xfrm>
                      <a:off x="0" y="0"/>
                      <a:ext cx="5205046" cy="78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894D" w14:textId="31F391CC" w:rsidR="004F45BD" w:rsidRPr="00335E2D" w:rsidRDefault="004F45BD" w:rsidP="004F45B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lastRenderedPageBreak/>
        <w:t xml:space="preserve">Supplementary Figure </w:t>
      </w:r>
      <w:r w:rsidR="00816A67" w:rsidRPr="00335E2D">
        <w:rPr>
          <w:rFonts w:cstheme="minorHAnsi" w:hint="eastAsia"/>
          <w:b/>
          <w:sz w:val="24"/>
          <w:szCs w:val="24"/>
        </w:rPr>
        <w:t>2</w:t>
      </w:r>
      <w:r w:rsidRPr="00335E2D">
        <w:rPr>
          <w:rFonts w:cstheme="minorHAnsi"/>
          <w:b/>
          <w:sz w:val="24"/>
          <w:szCs w:val="24"/>
        </w:rPr>
        <w:t>.</w:t>
      </w:r>
      <w:r w:rsidR="00E842A1" w:rsidRPr="00335E2D">
        <w:rPr>
          <w:rFonts w:cstheme="minorHAnsi"/>
          <w:b/>
          <w:sz w:val="24"/>
          <w:szCs w:val="24"/>
        </w:rPr>
        <w:t xml:space="preserve"> Expression of NHEJ and HR key factors in TMZ- and IR-resistant GBM cells</w:t>
      </w:r>
    </w:p>
    <w:p w14:paraId="34D4BE58" w14:textId="5B47D159" w:rsidR="00E842A1" w:rsidRPr="00335E2D" w:rsidRDefault="00E842A1" w:rsidP="00E842A1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>(A)</w:t>
      </w:r>
      <w:r w:rsidRPr="00335E2D">
        <w:rPr>
          <w:rFonts w:cstheme="minorHAnsi"/>
          <w:bCs/>
          <w:sz w:val="24"/>
          <w:szCs w:val="24"/>
        </w:rPr>
        <w:t xml:space="preserve"> mRNA expression of NHEJ key factors (</w:t>
      </w:r>
      <w:proofErr w:type="spellStart"/>
      <w:r w:rsidRPr="00335E2D">
        <w:rPr>
          <w:rFonts w:cstheme="minorHAnsi"/>
          <w:bCs/>
          <w:sz w:val="24"/>
          <w:szCs w:val="24"/>
        </w:rPr>
        <w:t>DNAPKcs</w:t>
      </w:r>
      <w:proofErr w:type="spellEnd"/>
      <w:r w:rsidRPr="00335E2D">
        <w:rPr>
          <w:rFonts w:cstheme="minorHAnsi"/>
          <w:bCs/>
          <w:sz w:val="24"/>
          <w:szCs w:val="24"/>
        </w:rPr>
        <w:t xml:space="preserve">, Ku70, Ku80, Ligase IV, XLF, XRCC4 and APLF) and HR key factors (RAD51 and BRCA1) in U87-WT and U87-TR cells. </w:t>
      </w:r>
      <w:r w:rsidRPr="00335E2D">
        <w:rPr>
          <w:rFonts w:cstheme="minorHAnsi"/>
          <w:b/>
          <w:sz w:val="24"/>
          <w:szCs w:val="24"/>
        </w:rPr>
        <w:t>(B)</w:t>
      </w:r>
      <w:r w:rsidRPr="00335E2D">
        <w:rPr>
          <w:rFonts w:cstheme="minorHAnsi"/>
          <w:bCs/>
          <w:sz w:val="24"/>
          <w:szCs w:val="24"/>
        </w:rPr>
        <w:t xml:space="preserve"> mRNA expression of NHEJ key factors and HR key factors in T98G-WT and T98G-TR cells. </w:t>
      </w:r>
      <w:r w:rsidRPr="00335E2D">
        <w:rPr>
          <w:rFonts w:cstheme="minorHAnsi"/>
          <w:b/>
          <w:sz w:val="24"/>
          <w:szCs w:val="24"/>
        </w:rPr>
        <w:t>(C)</w:t>
      </w:r>
      <w:r w:rsidRPr="00335E2D">
        <w:rPr>
          <w:rFonts w:cstheme="minorHAnsi"/>
          <w:bCs/>
          <w:sz w:val="24"/>
          <w:szCs w:val="24"/>
        </w:rPr>
        <w:t xml:space="preserve"> mRNA expression of NHEJ key factors and HR key factors in U87-WT and U87-IRR cells. </w:t>
      </w:r>
      <w:r w:rsidRPr="00335E2D">
        <w:rPr>
          <w:rFonts w:cstheme="minorHAnsi"/>
          <w:b/>
          <w:sz w:val="24"/>
          <w:szCs w:val="24"/>
        </w:rPr>
        <w:t>(D)</w:t>
      </w:r>
      <w:r w:rsidRPr="00335E2D">
        <w:rPr>
          <w:rFonts w:cstheme="minorHAnsi"/>
          <w:bCs/>
          <w:sz w:val="24"/>
          <w:szCs w:val="24"/>
        </w:rPr>
        <w:t xml:space="preserve"> mRNA expression of NHEJ key factors and HR key factors in T98G-WT and T98G-IRRcells. </w:t>
      </w:r>
      <w:r w:rsidR="00BE49D7" w:rsidRPr="00335E2D">
        <w:rPr>
          <w:rFonts w:cstheme="minorHAnsi"/>
          <w:sz w:val="24"/>
          <w:szCs w:val="24"/>
        </w:rPr>
        <w:t>*: p&lt;0.05</w:t>
      </w:r>
      <w:r w:rsidR="002A2CC4" w:rsidRPr="00335E2D">
        <w:rPr>
          <w:rFonts w:cstheme="minorHAnsi"/>
          <w:sz w:val="24"/>
          <w:szCs w:val="24"/>
        </w:rPr>
        <w:t>,</w:t>
      </w:r>
      <w:r w:rsidR="00BE49D7" w:rsidRPr="00335E2D">
        <w:rPr>
          <w:rFonts w:cstheme="minorHAnsi"/>
          <w:sz w:val="24"/>
          <w:szCs w:val="24"/>
        </w:rPr>
        <w:t xml:space="preserve"> ***: p&lt;0.001.</w:t>
      </w:r>
    </w:p>
    <w:p w14:paraId="562296CC" w14:textId="51933B63" w:rsidR="00E20023" w:rsidRPr="00335E2D" w:rsidRDefault="00E20023" w:rsidP="00816A67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noProof/>
        </w:rPr>
        <w:drawing>
          <wp:inline distT="0" distB="0" distL="0" distR="0" wp14:anchorId="5769C772" wp14:editId="3A933A4D">
            <wp:extent cx="5293518" cy="400929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54"/>
                    <a:stretch/>
                  </pic:blipFill>
                  <pic:spPr bwMode="auto">
                    <a:xfrm>
                      <a:off x="0" y="0"/>
                      <a:ext cx="5301438" cy="40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48763" w14:textId="1286BD8D" w:rsidR="00816A67" w:rsidRPr="00335E2D" w:rsidRDefault="00816A67" w:rsidP="00816A67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Pr="00335E2D">
        <w:rPr>
          <w:rFonts w:cstheme="minorHAnsi" w:hint="eastAsia"/>
          <w:b/>
          <w:sz w:val="24"/>
          <w:szCs w:val="24"/>
        </w:rPr>
        <w:t>3</w:t>
      </w:r>
      <w:r w:rsidRPr="00335E2D">
        <w:rPr>
          <w:rFonts w:cstheme="minorHAnsi"/>
          <w:b/>
          <w:sz w:val="24"/>
          <w:szCs w:val="24"/>
        </w:rPr>
        <w:t>. TMZ-resistant cells were resistant to IR, and IR-resistant cells were resistant to TMZ.</w:t>
      </w:r>
    </w:p>
    <w:p w14:paraId="12951C7D" w14:textId="3D308180" w:rsidR="004F45BD" w:rsidRPr="00335E2D" w:rsidRDefault="00816A67" w:rsidP="00B433FD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(A) </w:t>
      </w:r>
      <w:r w:rsidRPr="00335E2D">
        <w:rPr>
          <w:rFonts w:cstheme="minorHAnsi"/>
          <w:sz w:val="24"/>
          <w:szCs w:val="24"/>
        </w:rPr>
        <w:t xml:space="preserve">Cell viability of U87-WT, U87-IRR, </w:t>
      </w:r>
      <w:r w:rsidRPr="00335E2D">
        <w:rPr>
          <w:rFonts w:cstheme="minorHAnsi"/>
          <w:b/>
          <w:bCs/>
          <w:sz w:val="24"/>
          <w:szCs w:val="24"/>
        </w:rPr>
        <w:t>(B)</w:t>
      </w:r>
      <w:r w:rsidRPr="00335E2D">
        <w:rPr>
          <w:rFonts w:cstheme="minorHAnsi"/>
          <w:sz w:val="24"/>
          <w:szCs w:val="24"/>
        </w:rPr>
        <w:t xml:space="preserve"> T98G-WT and T98G-IRR cells to TMZ. Data are represented as mean ± SD of three independent experiments. ***: p &lt; 0.001.</w:t>
      </w:r>
      <w:r w:rsidRPr="00335E2D">
        <w:rPr>
          <w:rFonts w:cstheme="minorHAnsi"/>
          <w:b/>
          <w:sz w:val="24"/>
          <w:szCs w:val="24"/>
        </w:rPr>
        <w:t xml:space="preserve"> (C) </w:t>
      </w:r>
      <w:r w:rsidRPr="00335E2D">
        <w:rPr>
          <w:rFonts w:cstheme="minorHAnsi"/>
          <w:sz w:val="24"/>
          <w:szCs w:val="24"/>
        </w:rPr>
        <w:t xml:space="preserve">Cell viability of U87-WT, U87-TR </w:t>
      </w:r>
      <w:r w:rsidRPr="00335E2D">
        <w:rPr>
          <w:rFonts w:cstheme="minorHAnsi"/>
          <w:b/>
          <w:bCs/>
          <w:sz w:val="24"/>
          <w:szCs w:val="24"/>
        </w:rPr>
        <w:t xml:space="preserve">(D) </w:t>
      </w:r>
      <w:r w:rsidRPr="00335E2D">
        <w:rPr>
          <w:rFonts w:cstheme="minorHAnsi"/>
          <w:sz w:val="24"/>
          <w:szCs w:val="24"/>
        </w:rPr>
        <w:t>T98G-WT and T98G-TR cells to IR. Data are represented as mean ± SD of three independent experiments. ***: p &lt; 0.001.</w:t>
      </w:r>
      <w:r w:rsidRPr="00335E2D">
        <w:rPr>
          <w:rFonts w:cstheme="minorHAnsi"/>
          <w:b/>
          <w:sz w:val="24"/>
          <w:szCs w:val="24"/>
        </w:rPr>
        <w:t xml:space="preserve"> </w:t>
      </w:r>
    </w:p>
    <w:p w14:paraId="2C1827B6" w14:textId="4D1321B3" w:rsidR="004F45BD" w:rsidRPr="00335E2D" w:rsidRDefault="00BE49D7" w:rsidP="00B433FD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24D51C26" wp14:editId="0C746B32">
            <wp:extent cx="3013736" cy="596053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4693" cy="596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C31A3" w14:textId="1B353E7B" w:rsidR="004F45BD" w:rsidRPr="00335E2D" w:rsidRDefault="004F45BD" w:rsidP="004F45B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="00816A67" w:rsidRPr="00335E2D">
        <w:rPr>
          <w:rFonts w:cstheme="minorHAnsi" w:hint="eastAsia"/>
          <w:b/>
          <w:sz w:val="24"/>
          <w:szCs w:val="24"/>
        </w:rPr>
        <w:t>4</w:t>
      </w:r>
      <w:r w:rsidRPr="00335E2D">
        <w:rPr>
          <w:rFonts w:cstheme="minorHAnsi"/>
          <w:b/>
          <w:sz w:val="24"/>
          <w:szCs w:val="24"/>
        </w:rPr>
        <w:t>.</w:t>
      </w:r>
      <w:r w:rsidR="00BE49D7" w:rsidRPr="00335E2D">
        <w:rPr>
          <w:rFonts w:cstheme="minorHAnsi"/>
          <w:b/>
          <w:sz w:val="24"/>
          <w:szCs w:val="24"/>
        </w:rPr>
        <w:t xml:space="preserve"> APLF did </w:t>
      </w:r>
      <w:r w:rsidR="00DF7B0F" w:rsidRPr="00335E2D">
        <w:rPr>
          <w:rFonts w:cstheme="minorHAnsi"/>
          <w:b/>
          <w:sz w:val="24"/>
          <w:szCs w:val="24"/>
        </w:rPr>
        <w:t>not affect HR efficiency in TMZ- and IR-resistant GBM cells</w:t>
      </w:r>
    </w:p>
    <w:p w14:paraId="748DD847" w14:textId="64AAC408" w:rsidR="00BE49D7" w:rsidRPr="00335E2D" w:rsidRDefault="00BE49D7" w:rsidP="00BE49D7">
      <w:pPr>
        <w:spacing w:line="360" w:lineRule="auto"/>
        <w:rPr>
          <w:rFonts w:cstheme="minorHAnsi"/>
          <w:bCs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>(A)</w:t>
      </w:r>
      <w:r w:rsidRPr="00335E2D">
        <w:rPr>
          <w:rFonts w:cstheme="minorHAnsi"/>
          <w:sz w:val="24"/>
          <w:szCs w:val="24"/>
        </w:rPr>
        <w:t xml:space="preserve"> Quantification of GFP cells result from successful HR events in U87-TR, U87-TR-KO, U87-TR-KO+APLF, </w:t>
      </w:r>
      <w:r w:rsidRPr="00335E2D">
        <w:rPr>
          <w:rFonts w:cstheme="minorHAnsi"/>
          <w:b/>
          <w:sz w:val="24"/>
          <w:szCs w:val="24"/>
        </w:rPr>
        <w:t xml:space="preserve">(B) </w:t>
      </w:r>
      <w:r w:rsidRPr="00335E2D">
        <w:rPr>
          <w:rFonts w:cstheme="minorHAnsi"/>
          <w:sz w:val="24"/>
          <w:szCs w:val="24"/>
        </w:rPr>
        <w:t xml:space="preserve">T98G-TR, T98G-TR-KO, T98G-TR-KO+APLF, </w:t>
      </w:r>
      <w:r w:rsidRPr="00335E2D">
        <w:rPr>
          <w:rFonts w:cstheme="minorHAnsi"/>
          <w:b/>
          <w:sz w:val="24"/>
          <w:szCs w:val="24"/>
        </w:rPr>
        <w:t>(C)</w:t>
      </w:r>
      <w:r w:rsidRPr="00335E2D">
        <w:rPr>
          <w:rFonts w:cstheme="minorHAnsi"/>
          <w:sz w:val="24"/>
          <w:szCs w:val="24"/>
        </w:rPr>
        <w:t xml:space="preserve"> U87-IRR, U87-IRR-KO, U87-IRR-KO+APLF </w:t>
      </w:r>
      <w:r w:rsidRPr="00335E2D">
        <w:rPr>
          <w:rFonts w:cstheme="minorHAnsi"/>
          <w:b/>
          <w:sz w:val="24"/>
          <w:szCs w:val="24"/>
        </w:rPr>
        <w:t>(D)</w:t>
      </w:r>
      <w:r w:rsidRPr="00335E2D">
        <w:rPr>
          <w:rFonts w:cstheme="minorHAnsi"/>
          <w:sz w:val="24"/>
          <w:szCs w:val="24"/>
        </w:rPr>
        <w:t xml:space="preserve"> T98G-IRR, T98G-IRR-KO and T98G-IRR-KO+APLF cell lines. Each result represents 3 independent experiments. </w:t>
      </w:r>
      <w:r w:rsidRPr="00335E2D">
        <w:rPr>
          <w:rFonts w:cstheme="minorHAnsi"/>
          <w:bCs/>
          <w:sz w:val="24"/>
          <w:szCs w:val="24"/>
        </w:rPr>
        <w:t>ns: not significant.</w:t>
      </w:r>
    </w:p>
    <w:p w14:paraId="44D3C0EB" w14:textId="77777777" w:rsidR="00816A67" w:rsidRPr="00335E2D" w:rsidRDefault="00816A67" w:rsidP="00816A67">
      <w:pPr>
        <w:spacing w:line="360" w:lineRule="auto"/>
        <w:rPr>
          <w:rFonts w:cstheme="minorHAnsi"/>
          <w:b/>
          <w:sz w:val="24"/>
          <w:szCs w:val="24"/>
        </w:rPr>
      </w:pPr>
    </w:p>
    <w:p w14:paraId="50F42421" w14:textId="7244C0E9" w:rsidR="00E20023" w:rsidRPr="00335E2D" w:rsidRDefault="00E20023" w:rsidP="00816A67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7AFCA1A6" wp14:editId="21968C1B">
            <wp:extent cx="5657222" cy="41097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" b="48103"/>
                    <a:stretch/>
                  </pic:blipFill>
                  <pic:spPr bwMode="auto">
                    <a:xfrm>
                      <a:off x="0" y="0"/>
                      <a:ext cx="5657299" cy="41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1B964" w14:textId="08E4EA10" w:rsidR="00816A67" w:rsidRPr="00335E2D" w:rsidRDefault="00816A67" w:rsidP="00816A67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Pr="00335E2D">
        <w:rPr>
          <w:rFonts w:cstheme="minorHAnsi" w:hint="eastAsia"/>
          <w:b/>
          <w:sz w:val="24"/>
          <w:szCs w:val="24"/>
        </w:rPr>
        <w:t>5</w:t>
      </w:r>
      <w:r w:rsidRPr="00335E2D">
        <w:rPr>
          <w:rFonts w:cstheme="minorHAnsi"/>
          <w:b/>
          <w:sz w:val="24"/>
          <w:szCs w:val="24"/>
        </w:rPr>
        <w:t>. APLF deficiency affects DSB repair dynamics in TMZ- and IR-resistant GBM cells</w:t>
      </w:r>
    </w:p>
    <w:p w14:paraId="719217D4" w14:textId="77777777" w:rsidR="00816A67" w:rsidRPr="00335E2D" w:rsidRDefault="00816A67" w:rsidP="00816A67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>(A)</w:t>
      </w:r>
      <w:r w:rsidRPr="00335E2D">
        <w:rPr>
          <w:rFonts w:cstheme="minorHAnsi"/>
          <w:sz w:val="24"/>
          <w:szCs w:val="24"/>
        </w:rPr>
        <w:t xml:space="preserve"> </w:t>
      </w:r>
      <w:r w:rsidRPr="00335E2D">
        <w:rPr>
          <w:rFonts w:cstheme="minorHAnsi"/>
          <w:b/>
          <w:sz w:val="24"/>
          <w:szCs w:val="24"/>
        </w:rPr>
        <w:t>Left panel:</w:t>
      </w:r>
      <w:r w:rsidRPr="00335E2D">
        <w:rPr>
          <w:rFonts w:cstheme="minorHAnsi"/>
          <w:sz w:val="24"/>
          <w:szCs w:val="24"/>
        </w:rPr>
        <w:t xml:space="preserve"> Western blot analysis of γH2AX expression in U87-TR, U87-TR-</w:t>
      </w:r>
      <w:proofErr w:type="gramStart"/>
      <w:r w:rsidRPr="00335E2D">
        <w:rPr>
          <w:rFonts w:cstheme="minorHAnsi"/>
          <w:sz w:val="24"/>
          <w:szCs w:val="24"/>
        </w:rPr>
        <w:t>KO</w:t>
      </w:r>
      <w:proofErr w:type="gramEnd"/>
      <w:r w:rsidRPr="00335E2D">
        <w:rPr>
          <w:rFonts w:cstheme="minorHAnsi"/>
          <w:sz w:val="24"/>
          <w:szCs w:val="24"/>
        </w:rPr>
        <w:t xml:space="preserve"> and U87-TR-KO+APLF cells after DMSO or TMZ treatment (400 µM). Cells were harvested 2 h, 24 h and 48 h after TMZ treatment. </w:t>
      </w:r>
      <w:r w:rsidRPr="00335E2D">
        <w:rPr>
          <w:rFonts w:cstheme="minorHAnsi"/>
          <w:b/>
          <w:sz w:val="24"/>
          <w:szCs w:val="24"/>
        </w:rPr>
        <w:t>Right panel:</w:t>
      </w:r>
      <w:r w:rsidRPr="00335E2D">
        <w:rPr>
          <w:rFonts w:cstheme="minorHAnsi"/>
          <w:sz w:val="24"/>
          <w:szCs w:val="24"/>
        </w:rPr>
        <w:t xml:space="preserve"> Quantification of γH2AX expression. Quantified γH2AX levels were normalized to the corresponding intensity of γH2AX in cells without TMZ treatment.</w:t>
      </w:r>
      <w:r w:rsidRPr="00335E2D">
        <w:rPr>
          <w:rFonts w:cstheme="minorHAnsi"/>
          <w:b/>
          <w:sz w:val="24"/>
          <w:szCs w:val="24"/>
        </w:rPr>
        <w:t xml:space="preserve"> (B)</w:t>
      </w:r>
      <w:r w:rsidRPr="00335E2D">
        <w:rPr>
          <w:rFonts w:cstheme="minorHAnsi"/>
          <w:sz w:val="24"/>
          <w:szCs w:val="24"/>
        </w:rPr>
        <w:t xml:space="preserve"> </w:t>
      </w:r>
      <w:r w:rsidRPr="00335E2D">
        <w:rPr>
          <w:rFonts w:cstheme="minorHAnsi"/>
          <w:b/>
          <w:sz w:val="24"/>
          <w:szCs w:val="24"/>
        </w:rPr>
        <w:t>Left panel:</w:t>
      </w:r>
      <w:r w:rsidRPr="00335E2D">
        <w:rPr>
          <w:rFonts w:cstheme="minorHAnsi"/>
          <w:sz w:val="24"/>
          <w:szCs w:val="24"/>
        </w:rPr>
        <w:t xml:space="preserve"> Western blot analysis of γH2AX expression in U87-IRR, U87-IRR-</w:t>
      </w:r>
      <w:proofErr w:type="gramStart"/>
      <w:r w:rsidRPr="00335E2D">
        <w:rPr>
          <w:rFonts w:cstheme="minorHAnsi"/>
          <w:sz w:val="24"/>
          <w:szCs w:val="24"/>
        </w:rPr>
        <w:t>KO</w:t>
      </w:r>
      <w:proofErr w:type="gramEnd"/>
      <w:r w:rsidRPr="00335E2D">
        <w:rPr>
          <w:rFonts w:cstheme="minorHAnsi"/>
          <w:sz w:val="24"/>
          <w:szCs w:val="24"/>
        </w:rPr>
        <w:t xml:space="preserve"> and U87-IRR-KO+APLF cells after exposure to IR (8 </w:t>
      </w:r>
      <w:proofErr w:type="spellStart"/>
      <w:r w:rsidRPr="00335E2D">
        <w:rPr>
          <w:rFonts w:cstheme="minorHAnsi"/>
          <w:sz w:val="24"/>
          <w:szCs w:val="24"/>
        </w:rPr>
        <w:t>Gy</w:t>
      </w:r>
      <w:proofErr w:type="spellEnd"/>
      <w:r w:rsidRPr="00335E2D">
        <w:rPr>
          <w:rFonts w:cstheme="minorHAnsi"/>
          <w:sz w:val="24"/>
          <w:szCs w:val="24"/>
        </w:rPr>
        <w:t xml:space="preserve">). Cells were harvested 2 h, 24 h and 48 h after IR treatment. </w:t>
      </w:r>
      <w:r w:rsidRPr="00335E2D">
        <w:rPr>
          <w:rFonts w:cstheme="minorHAnsi"/>
          <w:b/>
          <w:sz w:val="24"/>
          <w:szCs w:val="24"/>
        </w:rPr>
        <w:t>Right panel:</w:t>
      </w:r>
      <w:r w:rsidRPr="00335E2D">
        <w:rPr>
          <w:rFonts w:cstheme="minorHAnsi"/>
          <w:sz w:val="24"/>
          <w:szCs w:val="24"/>
        </w:rPr>
        <w:t xml:space="preserve"> Quantification of γH2AX expression. Quantified γH2AX levels were normalized to the corresponding intensity of γH2AX in cells without IR treatment.</w:t>
      </w:r>
    </w:p>
    <w:p w14:paraId="64DD93C7" w14:textId="27439CED" w:rsidR="00E20023" w:rsidRPr="00335E2D" w:rsidRDefault="00E20023" w:rsidP="00816A67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726B1975" wp14:editId="4E91ACFD">
            <wp:extent cx="3589264" cy="559693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0" b="3047"/>
                    <a:stretch/>
                  </pic:blipFill>
                  <pic:spPr bwMode="auto">
                    <a:xfrm>
                      <a:off x="0" y="0"/>
                      <a:ext cx="3595690" cy="56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5DD95" w14:textId="278999CA" w:rsidR="00816A67" w:rsidRPr="00335E2D" w:rsidRDefault="00816A67" w:rsidP="00816A67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Pr="00335E2D">
        <w:rPr>
          <w:rFonts w:cstheme="minorHAnsi" w:hint="eastAsia"/>
          <w:b/>
          <w:sz w:val="24"/>
          <w:szCs w:val="24"/>
        </w:rPr>
        <w:t>6</w:t>
      </w:r>
      <w:r w:rsidRPr="00335E2D">
        <w:rPr>
          <w:rFonts w:cstheme="minorHAnsi"/>
          <w:b/>
          <w:sz w:val="24"/>
          <w:szCs w:val="24"/>
        </w:rPr>
        <w:t>. APLF deficiency slightly decreased NHEJ efficiency in WT cells</w:t>
      </w:r>
    </w:p>
    <w:p w14:paraId="6C62510D" w14:textId="77777777" w:rsidR="00816A67" w:rsidRPr="00335E2D" w:rsidRDefault="00816A67" w:rsidP="00816A67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(A) </w:t>
      </w:r>
      <w:r w:rsidRPr="00335E2D">
        <w:rPr>
          <w:rFonts w:cstheme="minorHAnsi"/>
          <w:sz w:val="24"/>
          <w:szCs w:val="24"/>
        </w:rPr>
        <w:t xml:space="preserve">Western blot analysis of APLF protein expression in U87-WT, APLF knock-down U87-WT (U87-WT+siAPLF) and U87-WT+siAPLF with APLF ectopic expression cells (U87-WT+siAPLF +APLF). </w:t>
      </w:r>
      <w:r w:rsidRPr="00335E2D">
        <w:rPr>
          <w:rFonts w:cstheme="minorHAnsi"/>
          <w:b/>
          <w:sz w:val="24"/>
          <w:szCs w:val="24"/>
        </w:rPr>
        <w:t xml:space="preserve">(B) </w:t>
      </w:r>
      <w:r w:rsidRPr="00335E2D">
        <w:rPr>
          <w:rFonts w:cstheme="minorHAnsi"/>
          <w:sz w:val="24"/>
          <w:szCs w:val="24"/>
        </w:rPr>
        <w:t xml:space="preserve">Western blot analysis of APLF protein expression in T98G- WT, APLF knock-down T98G-WT (T98G-WT+siAPLF) and T98G-WT+siAPLF with APLF ectopic expression cells (T98G-WT+siAPLF+APLF). </w:t>
      </w:r>
      <w:r w:rsidRPr="00335E2D">
        <w:rPr>
          <w:rFonts w:cstheme="minorHAnsi"/>
          <w:b/>
          <w:sz w:val="24"/>
          <w:szCs w:val="24"/>
        </w:rPr>
        <w:t>(C)</w:t>
      </w:r>
      <w:r w:rsidRPr="00335E2D">
        <w:rPr>
          <w:rFonts w:cstheme="minorHAnsi"/>
          <w:sz w:val="24"/>
          <w:szCs w:val="24"/>
        </w:rPr>
        <w:t xml:space="preserve"> Quantification of GFP cells result from successful NHEJ events in U87-WT, U87-WT+siAPLF, U87-WT+siAPLF +APLF, </w:t>
      </w:r>
      <w:r w:rsidRPr="00335E2D">
        <w:rPr>
          <w:rFonts w:cstheme="minorHAnsi"/>
          <w:b/>
          <w:sz w:val="24"/>
          <w:szCs w:val="24"/>
        </w:rPr>
        <w:t xml:space="preserve">(D) </w:t>
      </w:r>
      <w:r w:rsidRPr="00335E2D">
        <w:rPr>
          <w:rFonts w:cstheme="minorHAnsi"/>
          <w:sz w:val="24"/>
          <w:szCs w:val="24"/>
        </w:rPr>
        <w:t>T98G- WT, T98G-WT+siAPLF and T98G-WT+siAPLF+APLF cells. Each result represents 3 independent experiments. *: p&lt;0.05.</w:t>
      </w:r>
    </w:p>
    <w:p w14:paraId="14FCC508" w14:textId="060F27FB" w:rsidR="00E20023" w:rsidRPr="00335E2D" w:rsidRDefault="00E20023" w:rsidP="004F45B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noProof/>
        </w:rPr>
        <w:lastRenderedPageBreak/>
        <w:drawing>
          <wp:inline distT="0" distB="0" distL="0" distR="0" wp14:anchorId="52D48B6D" wp14:editId="2643E7D6">
            <wp:extent cx="2448599" cy="4853354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" r="53339" b="28173"/>
                    <a:stretch/>
                  </pic:blipFill>
                  <pic:spPr bwMode="auto">
                    <a:xfrm>
                      <a:off x="0" y="0"/>
                      <a:ext cx="2449564" cy="48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5045C" w14:textId="45A6399B" w:rsidR="004F45BD" w:rsidRPr="00335E2D" w:rsidRDefault="004F45BD" w:rsidP="004F45BD">
      <w:pPr>
        <w:spacing w:line="360" w:lineRule="auto"/>
        <w:rPr>
          <w:rFonts w:cstheme="minorHAnsi"/>
          <w:b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Supplementary Figure </w:t>
      </w:r>
      <w:r w:rsidR="00816A67" w:rsidRPr="00335E2D">
        <w:rPr>
          <w:rFonts w:cstheme="minorHAnsi" w:hint="eastAsia"/>
          <w:b/>
          <w:sz w:val="24"/>
          <w:szCs w:val="24"/>
        </w:rPr>
        <w:t>7</w:t>
      </w:r>
      <w:r w:rsidRPr="00335E2D">
        <w:rPr>
          <w:rFonts w:cstheme="minorHAnsi"/>
          <w:b/>
          <w:sz w:val="24"/>
          <w:szCs w:val="24"/>
        </w:rPr>
        <w:t>.</w:t>
      </w:r>
      <w:r w:rsidR="00DF7B0F" w:rsidRPr="00335E2D">
        <w:rPr>
          <w:rFonts w:cstheme="minorHAnsi"/>
          <w:b/>
          <w:sz w:val="24"/>
          <w:szCs w:val="24"/>
        </w:rPr>
        <w:t xml:space="preserve"> </w:t>
      </w:r>
      <w:r w:rsidR="002A2CC4" w:rsidRPr="00335E2D">
        <w:rPr>
          <w:rFonts w:cstheme="minorHAnsi"/>
          <w:b/>
          <w:sz w:val="24"/>
          <w:szCs w:val="24"/>
        </w:rPr>
        <w:t>APLF did not contribute to autophagy induced by TMZ or IR in resistant GBM cells.</w:t>
      </w:r>
    </w:p>
    <w:p w14:paraId="7E54C110" w14:textId="33D094C0" w:rsidR="002A2CC4" w:rsidRPr="00B44BF7" w:rsidRDefault="002A2CC4" w:rsidP="002A2CC4">
      <w:pPr>
        <w:spacing w:line="360" w:lineRule="auto"/>
        <w:rPr>
          <w:rFonts w:cstheme="minorHAnsi"/>
          <w:sz w:val="24"/>
          <w:szCs w:val="24"/>
        </w:rPr>
      </w:pPr>
      <w:r w:rsidRPr="00335E2D">
        <w:rPr>
          <w:rFonts w:cstheme="minorHAnsi"/>
          <w:b/>
          <w:sz w:val="24"/>
          <w:szCs w:val="24"/>
        </w:rPr>
        <w:t xml:space="preserve">(A) </w:t>
      </w:r>
      <w:r w:rsidRPr="00335E2D">
        <w:rPr>
          <w:rFonts w:cstheme="minorHAnsi"/>
          <w:sz w:val="24"/>
          <w:szCs w:val="24"/>
        </w:rPr>
        <w:t xml:space="preserve">Relative autophagy activity in U87-TR and U87-TR-KO cells after exposure to TMZ (100 </w:t>
      </w:r>
      <w:proofErr w:type="spellStart"/>
      <w:r w:rsidRPr="00335E2D">
        <w:rPr>
          <w:rFonts w:cstheme="minorHAnsi"/>
          <w:sz w:val="24"/>
          <w:szCs w:val="24"/>
        </w:rPr>
        <w:t>μM</w:t>
      </w:r>
      <w:proofErr w:type="spellEnd"/>
      <w:r w:rsidRPr="00335E2D">
        <w:rPr>
          <w:rFonts w:cstheme="minorHAnsi"/>
          <w:sz w:val="24"/>
          <w:szCs w:val="24"/>
        </w:rPr>
        <w:t>). **</w:t>
      </w:r>
      <w:r w:rsidR="00E20023" w:rsidRPr="00335E2D">
        <w:rPr>
          <w:rFonts w:cstheme="minorHAnsi" w:hint="eastAsia"/>
          <w:sz w:val="24"/>
          <w:szCs w:val="24"/>
        </w:rPr>
        <w:t>*</w:t>
      </w:r>
      <w:r w:rsidRPr="00335E2D">
        <w:rPr>
          <w:rFonts w:cstheme="minorHAnsi"/>
          <w:sz w:val="24"/>
          <w:szCs w:val="24"/>
        </w:rPr>
        <w:t>: p&lt;0.0</w:t>
      </w:r>
      <w:r w:rsidR="00E20023" w:rsidRPr="00335E2D">
        <w:rPr>
          <w:rFonts w:cstheme="minorHAnsi" w:hint="eastAsia"/>
          <w:sz w:val="24"/>
          <w:szCs w:val="24"/>
        </w:rPr>
        <w:t>0</w:t>
      </w:r>
      <w:r w:rsidRPr="00335E2D">
        <w:rPr>
          <w:rFonts w:cstheme="minorHAnsi"/>
          <w:sz w:val="24"/>
          <w:szCs w:val="24"/>
        </w:rPr>
        <w:t xml:space="preserve">1, ns: not significant. </w:t>
      </w:r>
      <w:r w:rsidRPr="00335E2D">
        <w:rPr>
          <w:rFonts w:cstheme="minorHAnsi"/>
          <w:b/>
          <w:sz w:val="24"/>
          <w:szCs w:val="24"/>
        </w:rPr>
        <w:t xml:space="preserve">(B) </w:t>
      </w:r>
      <w:r w:rsidRPr="00335E2D">
        <w:rPr>
          <w:rFonts w:cstheme="minorHAnsi"/>
          <w:sz w:val="24"/>
          <w:szCs w:val="24"/>
        </w:rPr>
        <w:t xml:space="preserve">Relative autophagy activity in U87-IRR and U87-IRR-KO cells after exposure to IR (4 </w:t>
      </w:r>
      <w:proofErr w:type="spellStart"/>
      <w:r w:rsidRPr="00335E2D">
        <w:rPr>
          <w:rFonts w:cstheme="minorHAnsi"/>
          <w:sz w:val="24"/>
          <w:szCs w:val="24"/>
        </w:rPr>
        <w:t>Gy</w:t>
      </w:r>
      <w:proofErr w:type="spellEnd"/>
      <w:r w:rsidRPr="00335E2D">
        <w:rPr>
          <w:rFonts w:cstheme="minorHAnsi"/>
          <w:sz w:val="24"/>
          <w:szCs w:val="24"/>
        </w:rPr>
        <w:t>). **</w:t>
      </w:r>
      <w:r w:rsidR="00E20023" w:rsidRPr="00335E2D">
        <w:rPr>
          <w:rFonts w:cstheme="minorHAnsi" w:hint="eastAsia"/>
          <w:sz w:val="24"/>
          <w:szCs w:val="24"/>
        </w:rPr>
        <w:t>*</w:t>
      </w:r>
      <w:r w:rsidRPr="00335E2D">
        <w:rPr>
          <w:rFonts w:cstheme="minorHAnsi"/>
          <w:sz w:val="24"/>
          <w:szCs w:val="24"/>
        </w:rPr>
        <w:t>: p&lt;0.001, ns: not significant.</w:t>
      </w:r>
      <w:r w:rsidRPr="00B44BF7">
        <w:rPr>
          <w:rFonts w:cstheme="minorHAnsi"/>
          <w:b/>
          <w:sz w:val="24"/>
          <w:szCs w:val="24"/>
        </w:rPr>
        <w:t xml:space="preserve"> </w:t>
      </w:r>
    </w:p>
    <w:p w14:paraId="04E91EF1" w14:textId="77777777" w:rsidR="002A2CC4" w:rsidRDefault="002A2CC4" w:rsidP="004F45BD">
      <w:pPr>
        <w:spacing w:line="360" w:lineRule="auto"/>
        <w:rPr>
          <w:rFonts w:cstheme="minorHAnsi"/>
          <w:b/>
          <w:sz w:val="24"/>
          <w:szCs w:val="24"/>
        </w:rPr>
      </w:pPr>
    </w:p>
    <w:p w14:paraId="556CBAD5" w14:textId="0A279698" w:rsidR="004F45BD" w:rsidRDefault="004F45BD" w:rsidP="004F45BD">
      <w:pPr>
        <w:spacing w:line="360" w:lineRule="auto"/>
        <w:rPr>
          <w:rFonts w:cstheme="minorHAnsi"/>
          <w:b/>
          <w:sz w:val="24"/>
          <w:szCs w:val="24"/>
        </w:rPr>
      </w:pPr>
    </w:p>
    <w:p w14:paraId="2183D0B4" w14:textId="77777777" w:rsidR="00516D46" w:rsidRDefault="00516D46" w:rsidP="004F45BD">
      <w:pPr>
        <w:spacing w:line="360" w:lineRule="auto"/>
        <w:rPr>
          <w:rFonts w:cstheme="minorHAnsi"/>
          <w:b/>
          <w:sz w:val="24"/>
          <w:szCs w:val="24"/>
        </w:rPr>
      </w:pPr>
    </w:p>
    <w:sectPr w:rsidR="00516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A0"/>
    <w:rsid w:val="00084DA0"/>
    <w:rsid w:val="00212270"/>
    <w:rsid w:val="002A2CC4"/>
    <w:rsid w:val="00335E2D"/>
    <w:rsid w:val="004E5782"/>
    <w:rsid w:val="004F45BD"/>
    <w:rsid w:val="00516D46"/>
    <w:rsid w:val="00592D1D"/>
    <w:rsid w:val="00816A67"/>
    <w:rsid w:val="008B5BAF"/>
    <w:rsid w:val="00A80907"/>
    <w:rsid w:val="00AE6EC6"/>
    <w:rsid w:val="00B433FD"/>
    <w:rsid w:val="00BC6971"/>
    <w:rsid w:val="00BE49D7"/>
    <w:rsid w:val="00D32FC7"/>
    <w:rsid w:val="00D778DA"/>
    <w:rsid w:val="00DF7B0F"/>
    <w:rsid w:val="00E20023"/>
    <w:rsid w:val="00E8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D56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3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2020-06-22T09:53:00Z</dcterms:created>
  <dcterms:modified xsi:type="dcterms:W3CDTF">2020-08-21T02:51:00Z</dcterms:modified>
</cp:coreProperties>
</file>