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75E37" w14:textId="2E5D899E" w:rsidR="00F220D2" w:rsidRPr="00086830" w:rsidRDefault="00560F9A" w:rsidP="00F220D2">
      <w:pPr>
        <w:pBdr>
          <w:bottom w:val="single" w:sz="4" w:space="1" w:color="auto"/>
        </w:pBdr>
        <w:snapToGrid w:val="0"/>
        <w:spacing w:line="480" w:lineRule="auto"/>
        <w:jc w:val="both"/>
        <w:rPr>
          <w:rFonts w:ascii="Times New Roman" w:eastAsia="PMingLiU" w:hAnsi="Times New Roman" w:cs="Times New Roman"/>
          <w:color w:val="000000" w:themeColor="text1"/>
          <w:sz w:val="20"/>
          <w:szCs w:val="20"/>
          <w:lang w:eastAsia="zh-TW"/>
        </w:rPr>
      </w:pPr>
      <w:r>
        <w:rPr>
          <w:rFonts w:ascii="Times New Roman" w:hAnsi="Times New Roman" w:cs="Times New Roman"/>
          <w:b/>
          <w:bCs/>
          <w:color w:val="000000" w:themeColor="text1"/>
          <w:sz w:val="20"/>
          <w:szCs w:val="20"/>
        </w:rPr>
        <w:t xml:space="preserve">Supplementary </w:t>
      </w:r>
      <w:r w:rsidR="00F220D2" w:rsidRPr="00F7068B">
        <w:rPr>
          <w:rFonts w:ascii="Times New Roman" w:hAnsi="Times New Roman" w:cs="Times New Roman"/>
          <w:b/>
          <w:bCs/>
          <w:color w:val="000000" w:themeColor="text1"/>
          <w:sz w:val="20"/>
          <w:szCs w:val="20"/>
        </w:rPr>
        <w:t xml:space="preserve">Table </w:t>
      </w:r>
      <w:r w:rsidR="006B599E">
        <w:rPr>
          <w:rFonts w:ascii="Times New Roman" w:hAnsi="Times New Roman" w:cs="Times New Roman"/>
          <w:b/>
          <w:bCs/>
          <w:color w:val="000000" w:themeColor="text1"/>
          <w:sz w:val="20"/>
          <w:szCs w:val="20"/>
        </w:rPr>
        <w:t>S</w:t>
      </w:r>
      <w:r w:rsidR="00F220D2" w:rsidRPr="00F7068B">
        <w:rPr>
          <w:rFonts w:ascii="Times New Roman" w:hAnsi="Times New Roman" w:cs="Times New Roman"/>
          <w:b/>
          <w:bCs/>
          <w:color w:val="000000" w:themeColor="text1"/>
          <w:sz w:val="20"/>
          <w:szCs w:val="20"/>
        </w:rPr>
        <w:t>1</w:t>
      </w:r>
      <w:r w:rsidR="00F7068B">
        <w:rPr>
          <w:rFonts w:ascii="Times New Roman" w:hAnsi="Times New Roman" w:cs="Times New Roman"/>
          <w:color w:val="000000" w:themeColor="text1"/>
          <w:sz w:val="20"/>
          <w:szCs w:val="20"/>
        </w:rPr>
        <w:t xml:space="preserve"> </w:t>
      </w:r>
      <w:r w:rsidR="00F220D2" w:rsidRPr="00086830">
        <w:rPr>
          <w:rFonts w:ascii="Times New Roman" w:hAnsi="Times New Roman" w:cs="Times New Roman"/>
          <w:color w:val="000000" w:themeColor="text1"/>
          <w:sz w:val="20"/>
          <w:szCs w:val="20"/>
        </w:rPr>
        <w:t xml:space="preserve">Demographic and characteristics of </w:t>
      </w:r>
      <w:r w:rsidR="005159CC">
        <w:rPr>
          <w:rFonts w:ascii="Times New Roman" w:hAnsi="Times New Roman" w:cs="Times New Roman"/>
          <w:color w:val="000000" w:themeColor="text1"/>
          <w:sz w:val="20"/>
          <w:szCs w:val="20"/>
        </w:rPr>
        <w:t xml:space="preserve">the PAC-CVD </w:t>
      </w:r>
      <w:r w:rsidR="00F220D2" w:rsidRPr="00086830">
        <w:rPr>
          <w:rFonts w:ascii="Times New Roman" w:hAnsi="Times New Roman" w:cs="Times New Roman"/>
          <w:color w:val="000000" w:themeColor="text1"/>
          <w:sz w:val="20"/>
          <w:szCs w:val="20"/>
        </w:rPr>
        <w:t>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930"/>
      </w:tblGrid>
      <w:tr w:rsidR="00F220D2" w:rsidRPr="00086830" w14:paraId="41C9090E" w14:textId="77777777" w:rsidTr="00B22B91">
        <w:trPr>
          <w:trHeight w:val="379"/>
        </w:trPr>
        <w:tc>
          <w:tcPr>
            <w:tcW w:w="4390" w:type="dxa"/>
          </w:tcPr>
          <w:p w14:paraId="67A6542F" w14:textId="77777777" w:rsidR="00F220D2" w:rsidRPr="00086830" w:rsidRDefault="00F220D2" w:rsidP="00B22B91">
            <w:pPr>
              <w:snapToGrid w:val="0"/>
              <w:spacing w:line="480" w:lineRule="auto"/>
              <w:jc w:val="both"/>
              <w:rPr>
                <w:rFonts w:ascii="Times New Roman" w:hAnsi="Times New Roman" w:cs="Times New Roman"/>
                <w:color w:val="000000" w:themeColor="text1"/>
                <w:sz w:val="20"/>
                <w:szCs w:val="20"/>
              </w:rPr>
            </w:pPr>
            <w:r w:rsidRPr="00086830">
              <w:rPr>
                <w:rFonts w:ascii="Times New Roman" w:hAnsi="Times New Roman" w:cs="Times New Roman"/>
                <w:color w:val="000000" w:themeColor="text1"/>
                <w:sz w:val="20"/>
                <w:szCs w:val="20"/>
              </w:rPr>
              <w:t>Patient number</w:t>
            </w:r>
          </w:p>
        </w:tc>
        <w:tc>
          <w:tcPr>
            <w:tcW w:w="1930" w:type="dxa"/>
          </w:tcPr>
          <w:p w14:paraId="72F87C64" w14:textId="77777777" w:rsidR="00F220D2" w:rsidRPr="00086830" w:rsidRDefault="00F220D2" w:rsidP="00B22B91">
            <w:pPr>
              <w:snapToGrid w:val="0"/>
              <w:spacing w:line="480" w:lineRule="auto"/>
              <w:jc w:val="both"/>
              <w:rPr>
                <w:rFonts w:ascii="Times New Roman" w:hAnsi="Times New Roman" w:cs="Times New Roman"/>
                <w:color w:val="000000" w:themeColor="text1"/>
                <w:sz w:val="20"/>
                <w:szCs w:val="20"/>
              </w:rPr>
            </w:pPr>
            <w:r w:rsidRPr="00086830">
              <w:rPr>
                <w:rFonts w:ascii="Times New Roman" w:hAnsi="Times New Roman" w:cs="Times New Roman"/>
                <w:color w:val="000000" w:themeColor="text1"/>
                <w:sz w:val="20"/>
                <w:szCs w:val="20"/>
              </w:rPr>
              <w:t>537</w:t>
            </w:r>
          </w:p>
        </w:tc>
      </w:tr>
      <w:tr w:rsidR="00F220D2" w:rsidRPr="00086830" w14:paraId="097FAB76" w14:textId="77777777" w:rsidTr="00B22B91">
        <w:trPr>
          <w:trHeight w:val="368"/>
        </w:trPr>
        <w:tc>
          <w:tcPr>
            <w:tcW w:w="4390" w:type="dxa"/>
          </w:tcPr>
          <w:p w14:paraId="586D3A52" w14:textId="77777777" w:rsidR="00F220D2" w:rsidRPr="00086830" w:rsidRDefault="00F220D2" w:rsidP="00B22B91">
            <w:pPr>
              <w:snapToGrid w:val="0"/>
              <w:spacing w:line="480" w:lineRule="auto"/>
              <w:jc w:val="both"/>
              <w:rPr>
                <w:rFonts w:ascii="Times New Roman" w:hAnsi="Times New Roman" w:cs="Times New Roman"/>
                <w:bCs/>
                <w:sz w:val="20"/>
                <w:szCs w:val="20"/>
              </w:rPr>
            </w:pPr>
            <w:r w:rsidRPr="00086830">
              <w:rPr>
                <w:rFonts w:ascii="Times New Roman" w:hAnsi="Times New Roman" w:cs="Times New Roman"/>
                <w:bCs/>
                <w:sz w:val="20"/>
                <w:szCs w:val="20"/>
              </w:rPr>
              <w:t>Age (years)</w:t>
            </w:r>
          </w:p>
        </w:tc>
        <w:tc>
          <w:tcPr>
            <w:tcW w:w="1930" w:type="dxa"/>
          </w:tcPr>
          <w:p w14:paraId="71634CA1" w14:textId="2E7E78BE" w:rsidR="00F220D2" w:rsidRPr="00086830" w:rsidRDefault="00F220D2" w:rsidP="00B22B91">
            <w:pPr>
              <w:snapToGrid w:val="0"/>
              <w:spacing w:line="480" w:lineRule="auto"/>
              <w:jc w:val="both"/>
              <w:rPr>
                <w:rFonts w:ascii="Times New Roman" w:hAnsi="Times New Roman" w:cs="Times New Roman"/>
                <w:bCs/>
                <w:sz w:val="20"/>
                <w:szCs w:val="20"/>
              </w:rPr>
            </w:pPr>
          </w:p>
        </w:tc>
      </w:tr>
      <w:tr w:rsidR="00F220D2" w:rsidRPr="00086830" w14:paraId="1AAF8E51" w14:textId="77777777" w:rsidTr="00B22B91">
        <w:trPr>
          <w:trHeight w:val="379"/>
        </w:trPr>
        <w:tc>
          <w:tcPr>
            <w:tcW w:w="4390" w:type="dxa"/>
          </w:tcPr>
          <w:p w14:paraId="01E181CC" w14:textId="77777777" w:rsidR="00F220D2" w:rsidRPr="00086830" w:rsidRDefault="00F220D2" w:rsidP="00B22B91">
            <w:pPr>
              <w:snapToGrid w:val="0"/>
              <w:spacing w:line="480" w:lineRule="auto"/>
              <w:jc w:val="both"/>
              <w:rPr>
                <w:rFonts w:ascii="Times New Roman" w:eastAsia="PMingLiU" w:hAnsi="Times New Roman" w:cs="Times New Roman"/>
                <w:sz w:val="20"/>
                <w:szCs w:val="20"/>
                <w:lang w:eastAsia="zh-TW"/>
              </w:rPr>
            </w:pPr>
            <w:r w:rsidRPr="00086830">
              <w:rPr>
                <w:rFonts w:ascii="Times New Roman" w:eastAsia="PMingLiU" w:hAnsi="Times New Roman" w:cs="Times New Roman"/>
                <w:sz w:val="20"/>
                <w:szCs w:val="20"/>
                <w:lang w:eastAsia="zh-TW"/>
              </w:rPr>
              <w:t xml:space="preserve">   &lt;65</w:t>
            </w:r>
          </w:p>
        </w:tc>
        <w:tc>
          <w:tcPr>
            <w:tcW w:w="1930" w:type="dxa"/>
          </w:tcPr>
          <w:p w14:paraId="433D1DDD" w14:textId="1E0A51F5" w:rsidR="00F220D2" w:rsidRPr="00086830" w:rsidRDefault="009D1A47"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252</w:t>
            </w:r>
            <w:r w:rsidR="00F220D2" w:rsidRPr="00086830">
              <w:rPr>
                <w:rFonts w:ascii="Times New Roman" w:hAnsi="Times New Roman" w:cs="Times New Roman"/>
                <w:sz w:val="20"/>
                <w:szCs w:val="20"/>
              </w:rPr>
              <w:t xml:space="preserve"> (</w:t>
            </w:r>
            <w:r>
              <w:rPr>
                <w:rFonts w:ascii="Times New Roman" w:hAnsi="Times New Roman" w:cs="Times New Roman"/>
                <w:sz w:val="20"/>
                <w:szCs w:val="20"/>
              </w:rPr>
              <w:t>46</w:t>
            </w:r>
            <w:r w:rsidR="00F220D2" w:rsidRPr="00086830">
              <w:rPr>
                <w:rFonts w:ascii="Times New Roman" w:hAnsi="Times New Roman" w:cs="Times New Roman"/>
                <w:sz w:val="20"/>
                <w:szCs w:val="20"/>
              </w:rPr>
              <w:t>.</w:t>
            </w:r>
            <w:r>
              <w:rPr>
                <w:rFonts w:ascii="Times New Roman" w:hAnsi="Times New Roman" w:cs="Times New Roman"/>
                <w:sz w:val="20"/>
                <w:szCs w:val="20"/>
              </w:rPr>
              <w:t>9</w:t>
            </w:r>
            <w:r w:rsidR="00F220D2" w:rsidRPr="00086830">
              <w:rPr>
                <w:rFonts w:ascii="Times New Roman" w:hAnsi="Times New Roman" w:cs="Times New Roman"/>
                <w:sz w:val="20"/>
                <w:szCs w:val="20"/>
              </w:rPr>
              <w:t>)</w:t>
            </w:r>
          </w:p>
        </w:tc>
      </w:tr>
      <w:tr w:rsidR="00F220D2" w:rsidRPr="00086830" w14:paraId="68C3E158" w14:textId="77777777" w:rsidTr="00B22B91">
        <w:trPr>
          <w:trHeight w:val="379"/>
        </w:trPr>
        <w:tc>
          <w:tcPr>
            <w:tcW w:w="4390" w:type="dxa"/>
          </w:tcPr>
          <w:p w14:paraId="5BF37A89"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65-74</w:t>
            </w:r>
          </w:p>
        </w:tc>
        <w:tc>
          <w:tcPr>
            <w:tcW w:w="1930" w:type="dxa"/>
          </w:tcPr>
          <w:p w14:paraId="26B0D40E" w14:textId="0CF6E9FE" w:rsidR="00F220D2" w:rsidRPr="00086830" w:rsidRDefault="009D1A47"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160</w:t>
            </w:r>
            <w:r w:rsidR="00F220D2" w:rsidRPr="00086830">
              <w:rPr>
                <w:rFonts w:ascii="Times New Roman" w:hAnsi="Times New Roman" w:cs="Times New Roman"/>
                <w:sz w:val="20"/>
                <w:szCs w:val="20"/>
              </w:rPr>
              <w:t xml:space="preserve"> (</w:t>
            </w:r>
            <w:r>
              <w:rPr>
                <w:rFonts w:ascii="Times New Roman" w:hAnsi="Times New Roman" w:cs="Times New Roman"/>
                <w:sz w:val="20"/>
                <w:szCs w:val="20"/>
              </w:rPr>
              <w:t>29.8</w:t>
            </w:r>
            <w:r w:rsidR="00F220D2" w:rsidRPr="00086830">
              <w:rPr>
                <w:rFonts w:ascii="Times New Roman" w:hAnsi="Times New Roman" w:cs="Times New Roman"/>
                <w:sz w:val="20"/>
                <w:szCs w:val="20"/>
              </w:rPr>
              <w:t>)</w:t>
            </w:r>
          </w:p>
        </w:tc>
      </w:tr>
      <w:tr w:rsidR="00F220D2" w:rsidRPr="00086830" w14:paraId="6666FBD5" w14:textId="77777777" w:rsidTr="00B22B91">
        <w:trPr>
          <w:trHeight w:val="379"/>
        </w:trPr>
        <w:tc>
          <w:tcPr>
            <w:tcW w:w="4390" w:type="dxa"/>
          </w:tcPr>
          <w:p w14:paraId="3DA8D904"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m:oMath>
              <m:r>
                <w:rPr>
                  <w:rFonts w:ascii="Cambria Math" w:hAnsi="Cambria Math" w:cs="Times New Roman"/>
                  <w:sz w:val="20"/>
                  <w:szCs w:val="20"/>
                </w:rPr>
                <m:t>≥</m:t>
              </m:r>
            </m:oMath>
            <w:r w:rsidRPr="00086830">
              <w:rPr>
                <w:rFonts w:ascii="Times New Roman" w:hAnsi="Times New Roman" w:cs="Times New Roman"/>
                <w:sz w:val="20"/>
                <w:szCs w:val="20"/>
              </w:rPr>
              <w:t>75</w:t>
            </w:r>
          </w:p>
        </w:tc>
        <w:tc>
          <w:tcPr>
            <w:tcW w:w="1930" w:type="dxa"/>
          </w:tcPr>
          <w:p w14:paraId="119A4573" w14:textId="777B5B69" w:rsidR="00F220D2" w:rsidRPr="00086830" w:rsidRDefault="009D1A47"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125</w:t>
            </w:r>
            <w:r w:rsidR="00F220D2" w:rsidRPr="00086830">
              <w:rPr>
                <w:rFonts w:ascii="Times New Roman" w:hAnsi="Times New Roman" w:cs="Times New Roman"/>
                <w:sz w:val="20"/>
                <w:szCs w:val="20"/>
              </w:rPr>
              <w:t xml:space="preserve"> (</w:t>
            </w:r>
            <w:r>
              <w:rPr>
                <w:rFonts w:ascii="Times New Roman" w:hAnsi="Times New Roman" w:cs="Times New Roman"/>
                <w:sz w:val="20"/>
                <w:szCs w:val="20"/>
              </w:rPr>
              <w:t>23</w:t>
            </w:r>
            <w:r w:rsidR="00F220D2" w:rsidRPr="00086830">
              <w:rPr>
                <w:rFonts w:ascii="Times New Roman" w:hAnsi="Times New Roman" w:cs="Times New Roman"/>
                <w:sz w:val="20"/>
                <w:szCs w:val="20"/>
              </w:rPr>
              <w:t>.</w:t>
            </w:r>
            <w:r>
              <w:rPr>
                <w:rFonts w:ascii="Times New Roman" w:hAnsi="Times New Roman" w:cs="Times New Roman"/>
                <w:sz w:val="20"/>
                <w:szCs w:val="20"/>
              </w:rPr>
              <w:t>3</w:t>
            </w:r>
            <w:r w:rsidR="00F220D2" w:rsidRPr="00086830">
              <w:rPr>
                <w:rFonts w:ascii="Times New Roman" w:hAnsi="Times New Roman" w:cs="Times New Roman"/>
                <w:sz w:val="20"/>
                <w:szCs w:val="20"/>
              </w:rPr>
              <w:t>)</w:t>
            </w:r>
          </w:p>
        </w:tc>
      </w:tr>
      <w:tr w:rsidR="00F220D2" w:rsidRPr="00086830" w14:paraId="4D5F88E8" w14:textId="77777777" w:rsidTr="00B22B91">
        <w:trPr>
          <w:trHeight w:val="379"/>
        </w:trPr>
        <w:tc>
          <w:tcPr>
            <w:tcW w:w="4390" w:type="dxa"/>
          </w:tcPr>
          <w:p w14:paraId="17D7F6EB"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Male</w:t>
            </w:r>
          </w:p>
        </w:tc>
        <w:tc>
          <w:tcPr>
            <w:tcW w:w="1930" w:type="dxa"/>
          </w:tcPr>
          <w:p w14:paraId="5328555C" w14:textId="526EB671"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358 (66.</w:t>
            </w:r>
            <w:r w:rsidR="009D1A47">
              <w:rPr>
                <w:rFonts w:ascii="Times New Roman" w:hAnsi="Times New Roman" w:cs="Times New Roman"/>
                <w:sz w:val="20"/>
                <w:szCs w:val="20"/>
              </w:rPr>
              <w:t>7</w:t>
            </w:r>
            <w:r w:rsidRPr="00086830">
              <w:rPr>
                <w:rFonts w:ascii="Times New Roman" w:hAnsi="Times New Roman" w:cs="Times New Roman"/>
                <w:sz w:val="20"/>
                <w:szCs w:val="20"/>
              </w:rPr>
              <w:t>)</w:t>
            </w:r>
          </w:p>
        </w:tc>
      </w:tr>
      <w:tr w:rsidR="00F220D2" w:rsidRPr="00086830" w14:paraId="6C13957A" w14:textId="77777777" w:rsidTr="00B22B91">
        <w:trPr>
          <w:trHeight w:val="379"/>
        </w:trPr>
        <w:tc>
          <w:tcPr>
            <w:tcW w:w="4390" w:type="dxa"/>
          </w:tcPr>
          <w:p w14:paraId="651407FE"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Initial NIHSS at acute care hospital</w:t>
            </w:r>
          </w:p>
        </w:tc>
        <w:tc>
          <w:tcPr>
            <w:tcW w:w="1930" w:type="dxa"/>
          </w:tcPr>
          <w:p w14:paraId="4C8381B3" w14:textId="23AE37B1" w:rsidR="00F220D2" w:rsidRPr="00086830" w:rsidRDefault="00F51049"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6 (4-9)</w:t>
            </w:r>
          </w:p>
        </w:tc>
      </w:tr>
      <w:tr w:rsidR="00F220D2" w:rsidRPr="00086830" w14:paraId="3F75CC3C" w14:textId="77777777" w:rsidTr="00B22B91">
        <w:trPr>
          <w:trHeight w:val="379"/>
        </w:trPr>
        <w:tc>
          <w:tcPr>
            <w:tcW w:w="4390" w:type="dxa"/>
          </w:tcPr>
          <w:p w14:paraId="465A6746"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Discharge NIHSS at acute care hospital</w:t>
            </w:r>
          </w:p>
        </w:tc>
        <w:tc>
          <w:tcPr>
            <w:tcW w:w="1930" w:type="dxa"/>
          </w:tcPr>
          <w:p w14:paraId="1538CF4F" w14:textId="59EE4C15" w:rsidR="00F220D2" w:rsidRPr="00086830" w:rsidRDefault="00F51049"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5 (3-7)</w:t>
            </w:r>
          </w:p>
        </w:tc>
      </w:tr>
      <w:tr w:rsidR="00F51049" w:rsidRPr="00086830" w14:paraId="2E470E3D" w14:textId="77777777" w:rsidTr="00F51049">
        <w:trPr>
          <w:trHeight w:val="71"/>
        </w:trPr>
        <w:tc>
          <w:tcPr>
            <w:tcW w:w="4390" w:type="dxa"/>
          </w:tcPr>
          <w:p w14:paraId="2528FF07" w14:textId="1C0FB236" w:rsidR="00F51049" w:rsidRPr="00086830" w:rsidRDefault="00F51049" w:rsidP="00F51049">
            <w:pPr>
              <w:snapToGrid w:val="0"/>
              <w:spacing w:line="480" w:lineRule="auto"/>
              <w:jc w:val="both"/>
              <w:rPr>
                <w:rFonts w:ascii="Times New Roman" w:hAnsi="Times New Roman" w:cs="Times New Roman"/>
                <w:sz w:val="20"/>
                <w:szCs w:val="20"/>
              </w:rPr>
            </w:pPr>
            <w:bookmarkStart w:id="0" w:name="OLE_LINK1"/>
            <w:bookmarkStart w:id="1" w:name="OLE_LINK2"/>
            <w:r w:rsidRPr="00086830">
              <w:rPr>
                <w:rFonts w:ascii="Times New Roman" w:hAnsi="Times New Roman" w:cs="Times New Roman"/>
                <w:sz w:val="20"/>
                <w:szCs w:val="20"/>
              </w:rPr>
              <w:t xml:space="preserve">LOS </w:t>
            </w:r>
            <w:bookmarkEnd w:id="0"/>
            <w:bookmarkEnd w:id="1"/>
            <w:r w:rsidRPr="00086830">
              <w:rPr>
                <w:rFonts w:ascii="Times New Roman" w:hAnsi="Times New Roman" w:cs="Times New Roman"/>
                <w:sz w:val="20"/>
                <w:szCs w:val="20"/>
              </w:rPr>
              <w:t>at acute care hospital (days)</w:t>
            </w:r>
          </w:p>
        </w:tc>
        <w:tc>
          <w:tcPr>
            <w:tcW w:w="1930" w:type="dxa"/>
          </w:tcPr>
          <w:p w14:paraId="30CC723B" w14:textId="76B0520A" w:rsidR="00F51049" w:rsidRPr="00086830" w:rsidRDefault="00F51049" w:rsidP="00F51049">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12 (10-16.5)</w:t>
            </w:r>
          </w:p>
        </w:tc>
      </w:tr>
      <w:tr w:rsidR="00F51049" w:rsidRPr="00086830" w14:paraId="685D0D7F" w14:textId="77777777" w:rsidTr="00B22B91">
        <w:trPr>
          <w:trHeight w:val="379"/>
        </w:trPr>
        <w:tc>
          <w:tcPr>
            <w:tcW w:w="4390" w:type="dxa"/>
          </w:tcPr>
          <w:p w14:paraId="161F2FCE" w14:textId="4E1D2B29" w:rsidR="00F51049" w:rsidRPr="00086830" w:rsidRDefault="00F51049"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LOS</w:t>
            </w:r>
            <w:r>
              <w:rPr>
                <w:rFonts w:ascii="Times New Roman" w:hAnsi="Times New Roman" w:cs="Times New Roman"/>
                <w:sz w:val="20"/>
                <w:szCs w:val="20"/>
              </w:rPr>
              <w:t xml:space="preserve"> at rehabilitation ward (days)</w:t>
            </w:r>
          </w:p>
        </w:tc>
        <w:tc>
          <w:tcPr>
            <w:tcW w:w="1930" w:type="dxa"/>
          </w:tcPr>
          <w:p w14:paraId="4579AFE0" w14:textId="3D971EF4" w:rsidR="00F51049" w:rsidRPr="00086830" w:rsidRDefault="00F51049"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41 (28-71)</w:t>
            </w:r>
          </w:p>
        </w:tc>
      </w:tr>
      <w:tr w:rsidR="00F220D2" w:rsidRPr="00086830" w14:paraId="4FB2F0C3" w14:textId="77777777" w:rsidTr="00B22B91">
        <w:trPr>
          <w:trHeight w:val="379"/>
        </w:trPr>
        <w:tc>
          <w:tcPr>
            <w:tcW w:w="4390" w:type="dxa"/>
          </w:tcPr>
          <w:p w14:paraId="76F9F49A"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Ischemic stroke</w:t>
            </w:r>
          </w:p>
        </w:tc>
        <w:tc>
          <w:tcPr>
            <w:tcW w:w="1930" w:type="dxa"/>
          </w:tcPr>
          <w:p w14:paraId="6E29ABDB" w14:textId="7C59EB15"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461 (85.</w:t>
            </w:r>
            <w:r w:rsidR="00B136F9">
              <w:rPr>
                <w:rFonts w:ascii="Times New Roman" w:hAnsi="Times New Roman" w:cs="Times New Roman"/>
                <w:sz w:val="20"/>
                <w:szCs w:val="20"/>
              </w:rPr>
              <w:t>8</w:t>
            </w:r>
            <w:r w:rsidRPr="00086830">
              <w:rPr>
                <w:rFonts w:ascii="Times New Roman" w:hAnsi="Times New Roman" w:cs="Times New Roman"/>
                <w:sz w:val="20"/>
                <w:szCs w:val="20"/>
              </w:rPr>
              <w:t>)</w:t>
            </w:r>
          </w:p>
        </w:tc>
      </w:tr>
      <w:tr w:rsidR="00F220D2" w:rsidRPr="00086830" w14:paraId="75936CD9" w14:textId="77777777" w:rsidTr="00B22B91">
        <w:trPr>
          <w:trHeight w:val="379"/>
        </w:trPr>
        <w:tc>
          <w:tcPr>
            <w:tcW w:w="6320" w:type="dxa"/>
            <w:gridSpan w:val="2"/>
          </w:tcPr>
          <w:p w14:paraId="1ECB3A97"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Side of stroke</w:t>
            </w:r>
          </w:p>
        </w:tc>
      </w:tr>
      <w:tr w:rsidR="00F220D2" w:rsidRPr="00086830" w14:paraId="3D01C4C6" w14:textId="77777777" w:rsidTr="00B22B91">
        <w:trPr>
          <w:trHeight w:val="379"/>
        </w:trPr>
        <w:tc>
          <w:tcPr>
            <w:tcW w:w="4390" w:type="dxa"/>
          </w:tcPr>
          <w:p w14:paraId="33C3B14D"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Right</w:t>
            </w:r>
          </w:p>
        </w:tc>
        <w:tc>
          <w:tcPr>
            <w:tcW w:w="1930" w:type="dxa"/>
          </w:tcPr>
          <w:p w14:paraId="7575A32C" w14:textId="209C8343"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238 (44.</w:t>
            </w:r>
            <w:r w:rsidR="00B136F9">
              <w:rPr>
                <w:rFonts w:ascii="Times New Roman" w:hAnsi="Times New Roman" w:cs="Times New Roman"/>
                <w:sz w:val="20"/>
                <w:szCs w:val="20"/>
              </w:rPr>
              <w:t>3</w:t>
            </w:r>
            <w:r w:rsidRPr="00086830">
              <w:rPr>
                <w:rFonts w:ascii="Times New Roman" w:hAnsi="Times New Roman" w:cs="Times New Roman"/>
                <w:sz w:val="20"/>
                <w:szCs w:val="20"/>
              </w:rPr>
              <w:t>)</w:t>
            </w:r>
          </w:p>
        </w:tc>
      </w:tr>
      <w:tr w:rsidR="00F220D2" w:rsidRPr="00086830" w14:paraId="2B343B5B" w14:textId="77777777" w:rsidTr="00B22B91">
        <w:trPr>
          <w:trHeight w:val="379"/>
        </w:trPr>
        <w:tc>
          <w:tcPr>
            <w:tcW w:w="4390" w:type="dxa"/>
          </w:tcPr>
          <w:p w14:paraId="07E6A817"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Left</w:t>
            </w:r>
          </w:p>
        </w:tc>
        <w:tc>
          <w:tcPr>
            <w:tcW w:w="1930" w:type="dxa"/>
          </w:tcPr>
          <w:p w14:paraId="36CB2AC3" w14:textId="2F6453EB"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271 (50.</w:t>
            </w:r>
            <w:r w:rsidR="00B136F9">
              <w:rPr>
                <w:rFonts w:ascii="Times New Roman" w:hAnsi="Times New Roman" w:cs="Times New Roman"/>
                <w:sz w:val="20"/>
                <w:szCs w:val="20"/>
              </w:rPr>
              <w:t>5</w:t>
            </w:r>
            <w:r w:rsidRPr="00086830">
              <w:rPr>
                <w:rFonts w:ascii="Times New Roman" w:hAnsi="Times New Roman" w:cs="Times New Roman"/>
                <w:sz w:val="20"/>
                <w:szCs w:val="20"/>
              </w:rPr>
              <w:t>)</w:t>
            </w:r>
          </w:p>
        </w:tc>
      </w:tr>
      <w:tr w:rsidR="00F220D2" w:rsidRPr="00086830" w14:paraId="2902EE77" w14:textId="77777777" w:rsidTr="00B22B91">
        <w:trPr>
          <w:trHeight w:val="379"/>
        </w:trPr>
        <w:tc>
          <w:tcPr>
            <w:tcW w:w="4390" w:type="dxa"/>
          </w:tcPr>
          <w:p w14:paraId="0DD5D499"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Bilateral</w:t>
            </w:r>
          </w:p>
        </w:tc>
        <w:tc>
          <w:tcPr>
            <w:tcW w:w="1930" w:type="dxa"/>
          </w:tcPr>
          <w:p w14:paraId="5F49B072" w14:textId="36F4292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28 (5.2)</w:t>
            </w:r>
          </w:p>
        </w:tc>
      </w:tr>
      <w:tr w:rsidR="00F220D2" w:rsidRPr="00086830" w14:paraId="703DCBB6" w14:textId="77777777" w:rsidTr="00B22B91">
        <w:trPr>
          <w:trHeight w:val="379"/>
        </w:trPr>
        <w:tc>
          <w:tcPr>
            <w:tcW w:w="6320" w:type="dxa"/>
            <w:gridSpan w:val="2"/>
          </w:tcPr>
          <w:p w14:paraId="70831808"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Stroke location</w:t>
            </w:r>
          </w:p>
        </w:tc>
      </w:tr>
      <w:tr w:rsidR="00F220D2" w:rsidRPr="00086830" w14:paraId="19404E10" w14:textId="77777777" w:rsidTr="00B22B91">
        <w:trPr>
          <w:trHeight w:val="379"/>
        </w:trPr>
        <w:tc>
          <w:tcPr>
            <w:tcW w:w="4390" w:type="dxa"/>
          </w:tcPr>
          <w:p w14:paraId="0DBCF909"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Cortical and subcortical</w:t>
            </w:r>
          </w:p>
        </w:tc>
        <w:tc>
          <w:tcPr>
            <w:tcW w:w="1930" w:type="dxa"/>
          </w:tcPr>
          <w:p w14:paraId="25AA81BF" w14:textId="3E848434"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11</w:t>
            </w:r>
            <w:r w:rsidR="00A4731D">
              <w:rPr>
                <w:rFonts w:ascii="Times New Roman" w:hAnsi="Times New Roman" w:cs="Times New Roman"/>
                <w:sz w:val="20"/>
                <w:szCs w:val="20"/>
              </w:rPr>
              <w:t>9</w:t>
            </w:r>
            <w:r w:rsidRPr="00086830">
              <w:rPr>
                <w:rFonts w:ascii="Times New Roman" w:hAnsi="Times New Roman" w:cs="Times New Roman"/>
                <w:sz w:val="20"/>
                <w:szCs w:val="20"/>
              </w:rPr>
              <w:t xml:space="preserve"> (22</w:t>
            </w:r>
            <w:r w:rsidR="00A4731D">
              <w:rPr>
                <w:rFonts w:ascii="Times New Roman" w:hAnsi="Times New Roman" w:cs="Times New Roman"/>
                <w:sz w:val="20"/>
                <w:szCs w:val="20"/>
              </w:rPr>
              <w:t>.2</w:t>
            </w:r>
            <w:r w:rsidRPr="00086830">
              <w:rPr>
                <w:rFonts w:ascii="Times New Roman" w:hAnsi="Times New Roman" w:cs="Times New Roman"/>
                <w:sz w:val="20"/>
                <w:szCs w:val="20"/>
              </w:rPr>
              <w:t>)</w:t>
            </w:r>
          </w:p>
        </w:tc>
      </w:tr>
      <w:tr w:rsidR="00F220D2" w:rsidRPr="00086830" w14:paraId="7A1C14A1" w14:textId="77777777" w:rsidTr="00B22B91">
        <w:trPr>
          <w:trHeight w:val="379"/>
        </w:trPr>
        <w:tc>
          <w:tcPr>
            <w:tcW w:w="4390" w:type="dxa"/>
          </w:tcPr>
          <w:p w14:paraId="52FF6ED6"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Subcortical</w:t>
            </w:r>
          </w:p>
        </w:tc>
        <w:tc>
          <w:tcPr>
            <w:tcW w:w="1930" w:type="dxa"/>
          </w:tcPr>
          <w:p w14:paraId="2C4BFC55" w14:textId="640946E5"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w:t>
            </w:r>
            <w:r w:rsidR="00A4731D">
              <w:rPr>
                <w:rFonts w:ascii="Times New Roman" w:hAnsi="Times New Roman" w:cs="Times New Roman"/>
                <w:sz w:val="20"/>
                <w:szCs w:val="20"/>
              </w:rPr>
              <w:t>71</w:t>
            </w:r>
            <w:r w:rsidRPr="00086830">
              <w:rPr>
                <w:rFonts w:ascii="Times New Roman" w:hAnsi="Times New Roman" w:cs="Times New Roman"/>
                <w:sz w:val="20"/>
                <w:szCs w:val="20"/>
              </w:rPr>
              <w:t xml:space="preserve"> (</w:t>
            </w:r>
            <w:r w:rsidR="00926A39">
              <w:rPr>
                <w:rFonts w:ascii="Times New Roman" w:hAnsi="Times New Roman" w:cs="Times New Roman"/>
                <w:sz w:val="20"/>
                <w:szCs w:val="20"/>
              </w:rPr>
              <w:t>50.5</w:t>
            </w:r>
            <w:r w:rsidRPr="00086830">
              <w:rPr>
                <w:rFonts w:ascii="Times New Roman" w:hAnsi="Times New Roman" w:cs="Times New Roman"/>
                <w:sz w:val="20"/>
                <w:szCs w:val="20"/>
              </w:rPr>
              <w:t>)</w:t>
            </w:r>
          </w:p>
        </w:tc>
      </w:tr>
      <w:tr w:rsidR="00F220D2" w:rsidRPr="00086830" w14:paraId="057C82D2" w14:textId="77777777" w:rsidTr="00B22B91">
        <w:trPr>
          <w:trHeight w:val="379"/>
        </w:trPr>
        <w:tc>
          <w:tcPr>
            <w:tcW w:w="4390" w:type="dxa"/>
          </w:tcPr>
          <w:p w14:paraId="225056D5"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lastRenderedPageBreak/>
              <w:t xml:space="preserve">  Infratentorial</w:t>
            </w:r>
          </w:p>
        </w:tc>
        <w:tc>
          <w:tcPr>
            <w:tcW w:w="1930" w:type="dxa"/>
          </w:tcPr>
          <w:p w14:paraId="7F1FE40B" w14:textId="4BDD8942"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14</w:t>
            </w:r>
            <w:r w:rsidR="00A4731D">
              <w:rPr>
                <w:rFonts w:ascii="Times New Roman" w:hAnsi="Times New Roman" w:cs="Times New Roman"/>
                <w:sz w:val="20"/>
                <w:szCs w:val="20"/>
              </w:rPr>
              <w:t>5</w:t>
            </w:r>
            <w:r w:rsidRPr="00086830">
              <w:rPr>
                <w:rFonts w:ascii="Times New Roman" w:hAnsi="Times New Roman" w:cs="Times New Roman"/>
                <w:sz w:val="20"/>
                <w:szCs w:val="20"/>
              </w:rPr>
              <w:t xml:space="preserve"> (2</w:t>
            </w:r>
            <w:r w:rsidR="00926A39">
              <w:rPr>
                <w:rFonts w:ascii="Times New Roman" w:hAnsi="Times New Roman" w:cs="Times New Roman"/>
                <w:sz w:val="20"/>
                <w:szCs w:val="20"/>
              </w:rPr>
              <w:t>7</w:t>
            </w:r>
            <w:r w:rsidRPr="00086830">
              <w:rPr>
                <w:rFonts w:ascii="Times New Roman" w:hAnsi="Times New Roman" w:cs="Times New Roman"/>
                <w:sz w:val="20"/>
                <w:szCs w:val="20"/>
              </w:rPr>
              <w:t>)</w:t>
            </w:r>
          </w:p>
        </w:tc>
      </w:tr>
      <w:tr w:rsidR="00F220D2" w:rsidRPr="00086830" w14:paraId="24F151B3" w14:textId="77777777" w:rsidTr="00B22B91">
        <w:trPr>
          <w:trHeight w:val="379"/>
        </w:trPr>
        <w:tc>
          <w:tcPr>
            <w:tcW w:w="4390" w:type="dxa"/>
          </w:tcPr>
          <w:p w14:paraId="14B3597B"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Undetermined</w:t>
            </w:r>
          </w:p>
        </w:tc>
        <w:tc>
          <w:tcPr>
            <w:tcW w:w="1930" w:type="dxa"/>
          </w:tcPr>
          <w:p w14:paraId="3F7C7716" w14:textId="3F233F4B" w:rsidR="00F220D2" w:rsidRPr="00086830" w:rsidRDefault="00F24067"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2</w:t>
            </w:r>
            <w:r w:rsidR="00F220D2" w:rsidRPr="00086830">
              <w:rPr>
                <w:rFonts w:ascii="Times New Roman" w:hAnsi="Times New Roman" w:cs="Times New Roman"/>
                <w:sz w:val="20"/>
                <w:szCs w:val="20"/>
              </w:rPr>
              <w:t xml:space="preserve"> (</w:t>
            </w:r>
            <w:r w:rsidR="00BB29FF">
              <w:rPr>
                <w:rFonts w:ascii="Times New Roman" w:hAnsi="Times New Roman" w:cs="Times New Roman"/>
                <w:sz w:val="20"/>
                <w:szCs w:val="20"/>
              </w:rPr>
              <w:t>0.3</w:t>
            </w:r>
            <w:r w:rsidR="00F220D2" w:rsidRPr="00086830">
              <w:rPr>
                <w:rFonts w:ascii="Times New Roman" w:hAnsi="Times New Roman" w:cs="Times New Roman"/>
                <w:sz w:val="20"/>
                <w:szCs w:val="20"/>
              </w:rPr>
              <w:t>)</w:t>
            </w:r>
          </w:p>
        </w:tc>
      </w:tr>
      <w:tr w:rsidR="00F220D2" w:rsidRPr="00086830" w14:paraId="53E23ECD" w14:textId="77777777" w:rsidTr="00B22B91">
        <w:trPr>
          <w:trHeight w:val="379"/>
        </w:trPr>
        <w:tc>
          <w:tcPr>
            <w:tcW w:w="4390" w:type="dxa"/>
          </w:tcPr>
          <w:p w14:paraId="58D7F72C" w14:textId="77777777" w:rsidR="00F220D2" w:rsidRPr="00086830" w:rsidRDefault="00F220D2" w:rsidP="00B22B91">
            <w:pPr>
              <w:snapToGrid w:val="0"/>
              <w:spacing w:line="480" w:lineRule="auto"/>
              <w:jc w:val="both"/>
              <w:rPr>
                <w:rFonts w:ascii="Times New Roman" w:eastAsia="PMingLiU" w:hAnsi="Times New Roman" w:cs="Times New Roman"/>
                <w:sz w:val="20"/>
                <w:szCs w:val="20"/>
                <w:lang w:eastAsia="zh-TW"/>
              </w:rPr>
            </w:pPr>
            <w:r w:rsidRPr="00086830">
              <w:rPr>
                <w:rFonts w:ascii="Times New Roman" w:eastAsia="PMingLiU" w:hAnsi="Times New Roman" w:cs="Times New Roman"/>
                <w:sz w:val="20"/>
                <w:szCs w:val="20"/>
                <w:lang w:eastAsia="zh-TW"/>
              </w:rPr>
              <w:t>Large vessel stenosis</w:t>
            </w:r>
          </w:p>
        </w:tc>
        <w:tc>
          <w:tcPr>
            <w:tcW w:w="1930" w:type="dxa"/>
          </w:tcPr>
          <w:p w14:paraId="70324732" w14:textId="077DE16E"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59 (1</w:t>
            </w:r>
            <w:r w:rsidR="00B136F9">
              <w:rPr>
                <w:rFonts w:ascii="Times New Roman" w:hAnsi="Times New Roman" w:cs="Times New Roman"/>
                <w:sz w:val="20"/>
                <w:szCs w:val="20"/>
              </w:rPr>
              <w:t>1</w:t>
            </w:r>
            <w:r w:rsidRPr="00086830">
              <w:rPr>
                <w:rFonts w:ascii="Times New Roman" w:hAnsi="Times New Roman" w:cs="Times New Roman"/>
                <w:sz w:val="20"/>
                <w:szCs w:val="20"/>
              </w:rPr>
              <w:t>)</w:t>
            </w:r>
          </w:p>
        </w:tc>
      </w:tr>
      <w:tr w:rsidR="00F220D2" w:rsidRPr="00086830" w14:paraId="2EE8C1A1" w14:textId="77777777" w:rsidTr="00B22B91">
        <w:trPr>
          <w:trHeight w:val="379"/>
        </w:trPr>
        <w:tc>
          <w:tcPr>
            <w:tcW w:w="4390" w:type="dxa"/>
          </w:tcPr>
          <w:p w14:paraId="29901F35" w14:textId="77777777" w:rsidR="00F220D2" w:rsidRPr="00086830" w:rsidRDefault="00F220D2" w:rsidP="00B22B91">
            <w:pPr>
              <w:snapToGrid w:val="0"/>
              <w:spacing w:line="480" w:lineRule="auto"/>
              <w:jc w:val="both"/>
              <w:rPr>
                <w:rFonts w:ascii="Times New Roman" w:eastAsia="PMingLiU" w:hAnsi="Times New Roman" w:cs="Times New Roman"/>
                <w:sz w:val="20"/>
                <w:szCs w:val="20"/>
                <w:lang w:eastAsia="zh-TW"/>
              </w:rPr>
            </w:pPr>
            <w:r w:rsidRPr="00086830">
              <w:rPr>
                <w:rFonts w:ascii="Times New Roman" w:eastAsia="PMingLiU" w:hAnsi="Times New Roman" w:cs="Times New Roman"/>
                <w:sz w:val="20"/>
                <w:szCs w:val="20"/>
                <w:lang w:eastAsia="zh-TW"/>
              </w:rPr>
              <w:t>Large vessel occlusion</w:t>
            </w:r>
          </w:p>
        </w:tc>
        <w:tc>
          <w:tcPr>
            <w:tcW w:w="1930" w:type="dxa"/>
          </w:tcPr>
          <w:p w14:paraId="1909FAD7" w14:textId="10214638"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37 (6.9)</w:t>
            </w:r>
          </w:p>
        </w:tc>
      </w:tr>
      <w:tr w:rsidR="00F220D2" w:rsidRPr="00086830" w14:paraId="1C8DBDF6" w14:textId="77777777" w:rsidTr="00B22B91">
        <w:trPr>
          <w:trHeight w:val="379"/>
        </w:trPr>
        <w:tc>
          <w:tcPr>
            <w:tcW w:w="6320" w:type="dxa"/>
            <w:gridSpan w:val="2"/>
          </w:tcPr>
          <w:p w14:paraId="325907D1"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eastAsia="PMingLiU" w:hAnsi="Times New Roman" w:cs="Times New Roman"/>
                <w:sz w:val="20"/>
                <w:szCs w:val="20"/>
                <w:lang w:eastAsia="zh-TW"/>
              </w:rPr>
              <w:t>Hyperacute stage treatment</w:t>
            </w:r>
          </w:p>
        </w:tc>
      </w:tr>
      <w:tr w:rsidR="00F220D2" w:rsidRPr="00086830" w14:paraId="2BE500E5" w14:textId="77777777" w:rsidTr="00B22B91">
        <w:trPr>
          <w:trHeight w:val="379"/>
        </w:trPr>
        <w:tc>
          <w:tcPr>
            <w:tcW w:w="4390" w:type="dxa"/>
          </w:tcPr>
          <w:p w14:paraId="04BD4277" w14:textId="29FC794D"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IV</w:t>
            </w:r>
            <w:r w:rsidR="00242ADD">
              <w:rPr>
                <w:rFonts w:ascii="Times New Roman" w:hAnsi="Times New Roman" w:cs="Times New Roman"/>
                <w:sz w:val="20"/>
                <w:szCs w:val="20"/>
              </w:rPr>
              <w:t>T</w:t>
            </w:r>
          </w:p>
        </w:tc>
        <w:tc>
          <w:tcPr>
            <w:tcW w:w="1930" w:type="dxa"/>
          </w:tcPr>
          <w:p w14:paraId="6BAB7644" w14:textId="033DFA3A"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12 (2.2)</w:t>
            </w:r>
          </w:p>
        </w:tc>
      </w:tr>
      <w:tr w:rsidR="00F220D2" w:rsidRPr="00086830" w14:paraId="65C53036" w14:textId="77777777" w:rsidTr="00B22B91">
        <w:trPr>
          <w:trHeight w:val="379"/>
        </w:trPr>
        <w:tc>
          <w:tcPr>
            <w:tcW w:w="4390" w:type="dxa"/>
          </w:tcPr>
          <w:p w14:paraId="0B602424" w14:textId="3C668AD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sidR="0049548E">
              <w:rPr>
                <w:rFonts w:ascii="Times New Roman" w:hAnsi="Times New Roman" w:cs="Times New Roman"/>
                <w:sz w:val="20"/>
                <w:szCs w:val="20"/>
              </w:rPr>
              <w:t>EVT</w:t>
            </w:r>
          </w:p>
        </w:tc>
        <w:tc>
          <w:tcPr>
            <w:tcW w:w="1930" w:type="dxa"/>
          </w:tcPr>
          <w:p w14:paraId="02572F7B" w14:textId="7BB53E8F"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7 (1.3)</w:t>
            </w:r>
          </w:p>
        </w:tc>
      </w:tr>
      <w:tr w:rsidR="00F220D2" w:rsidRPr="00086830" w14:paraId="4B201851" w14:textId="77777777" w:rsidTr="00B22B91">
        <w:trPr>
          <w:trHeight w:val="379"/>
        </w:trPr>
        <w:tc>
          <w:tcPr>
            <w:tcW w:w="4390" w:type="dxa"/>
          </w:tcPr>
          <w:p w14:paraId="58D7801A" w14:textId="300E7180"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IV</w:t>
            </w:r>
            <w:r w:rsidR="00242ADD">
              <w:rPr>
                <w:rFonts w:ascii="Times New Roman" w:hAnsi="Times New Roman" w:cs="Times New Roman"/>
                <w:sz w:val="20"/>
                <w:szCs w:val="20"/>
              </w:rPr>
              <w:t>T</w:t>
            </w:r>
            <w:r w:rsidRPr="00086830">
              <w:rPr>
                <w:rFonts w:ascii="Times New Roman" w:hAnsi="Times New Roman" w:cs="Times New Roman"/>
                <w:sz w:val="20"/>
                <w:szCs w:val="20"/>
              </w:rPr>
              <w:t xml:space="preserve"> + </w:t>
            </w:r>
            <w:r w:rsidR="0070264F">
              <w:rPr>
                <w:rFonts w:ascii="Times New Roman" w:hAnsi="Times New Roman" w:cs="Times New Roman"/>
                <w:sz w:val="20"/>
                <w:szCs w:val="20"/>
              </w:rPr>
              <w:t>EVT</w:t>
            </w:r>
          </w:p>
        </w:tc>
        <w:tc>
          <w:tcPr>
            <w:tcW w:w="1930" w:type="dxa"/>
          </w:tcPr>
          <w:p w14:paraId="5E5A5948" w14:textId="732DFCB1"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5 (0.9)</w:t>
            </w:r>
          </w:p>
        </w:tc>
      </w:tr>
      <w:tr w:rsidR="00F220D2" w:rsidRPr="00086830" w14:paraId="3CFD3663" w14:textId="77777777" w:rsidTr="00B22B91">
        <w:trPr>
          <w:trHeight w:val="379"/>
        </w:trPr>
        <w:tc>
          <w:tcPr>
            <w:tcW w:w="6320" w:type="dxa"/>
            <w:gridSpan w:val="2"/>
          </w:tcPr>
          <w:p w14:paraId="2951AA41"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Comorbidities</w:t>
            </w:r>
          </w:p>
        </w:tc>
      </w:tr>
      <w:tr w:rsidR="00F220D2" w:rsidRPr="00086830" w14:paraId="181BFBF9" w14:textId="77777777" w:rsidTr="00B22B91">
        <w:trPr>
          <w:trHeight w:val="379"/>
        </w:trPr>
        <w:tc>
          <w:tcPr>
            <w:tcW w:w="4390" w:type="dxa"/>
          </w:tcPr>
          <w:p w14:paraId="591C4556"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Cardiovascular diseases</w:t>
            </w:r>
          </w:p>
        </w:tc>
        <w:tc>
          <w:tcPr>
            <w:tcW w:w="1930" w:type="dxa"/>
          </w:tcPr>
          <w:p w14:paraId="2C9CD820" w14:textId="46441619"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450 (8</w:t>
            </w:r>
            <w:r w:rsidR="00B136F9">
              <w:rPr>
                <w:rFonts w:ascii="Times New Roman" w:hAnsi="Times New Roman" w:cs="Times New Roman"/>
                <w:sz w:val="20"/>
                <w:szCs w:val="20"/>
              </w:rPr>
              <w:t>3</w:t>
            </w:r>
            <w:r w:rsidRPr="00086830">
              <w:rPr>
                <w:rFonts w:ascii="Times New Roman" w:hAnsi="Times New Roman" w:cs="Times New Roman"/>
                <w:sz w:val="20"/>
                <w:szCs w:val="20"/>
              </w:rPr>
              <w:t>.</w:t>
            </w:r>
            <w:r w:rsidR="00B136F9">
              <w:rPr>
                <w:rFonts w:ascii="Times New Roman" w:hAnsi="Times New Roman" w:cs="Times New Roman"/>
                <w:sz w:val="20"/>
                <w:szCs w:val="20"/>
              </w:rPr>
              <w:t>8</w:t>
            </w:r>
            <w:r w:rsidRPr="00086830">
              <w:rPr>
                <w:rFonts w:ascii="Times New Roman" w:hAnsi="Times New Roman" w:cs="Times New Roman"/>
                <w:sz w:val="20"/>
                <w:szCs w:val="20"/>
              </w:rPr>
              <w:t>)</w:t>
            </w:r>
          </w:p>
        </w:tc>
      </w:tr>
      <w:tr w:rsidR="00F220D2" w:rsidRPr="00086830" w14:paraId="6093BC49" w14:textId="77777777" w:rsidTr="00B22B91">
        <w:trPr>
          <w:trHeight w:val="379"/>
        </w:trPr>
        <w:tc>
          <w:tcPr>
            <w:tcW w:w="4390" w:type="dxa"/>
          </w:tcPr>
          <w:p w14:paraId="049E49B7" w14:textId="77777777" w:rsidR="00F220D2" w:rsidRPr="00086830" w:rsidRDefault="00F220D2" w:rsidP="00B22B91">
            <w:pPr>
              <w:snapToGrid w:val="0"/>
              <w:spacing w:line="480" w:lineRule="auto"/>
              <w:ind w:firstLineChars="100" w:firstLine="200"/>
              <w:jc w:val="both"/>
              <w:rPr>
                <w:rFonts w:ascii="Times New Roman" w:hAnsi="Times New Roman" w:cs="Times New Roman"/>
                <w:sz w:val="20"/>
                <w:szCs w:val="20"/>
              </w:rPr>
            </w:pPr>
            <w:r w:rsidRPr="00086830">
              <w:rPr>
                <w:rFonts w:ascii="Times New Roman" w:hAnsi="Times New Roman" w:cs="Times New Roman"/>
                <w:sz w:val="20"/>
                <w:szCs w:val="20"/>
              </w:rPr>
              <w:t>Hypertension</w:t>
            </w:r>
          </w:p>
        </w:tc>
        <w:tc>
          <w:tcPr>
            <w:tcW w:w="1930" w:type="dxa"/>
          </w:tcPr>
          <w:p w14:paraId="477EA52E" w14:textId="3D10AA6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413 (76.</w:t>
            </w:r>
            <w:r w:rsidR="00B136F9">
              <w:rPr>
                <w:rFonts w:ascii="Times New Roman" w:hAnsi="Times New Roman" w:cs="Times New Roman"/>
                <w:sz w:val="20"/>
                <w:szCs w:val="20"/>
              </w:rPr>
              <w:t>9</w:t>
            </w:r>
            <w:r w:rsidRPr="00086830">
              <w:rPr>
                <w:rFonts w:ascii="Times New Roman" w:hAnsi="Times New Roman" w:cs="Times New Roman"/>
                <w:sz w:val="20"/>
                <w:szCs w:val="20"/>
              </w:rPr>
              <w:t>)</w:t>
            </w:r>
          </w:p>
        </w:tc>
      </w:tr>
      <w:tr w:rsidR="00F220D2" w:rsidRPr="00086830" w14:paraId="181A13D4" w14:textId="77777777" w:rsidTr="00B22B91">
        <w:trPr>
          <w:trHeight w:val="379"/>
        </w:trPr>
        <w:tc>
          <w:tcPr>
            <w:tcW w:w="4390" w:type="dxa"/>
          </w:tcPr>
          <w:p w14:paraId="1EAB2FE9" w14:textId="77777777" w:rsidR="00F220D2" w:rsidRPr="00086830" w:rsidRDefault="00F220D2" w:rsidP="00B22B91">
            <w:pPr>
              <w:snapToGrid w:val="0"/>
              <w:spacing w:line="480" w:lineRule="auto"/>
              <w:ind w:firstLineChars="100" w:firstLine="200"/>
              <w:jc w:val="both"/>
              <w:rPr>
                <w:rFonts w:ascii="Times New Roman" w:hAnsi="Times New Roman" w:cs="Times New Roman"/>
                <w:sz w:val="20"/>
                <w:szCs w:val="20"/>
              </w:rPr>
            </w:pPr>
            <w:r w:rsidRPr="00086830">
              <w:rPr>
                <w:rFonts w:ascii="Times New Roman" w:hAnsi="Times New Roman" w:cs="Times New Roman"/>
                <w:sz w:val="20"/>
                <w:szCs w:val="20"/>
              </w:rPr>
              <w:t>Old cerebrovascular disease</w:t>
            </w:r>
          </w:p>
        </w:tc>
        <w:tc>
          <w:tcPr>
            <w:tcW w:w="1930" w:type="dxa"/>
          </w:tcPr>
          <w:p w14:paraId="2859CCFF" w14:textId="43660BC8"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117 (21.</w:t>
            </w:r>
            <w:r w:rsidR="00B136F9">
              <w:rPr>
                <w:rFonts w:ascii="Times New Roman" w:hAnsi="Times New Roman" w:cs="Times New Roman"/>
                <w:sz w:val="20"/>
                <w:szCs w:val="20"/>
              </w:rPr>
              <w:t>8</w:t>
            </w:r>
            <w:r w:rsidRPr="00086830">
              <w:rPr>
                <w:rFonts w:ascii="Times New Roman" w:hAnsi="Times New Roman" w:cs="Times New Roman"/>
                <w:sz w:val="20"/>
                <w:szCs w:val="20"/>
              </w:rPr>
              <w:t>)</w:t>
            </w:r>
          </w:p>
        </w:tc>
      </w:tr>
      <w:tr w:rsidR="00F220D2" w:rsidRPr="00086830" w14:paraId="64EA5745" w14:textId="77777777" w:rsidTr="00B22B91">
        <w:trPr>
          <w:trHeight w:val="379"/>
        </w:trPr>
        <w:tc>
          <w:tcPr>
            <w:tcW w:w="4390" w:type="dxa"/>
          </w:tcPr>
          <w:p w14:paraId="3B77608A" w14:textId="77777777" w:rsidR="00F220D2" w:rsidRPr="00086830" w:rsidRDefault="00F220D2" w:rsidP="00B22B91">
            <w:pPr>
              <w:snapToGrid w:val="0"/>
              <w:spacing w:line="480" w:lineRule="auto"/>
              <w:ind w:firstLineChars="100" w:firstLine="200"/>
              <w:jc w:val="both"/>
              <w:rPr>
                <w:rFonts w:ascii="Times New Roman" w:hAnsi="Times New Roman" w:cs="Times New Roman"/>
                <w:sz w:val="20"/>
                <w:szCs w:val="20"/>
              </w:rPr>
            </w:pPr>
            <w:r w:rsidRPr="00086830">
              <w:rPr>
                <w:rFonts w:ascii="Times New Roman" w:hAnsi="Times New Roman" w:cs="Times New Roman"/>
                <w:sz w:val="20"/>
                <w:szCs w:val="20"/>
              </w:rPr>
              <w:t>Atrial fibrillation</w:t>
            </w:r>
          </w:p>
        </w:tc>
        <w:tc>
          <w:tcPr>
            <w:tcW w:w="1930" w:type="dxa"/>
          </w:tcPr>
          <w:p w14:paraId="6DBF74A2" w14:textId="4B6E02EE"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57 (10.6)</w:t>
            </w:r>
          </w:p>
        </w:tc>
      </w:tr>
      <w:tr w:rsidR="00F220D2" w:rsidRPr="00086830" w14:paraId="5E81F73B" w14:textId="77777777" w:rsidTr="00B22B91">
        <w:trPr>
          <w:trHeight w:val="379"/>
        </w:trPr>
        <w:tc>
          <w:tcPr>
            <w:tcW w:w="4390" w:type="dxa"/>
          </w:tcPr>
          <w:p w14:paraId="0D22EBFA" w14:textId="77777777" w:rsidR="00F220D2" w:rsidRPr="00086830" w:rsidRDefault="00F220D2" w:rsidP="00B22B91">
            <w:pPr>
              <w:snapToGrid w:val="0"/>
              <w:spacing w:line="480" w:lineRule="auto"/>
              <w:ind w:firstLineChars="100" w:firstLine="200"/>
              <w:jc w:val="both"/>
              <w:rPr>
                <w:rFonts w:ascii="Times New Roman" w:hAnsi="Times New Roman" w:cs="Times New Roman"/>
                <w:sz w:val="20"/>
                <w:szCs w:val="20"/>
              </w:rPr>
            </w:pPr>
            <w:r w:rsidRPr="00086830">
              <w:rPr>
                <w:rFonts w:ascii="Times New Roman" w:hAnsi="Times New Roman" w:cs="Times New Roman"/>
                <w:sz w:val="20"/>
                <w:szCs w:val="20"/>
              </w:rPr>
              <w:t>Other cardiovascular diseases</w:t>
            </w:r>
          </w:p>
        </w:tc>
        <w:tc>
          <w:tcPr>
            <w:tcW w:w="1930" w:type="dxa"/>
          </w:tcPr>
          <w:p w14:paraId="0FC39D9B" w14:textId="5673354F"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52 (</w:t>
            </w:r>
            <w:r w:rsidR="00B136F9">
              <w:rPr>
                <w:rFonts w:ascii="Times New Roman" w:hAnsi="Times New Roman" w:cs="Times New Roman"/>
                <w:sz w:val="20"/>
                <w:szCs w:val="20"/>
              </w:rPr>
              <w:t>9.7</w:t>
            </w:r>
            <w:r w:rsidRPr="00086830">
              <w:rPr>
                <w:rFonts w:ascii="Times New Roman" w:hAnsi="Times New Roman" w:cs="Times New Roman"/>
                <w:sz w:val="20"/>
                <w:szCs w:val="20"/>
              </w:rPr>
              <w:t>)</w:t>
            </w:r>
          </w:p>
        </w:tc>
      </w:tr>
      <w:tr w:rsidR="00F220D2" w:rsidRPr="00086830" w14:paraId="1EF8F6BF" w14:textId="77777777" w:rsidTr="00B22B91">
        <w:trPr>
          <w:trHeight w:val="379"/>
        </w:trPr>
        <w:tc>
          <w:tcPr>
            <w:tcW w:w="4390" w:type="dxa"/>
          </w:tcPr>
          <w:p w14:paraId="3AF68DEB"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Dyslipidemia</w:t>
            </w:r>
          </w:p>
        </w:tc>
        <w:tc>
          <w:tcPr>
            <w:tcW w:w="1930" w:type="dxa"/>
          </w:tcPr>
          <w:p w14:paraId="1FAF3109" w14:textId="1CD0F12B"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246 (</w:t>
            </w:r>
            <w:r w:rsidR="00B136F9">
              <w:rPr>
                <w:rFonts w:ascii="Times New Roman" w:hAnsi="Times New Roman" w:cs="Times New Roman"/>
                <w:sz w:val="20"/>
                <w:szCs w:val="20"/>
              </w:rPr>
              <w:t>45.8</w:t>
            </w:r>
            <w:r w:rsidRPr="00086830">
              <w:rPr>
                <w:rFonts w:ascii="Times New Roman" w:hAnsi="Times New Roman" w:cs="Times New Roman"/>
                <w:sz w:val="20"/>
                <w:szCs w:val="20"/>
              </w:rPr>
              <w:t>)</w:t>
            </w:r>
          </w:p>
        </w:tc>
      </w:tr>
      <w:tr w:rsidR="00F220D2" w:rsidRPr="00086830" w14:paraId="43F0F2CD" w14:textId="77777777" w:rsidTr="00B22B91">
        <w:trPr>
          <w:trHeight w:val="379"/>
        </w:trPr>
        <w:tc>
          <w:tcPr>
            <w:tcW w:w="4390" w:type="dxa"/>
          </w:tcPr>
          <w:p w14:paraId="501EB402"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Diabetes mellitus</w:t>
            </w:r>
          </w:p>
        </w:tc>
        <w:tc>
          <w:tcPr>
            <w:tcW w:w="1930" w:type="dxa"/>
          </w:tcPr>
          <w:p w14:paraId="44EC9A86" w14:textId="16C0AD74"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218 (40.</w:t>
            </w:r>
            <w:r w:rsidR="00B136F9">
              <w:rPr>
                <w:rFonts w:ascii="Times New Roman" w:hAnsi="Times New Roman" w:cs="Times New Roman"/>
                <w:sz w:val="20"/>
                <w:szCs w:val="20"/>
              </w:rPr>
              <w:t>6</w:t>
            </w:r>
            <w:r w:rsidRPr="00086830">
              <w:rPr>
                <w:rFonts w:ascii="Times New Roman" w:hAnsi="Times New Roman" w:cs="Times New Roman"/>
                <w:sz w:val="20"/>
                <w:szCs w:val="20"/>
              </w:rPr>
              <w:t>)</w:t>
            </w:r>
          </w:p>
        </w:tc>
      </w:tr>
      <w:tr w:rsidR="00F220D2" w:rsidRPr="00086830" w14:paraId="47A4F7AC" w14:textId="77777777" w:rsidTr="00B22B91">
        <w:trPr>
          <w:trHeight w:val="379"/>
        </w:trPr>
        <w:tc>
          <w:tcPr>
            <w:tcW w:w="4390" w:type="dxa"/>
          </w:tcPr>
          <w:p w14:paraId="0D9F8070"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Gout</w:t>
            </w:r>
          </w:p>
        </w:tc>
        <w:tc>
          <w:tcPr>
            <w:tcW w:w="1930" w:type="dxa"/>
          </w:tcPr>
          <w:p w14:paraId="3B0EF39F" w14:textId="78CB02C5"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36 (6.7)</w:t>
            </w:r>
          </w:p>
        </w:tc>
      </w:tr>
      <w:tr w:rsidR="00F220D2" w:rsidRPr="00086830" w14:paraId="75A52AEB" w14:textId="77777777" w:rsidTr="00B22B91">
        <w:trPr>
          <w:trHeight w:val="379"/>
        </w:trPr>
        <w:tc>
          <w:tcPr>
            <w:tcW w:w="4390" w:type="dxa"/>
          </w:tcPr>
          <w:p w14:paraId="1EBE6451"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Chronic kidney disease</w:t>
            </w:r>
          </w:p>
        </w:tc>
        <w:tc>
          <w:tcPr>
            <w:tcW w:w="1930" w:type="dxa"/>
          </w:tcPr>
          <w:p w14:paraId="091B414F" w14:textId="0706C554"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25 (</w:t>
            </w:r>
            <w:r w:rsidR="00B136F9">
              <w:rPr>
                <w:rFonts w:ascii="Times New Roman" w:hAnsi="Times New Roman" w:cs="Times New Roman"/>
                <w:sz w:val="20"/>
                <w:szCs w:val="20"/>
              </w:rPr>
              <w:t>4.6</w:t>
            </w:r>
            <w:r w:rsidRPr="00086830">
              <w:rPr>
                <w:rFonts w:ascii="Times New Roman" w:hAnsi="Times New Roman" w:cs="Times New Roman"/>
                <w:sz w:val="20"/>
                <w:szCs w:val="20"/>
              </w:rPr>
              <w:t>)</w:t>
            </w:r>
          </w:p>
        </w:tc>
      </w:tr>
      <w:tr w:rsidR="00F220D2" w:rsidRPr="00086830" w14:paraId="3400D19E" w14:textId="77777777" w:rsidTr="00B22B91">
        <w:trPr>
          <w:trHeight w:val="379"/>
        </w:trPr>
        <w:tc>
          <w:tcPr>
            <w:tcW w:w="4390" w:type="dxa"/>
          </w:tcPr>
          <w:p w14:paraId="5C6C748D"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Restrictive lung disease</w:t>
            </w:r>
          </w:p>
        </w:tc>
        <w:tc>
          <w:tcPr>
            <w:tcW w:w="1930" w:type="dxa"/>
          </w:tcPr>
          <w:p w14:paraId="47C036BD" w14:textId="29CCEE06"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12 (2.2)</w:t>
            </w:r>
          </w:p>
        </w:tc>
      </w:tr>
      <w:tr w:rsidR="00F220D2" w:rsidRPr="00086830" w14:paraId="1936F35E" w14:textId="77777777" w:rsidTr="00B22B91">
        <w:trPr>
          <w:trHeight w:val="379"/>
        </w:trPr>
        <w:tc>
          <w:tcPr>
            <w:tcW w:w="4390" w:type="dxa"/>
          </w:tcPr>
          <w:p w14:paraId="1E7675E3"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lastRenderedPageBreak/>
              <w:t xml:space="preserve">  Dementia</w:t>
            </w:r>
          </w:p>
        </w:tc>
        <w:tc>
          <w:tcPr>
            <w:tcW w:w="1930" w:type="dxa"/>
          </w:tcPr>
          <w:p w14:paraId="419556FD" w14:textId="35D43319"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12 (2.2)</w:t>
            </w:r>
          </w:p>
        </w:tc>
      </w:tr>
      <w:tr w:rsidR="00F220D2" w:rsidRPr="00086830" w14:paraId="45A21D7E" w14:textId="77777777" w:rsidTr="00B22B91">
        <w:trPr>
          <w:trHeight w:val="379"/>
        </w:trPr>
        <w:tc>
          <w:tcPr>
            <w:tcW w:w="4390" w:type="dxa"/>
          </w:tcPr>
          <w:p w14:paraId="6C230D40"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Psychiatric or mood disorder </w:t>
            </w:r>
          </w:p>
        </w:tc>
        <w:tc>
          <w:tcPr>
            <w:tcW w:w="1930" w:type="dxa"/>
          </w:tcPr>
          <w:p w14:paraId="17C0419F" w14:textId="28B91489"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12 (2.2)</w:t>
            </w:r>
          </w:p>
        </w:tc>
      </w:tr>
      <w:tr w:rsidR="00F220D2" w:rsidRPr="00086830" w14:paraId="2CA5CF9C" w14:textId="77777777" w:rsidTr="00B22B91">
        <w:trPr>
          <w:trHeight w:val="379"/>
        </w:trPr>
        <w:tc>
          <w:tcPr>
            <w:tcW w:w="6320" w:type="dxa"/>
            <w:gridSpan w:val="2"/>
          </w:tcPr>
          <w:p w14:paraId="77525578"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Complications at acute care ward</w:t>
            </w:r>
          </w:p>
        </w:tc>
      </w:tr>
      <w:tr w:rsidR="00F220D2" w:rsidRPr="00086830" w14:paraId="7FDD31EF" w14:textId="77777777" w:rsidTr="00B22B91">
        <w:trPr>
          <w:trHeight w:val="379"/>
        </w:trPr>
        <w:tc>
          <w:tcPr>
            <w:tcW w:w="4390" w:type="dxa"/>
          </w:tcPr>
          <w:p w14:paraId="701A669D"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Urinary tract infection</w:t>
            </w:r>
          </w:p>
        </w:tc>
        <w:tc>
          <w:tcPr>
            <w:tcW w:w="1930" w:type="dxa"/>
          </w:tcPr>
          <w:p w14:paraId="3FDF9829" w14:textId="5F558610"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41 (7.6)</w:t>
            </w:r>
          </w:p>
        </w:tc>
      </w:tr>
      <w:tr w:rsidR="00F220D2" w:rsidRPr="00086830" w14:paraId="4227E009" w14:textId="77777777" w:rsidTr="00B22B91">
        <w:trPr>
          <w:trHeight w:val="379"/>
        </w:trPr>
        <w:tc>
          <w:tcPr>
            <w:tcW w:w="4390" w:type="dxa"/>
          </w:tcPr>
          <w:p w14:paraId="63D1A43E"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Pneumonia</w:t>
            </w:r>
          </w:p>
        </w:tc>
        <w:tc>
          <w:tcPr>
            <w:tcW w:w="1930" w:type="dxa"/>
          </w:tcPr>
          <w:p w14:paraId="7C96D9A1" w14:textId="6F04F9CA"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40 (7.4)</w:t>
            </w:r>
          </w:p>
        </w:tc>
      </w:tr>
      <w:tr w:rsidR="00F220D2" w:rsidRPr="00086830" w14:paraId="4930993D" w14:textId="77777777" w:rsidTr="00B22B91">
        <w:trPr>
          <w:trHeight w:val="379"/>
        </w:trPr>
        <w:tc>
          <w:tcPr>
            <w:tcW w:w="4390" w:type="dxa"/>
          </w:tcPr>
          <w:p w14:paraId="0ECA9E80"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Gastrointestinal bleeding</w:t>
            </w:r>
          </w:p>
        </w:tc>
        <w:tc>
          <w:tcPr>
            <w:tcW w:w="1930" w:type="dxa"/>
          </w:tcPr>
          <w:p w14:paraId="0E2F5731" w14:textId="2CEF9C64"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26 (4.8)</w:t>
            </w:r>
          </w:p>
        </w:tc>
      </w:tr>
      <w:tr w:rsidR="00F220D2" w:rsidRPr="00086830" w14:paraId="68AE6FB4" w14:textId="77777777" w:rsidTr="00B22B91">
        <w:trPr>
          <w:trHeight w:val="379"/>
        </w:trPr>
        <w:tc>
          <w:tcPr>
            <w:tcW w:w="4390" w:type="dxa"/>
          </w:tcPr>
          <w:p w14:paraId="687399F7"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Cellulitis</w:t>
            </w:r>
          </w:p>
        </w:tc>
        <w:tc>
          <w:tcPr>
            <w:tcW w:w="1930" w:type="dxa"/>
          </w:tcPr>
          <w:p w14:paraId="35E68CA5" w14:textId="7F4F724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10 (1.</w:t>
            </w:r>
            <w:r w:rsidR="00B136F9">
              <w:rPr>
                <w:rFonts w:ascii="Times New Roman" w:hAnsi="Times New Roman" w:cs="Times New Roman"/>
                <w:sz w:val="20"/>
                <w:szCs w:val="20"/>
              </w:rPr>
              <w:t>9</w:t>
            </w:r>
            <w:r w:rsidRPr="00086830">
              <w:rPr>
                <w:rFonts w:ascii="Times New Roman" w:hAnsi="Times New Roman" w:cs="Times New Roman"/>
                <w:sz w:val="20"/>
                <w:szCs w:val="20"/>
              </w:rPr>
              <w:t>)</w:t>
            </w:r>
          </w:p>
        </w:tc>
      </w:tr>
      <w:tr w:rsidR="00F220D2" w:rsidRPr="00086830" w14:paraId="2F428F04" w14:textId="77777777" w:rsidTr="00B22B91">
        <w:trPr>
          <w:trHeight w:val="416"/>
        </w:trPr>
        <w:tc>
          <w:tcPr>
            <w:tcW w:w="6320" w:type="dxa"/>
            <w:gridSpan w:val="2"/>
          </w:tcPr>
          <w:p w14:paraId="07003D76" w14:textId="496E2DA0" w:rsidR="00F220D2" w:rsidRPr="00086830" w:rsidRDefault="008F6513"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R</w:t>
            </w:r>
            <w:r w:rsidR="00F220D2" w:rsidRPr="00086830">
              <w:rPr>
                <w:rFonts w:ascii="Times New Roman" w:hAnsi="Times New Roman" w:cs="Times New Roman"/>
                <w:sz w:val="20"/>
                <w:szCs w:val="20"/>
              </w:rPr>
              <w:t>ehabilitation duration</w:t>
            </w:r>
          </w:p>
        </w:tc>
      </w:tr>
      <w:tr w:rsidR="00F220D2" w:rsidRPr="00086830" w14:paraId="5A7A0E41" w14:textId="77777777" w:rsidTr="00B22B91">
        <w:trPr>
          <w:trHeight w:val="379"/>
        </w:trPr>
        <w:tc>
          <w:tcPr>
            <w:tcW w:w="4390" w:type="dxa"/>
          </w:tcPr>
          <w:p w14:paraId="27755A4E" w14:textId="1BC7CE21"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sidR="00211487">
              <w:rPr>
                <w:rFonts w:ascii="Times New Roman" w:hAnsi="Times New Roman" w:cs="Times New Roman"/>
                <w:sz w:val="20"/>
                <w:szCs w:val="20"/>
              </w:rPr>
              <w:t>No more</w:t>
            </w:r>
            <w:r w:rsidRPr="00086830">
              <w:rPr>
                <w:rFonts w:ascii="Times New Roman" w:hAnsi="Times New Roman" w:cs="Times New Roman"/>
                <w:sz w:val="20"/>
                <w:szCs w:val="20"/>
              </w:rPr>
              <w:t xml:space="preserve"> than 3 weeks</w:t>
            </w:r>
          </w:p>
        </w:tc>
        <w:tc>
          <w:tcPr>
            <w:tcW w:w="1930" w:type="dxa"/>
          </w:tcPr>
          <w:p w14:paraId="5C16319C" w14:textId="25E018B6"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85 (15.8)</w:t>
            </w:r>
          </w:p>
        </w:tc>
      </w:tr>
      <w:tr w:rsidR="00F220D2" w:rsidRPr="00086830" w14:paraId="6E3AEB68" w14:textId="77777777" w:rsidTr="00B22B91">
        <w:trPr>
          <w:trHeight w:val="379"/>
        </w:trPr>
        <w:tc>
          <w:tcPr>
            <w:tcW w:w="4390" w:type="dxa"/>
          </w:tcPr>
          <w:p w14:paraId="1781B2A0"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Between 3 and 6 weeks</w:t>
            </w:r>
          </w:p>
        </w:tc>
        <w:tc>
          <w:tcPr>
            <w:tcW w:w="1930" w:type="dxa"/>
          </w:tcPr>
          <w:p w14:paraId="65AE63E3" w14:textId="2120CEF8"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143 (26.6)</w:t>
            </w:r>
          </w:p>
        </w:tc>
      </w:tr>
      <w:tr w:rsidR="00F220D2" w:rsidRPr="00086830" w14:paraId="3835A1D0" w14:textId="77777777" w:rsidTr="00B22B91">
        <w:trPr>
          <w:trHeight w:val="379"/>
        </w:trPr>
        <w:tc>
          <w:tcPr>
            <w:tcW w:w="4390" w:type="dxa"/>
          </w:tcPr>
          <w:p w14:paraId="6565DCDB" w14:textId="59E9A03A"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Between </w:t>
            </w:r>
            <w:r w:rsidR="00B136F9">
              <w:rPr>
                <w:rFonts w:ascii="Times New Roman" w:hAnsi="Times New Roman" w:cs="Times New Roman"/>
                <w:sz w:val="20"/>
                <w:szCs w:val="20"/>
              </w:rPr>
              <w:t>6</w:t>
            </w:r>
            <w:r w:rsidRPr="00086830">
              <w:rPr>
                <w:rFonts w:ascii="Times New Roman" w:hAnsi="Times New Roman" w:cs="Times New Roman"/>
                <w:sz w:val="20"/>
                <w:szCs w:val="20"/>
              </w:rPr>
              <w:t xml:space="preserve"> and 12 weeks</w:t>
            </w:r>
          </w:p>
        </w:tc>
        <w:tc>
          <w:tcPr>
            <w:tcW w:w="1930" w:type="dxa"/>
          </w:tcPr>
          <w:p w14:paraId="0FD6A2F1" w14:textId="02B0B333"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30</w:t>
            </w:r>
            <w:r w:rsidR="00B136F9">
              <w:rPr>
                <w:rFonts w:ascii="Times New Roman" w:hAnsi="Times New Roman" w:cs="Times New Roman"/>
                <w:sz w:val="20"/>
                <w:szCs w:val="20"/>
              </w:rPr>
              <w:t>9</w:t>
            </w:r>
            <w:r w:rsidRPr="00086830">
              <w:rPr>
                <w:rFonts w:ascii="Times New Roman" w:hAnsi="Times New Roman" w:cs="Times New Roman"/>
                <w:sz w:val="20"/>
                <w:szCs w:val="20"/>
              </w:rPr>
              <w:t xml:space="preserve"> (5</w:t>
            </w:r>
            <w:r w:rsidR="006610DF">
              <w:rPr>
                <w:rFonts w:ascii="Times New Roman" w:hAnsi="Times New Roman" w:cs="Times New Roman"/>
                <w:sz w:val="20"/>
                <w:szCs w:val="20"/>
              </w:rPr>
              <w:t>7</w:t>
            </w:r>
            <w:r w:rsidRPr="00086830">
              <w:rPr>
                <w:rFonts w:ascii="Times New Roman" w:hAnsi="Times New Roman" w:cs="Times New Roman"/>
                <w:sz w:val="20"/>
                <w:szCs w:val="20"/>
              </w:rPr>
              <w:t>.</w:t>
            </w:r>
            <w:r w:rsidR="006610DF">
              <w:rPr>
                <w:rFonts w:ascii="Times New Roman" w:hAnsi="Times New Roman" w:cs="Times New Roman"/>
                <w:sz w:val="20"/>
                <w:szCs w:val="20"/>
              </w:rPr>
              <w:t>5</w:t>
            </w:r>
            <w:r w:rsidRPr="00086830">
              <w:rPr>
                <w:rFonts w:ascii="Times New Roman" w:hAnsi="Times New Roman" w:cs="Times New Roman"/>
                <w:sz w:val="20"/>
                <w:szCs w:val="20"/>
              </w:rPr>
              <w:t>)</w:t>
            </w:r>
          </w:p>
        </w:tc>
      </w:tr>
      <w:tr w:rsidR="00F220D2" w:rsidRPr="00086830" w14:paraId="58A01FD1" w14:textId="77777777" w:rsidTr="00B22B91">
        <w:trPr>
          <w:trHeight w:val="379"/>
        </w:trPr>
        <w:tc>
          <w:tcPr>
            <w:tcW w:w="6320" w:type="dxa"/>
            <w:gridSpan w:val="2"/>
          </w:tcPr>
          <w:p w14:paraId="7C8D6D1E" w14:textId="470CE80F"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Discharge destination after the PAC</w:t>
            </w:r>
            <w:r w:rsidR="00FC330D">
              <w:rPr>
                <w:rFonts w:ascii="Times New Roman" w:hAnsi="Times New Roman" w:cs="Times New Roman"/>
                <w:sz w:val="20"/>
                <w:szCs w:val="20"/>
              </w:rPr>
              <w:t>-CVD</w:t>
            </w:r>
            <w:r w:rsidRPr="00086830">
              <w:rPr>
                <w:rFonts w:ascii="Times New Roman" w:hAnsi="Times New Roman" w:cs="Times New Roman"/>
                <w:sz w:val="20"/>
                <w:szCs w:val="20"/>
              </w:rPr>
              <w:t xml:space="preserve"> program</w:t>
            </w:r>
          </w:p>
        </w:tc>
      </w:tr>
      <w:tr w:rsidR="00F220D2" w:rsidRPr="00086830" w14:paraId="69D11CC6" w14:textId="77777777" w:rsidTr="00B22B91">
        <w:trPr>
          <w:trHeight w:val="379"/>
        </w:trPr>
        <w:tc>
          <w:tcPr>
            <w:tcW w:w="4390" w:type="dxa"/>
          </w:tcPr>
          <w:p w14:paraId="11F181F3"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Home</w:t>
            </w:r>
          </w:p>
        </w:tc>
        <w:tc>
          <w:tcPr>
            <w:tcW w:w="1930" w:type="dxa"/>
          </w:tcPr>
          <w:p w14:paraId="791305C4" w14:textId="4FD75A5B"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476 (88.</w:t>
            </w:r>
            <w:r w:rsidR="006610DF">
              <w:rPr>
                <w:rFonts w:ascii="Times New Roman" w:hAnsi="Times New Roman" w:cs="Times New Roman"/>
                <w:sz w:val="20"/>
                <w:szCs w:val="20"/>
              </w:rPr>
              <w:t>6</w:t>
            </w:r>
            <w:r w:rsidRPr="00086830">
              <w:rPr>
                <w:rFonts w:ascii="Times New Roman" w:hAnsi="Times New Roman" w:cs="Times New Roman"/>
                <w:sz w:val="20"/>
                <w:szCs w:val="20"/>
              </w:rPr>
              <w:t>)</w:t>
            </w:r>
          </w:p>
        </w:tc>
      </w:tr>
      <w:tr w:rsidR="00F220D2" w:rsidRPr="00086830" w14:paraId="28F8C266" w14:textId="77777777" w:rsidTr="00B22B91">
        <w:trPr>
          <w:trHeight w:val="379"/>
        </w:trPr>
        <w:tc>
          <w:tcPr>
            <w:tcW w:w="4390" w:type="dxa"/>
          </w:tcPr>
          <w:p w14:paraId="1649B96A" w14:textId="3A533924"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sidR="00BB5147">
              <w:rPr>
                <w:rFonts w:ascii="Times New Roman" w:hAnsi="Times New Roman" w:cs="Times New Roman"/>
                <w:sz w:val="20"/>
                <w:szCs w:val="20"/>
              </w:rPr>
              <w:t>Readmission</w:t>
            </w:r>
            <w:r w:rsidRPr="00086830">
              <w:rPr>
                <w:rFonts w:ascii="Times New Roman" w:hAnsi="Times New Roman" w:cs="Times New Roman"/>
                <w:sz w:val="20"/>
                <w:szCs w:val="20"/>
              </w:rPr>
              <w:t xml:space="preserve"> to acute ward</w:t>
            </w:r>
          </w:p>
        </w:tc>
        <w:tc>
          <w:tcPr>
            <w:tcW w:w="1930" w:type="dxa"/>
          </w:tcPr>
          <w:p w14:paraId="255AD70D" w14:textId="13B2430F"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w:t>
            </w:r>
            <w:r w:rsidR="00F7720B">
              <w:rPr>
                <w:rFonts w:ascii="Times New Roman" w:hAnsi="Times New Roman" w:cs="Times New Roman"/>
                <w:sz w:val="20"/>
                <w:szCs w:val="20"/>
              </w:rPr>
              <w:t>6</w:t>
            </w:r>
            <w:r w:rsidRPr="00086830">
              <w:rPr>
                <w:rFonts w:ascii="Times New Roman" w:hAnsi="Times New Roman" w:cs="Times New Roman"/>
                <w:sz w:val="20"/>
                <w:szCs w:val="20"/>
              </w:rPr>
              <w:t xml:space="preserve"> (</w:t>
            </w:r>
            <w:r w:rsidR="00881E65">
              <w:rPr>
                <w:rFonts w:ascii="Times New Roman" w:hAnsi="Times New Roman" w:cs="Times New Roman"/>
                <w:sz w:val="20"/>
                <w:szCs w:val="20"/>
              </w:rPr>
              <w:t>4.8</w:t>
            </w:r>
            <w:r w:rsidRPr="00086830">
              <w:rPr>
                <w:rFonts w:ascii="Times New Roman" w:hAnsi="Times New Roman" w:cs="Times New Roman"/>
                <w:sz w:val="20"/>
                <w:szCs w:val="20"/>
              </w:rPr>
              <w:t>)</w:t>
            </w:r>
          </w:p>
        </w:tc>
      </w:tr>
      <w:tr w:rsidR="00F220D2" w:rsidRPr="00086830" w14:paraId="4FC6DCD7" w14:textId="77777777" w:rsidTr="00B22B91">
        <w:trPr>
          <w:trHeight w:val="379"/>
        </w:trPr>
        <w:tc>
          <w:tcPr>
            <w:tcW w:w="4390" w:type="dxa"/>
          </w:tcPr>
          <w:p w14:paraId="6A469121"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Against advice discharge</w:t>
            </w:r>
          </w:p>
        </w:tc>
        <w:tc>
          <w:tcPr>
            <w:tcW w:w="1930" w:type="dxa"/>
          </w:tcPr>
          <w:p w14:paraId="303A832B" w14:textId="38C35371" w:rsidR="00F220D2" w:rsidRPr="00086830" w:rsidRDefault="00C821DC" w:rsidP="00B22B91">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2</w:t>
            </w:r>
            <w:r w:rsidR="00F7720B">
              <w:rPr>
                <w:rFonts w:ascii="Times New Roman" w:hAnsi="Times New Roman" w:cs="Times New Roman"/>
                <w:sz w:val="20"/>
                <w:szCs w:val="20"/>
              </w:rPr>
              <w:t>2</w:t>
            </w:r>
            <w:r w:rsidR="00F220D2" w:rsidRPr="00086830">
              <w:rPr>
                <w:rFonts w:ascii="Times New Roman" w:hAnsi="Times New Roman" w:cs="Times New Roman"/>
                <w:sz w:val="20"/>
                <w:szCs w:val="20"/>
              </w:rPr>
              <w:t xml:space="preserve"> (</w:t>
            </w:r>
            <w:r w:rsidR="00881E65">
              <w:rPr>
                <w:rFonts w:ascii="Times New Roman" w:hAnsi="Times New Roman" w:cs="Times New Roman"/>
                <w:sz w:val="20"/>
                <w:szCs w:val="20"/>
              </w:rPr>
              <w:t>4.1</w:t>
            </w:r>
            <w:r w:rsidR="00F220D2" w:rsidRPr="00086830">
              <w:rPr>
                <w:rFonts w:ascii="Times New Roman" w:hAnsi="Times New Roman" w:cs="Times New Roman"/>
                <w:sz w:val="20"/>
                <w:szCs w:val="20"/>
              </w:rPr>
              <w:t>)</w:t>
            </w:r>
          </w:p>
        </w:tc>
      </w:tr>
      <w:tr w:rsidR="00F220D2" w:rsidRPr="00086830" w14:paraId="7DE258B2" w14:textId="77777777" w:rsidTr="00B22B91">
        <w:trPr>
          <w:trHeight w:val="379"/>
        </w:trPr>
        <w:tc>
          <w:tcPr>
            <w:tcW w:w="4390" w:type="dxa"/>
            <w:tcBorders>
              <w:bottom w:val="single" w:sz="4" w:space="0" w:color="auto"/>
            </w:tcBorders>
          </w:tcPr>
          <w:p w14:paraId="1B13043E" w14:textId="77777777"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Other rehabilitation institution</w:t>
            </w:r>
          </w:p>
        </w:tc>
        <w:tc>
          <w:tcPr>
            <w:tcW w:w="1930" w:type="dxa"/>
            <w:tcBorders>
              <w:bottom w:val="single" w:sz="4" w:space="0" w:color="auto"/>
            </w:tcBorders>
          </w:tcPr>
          <w:p w14:paraId="439673B9" w14:textId="3864EA59" w:rsidR="00F220D2" w:rsidRPr="00086830" w:rsidRDefault="00F220D2" w:rsidP="00B22B91">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14 (2.6)</w:t>
            </w:r>
          </w:p>
        </w:tc>
      </w:tr>
    </w:tbl>
    <w:p w14:paraId="2C11769F" w14:textId="43F187BB" w:rsidR="00082BFD" w:rsidRPr="00E82485" w:rsidRDefault="00F220D2" w:rsidP="003A1B0C">
      <w:pPr>
        <w:snapToGrid w:val="0"/>
        <w:spacing w:line="480" w:lineRule="auto"/>
        <w:jc w:val="both"/>
        <w:rPr>
          <w:rFonts w:ascii="Times New Roman" w:eastAsia="PMingLiU" w:hAnsi="Times New Roman" w:cs="Times New Roman"/>
          <w:sz w:val="20"/>
          <w:szCs w:val="20"/>
        </w:rPr>
      </w:pPr>
      <w:r w:rsidRPr="00086830">
        <w:rPr>
          <w:rFonts w:ascii="Times New Roman" w:hAnsi="Times New Roman" w:cs="Times New Roman"/>
          <w:sz w:val="20"/>
          <w:szCs w:val="20"/>
        </w:rPr>
        <w:t xml:space="preserve">Values </w:t>
      </w:r>
      <w:r w:rsidR="005A5290">
        <w:rPr>
          <w:rFonts w:ascii="Times New Roman" w:hAnsi="Times New Roman" w:cs="Times New Roman"/>
          <w:sz w:val="20"/>
          <w:szCs w:val="20"/>
        </w:rPr>
        <w:t>are</w:t>
      </w:r>
      <w:r w:rsidRPr="00086830">
        <w:rPr>
          <w:rFonts w:ascii="Times New Roman" w:hAnsi="Times New Roman" w:cs="Times New Roman"/>
          <w:sz w:val="20"/>
          <w:szCs w:val="20"/>
        </w:rPr>
        <w:t xml:space="preserve"> expressed as </w:t>
      </w:r>
      <w:r w:rsidR="00F51049">
        <w:rPr>
          <w:rFonts w:ascii="Times New Roman" w:hAnsi="Times New Roman" w:cs="Times New Roman"/>
          <w:sz w:val="20"/>
          <w:szCs w:val="20"/>
        </w:rPr>
        <w:t>median</w:t>
      </w:r>
      <w:r w:rsidRPr="00086830">
        <w:rPr>
          <w:rFonts w:ascii="Times New Roman" w:hAnsi="Times New Roman" w:cs="Times New Roman"/>
          <w:sz w:val="20"/>
          <w:szCs w:val="20"/>
        </w:rPr>
        <w:t xml:space="preserve"> </w:t>
      </w:r>
      <w:r w:rsidR="00146273">
        <w:rPr>
          <w:rFonts w:ascii="Times New Roman" w:eastAsia="PMingLiU" w:hAnsi="Times New Roman" w:cs="Times New Roman"/>
          <w:sz w:val="20"/>
          <w:szCs w:val="20"/>
        </w:rPr>
        <w:t>(</w:t>
      </w:r>
      <w:r w:rsidR="00F51049">
        <w:rPr>
          <w:rFonts w:ascii="Times New Roman" w:eastAsia="PMingLiU" w:hAnsi="Times New Roman" w:cs="Times New Roman"/>
          <w:color w:val="000000" w:themeColor="text1"/>
          <w:sz w:val="20"/>
          <w:szCs w:val="20"/>
        </w:rPr>
        <w:t>interquartile range</w:t>
      </w:r>
      <w:r w:rsidR="00146273">
        <w:rPr>
          <w:rFonts w:ascii="Times New Roman" w:eastAsia="PMingLiU" w:hAnsi="Times New Roman" w:cs="Times New Roman"/>
          <w:color w:val="000000" w:themeColor="text1"/>
          <w:sz w:val="20"/>
          <w:szCs w:val="20"/>
        </w:rPr>
        <w:t>)</w:t>
      </w:r>
      <w:r w:rsidRPr="00086830">
        <w:rPr>
          <w:rFonts w:ascii="Times New Roman" w:eastAsia="PMingLiU" w:hAnsi="Times New Roman" w:cs="Times New Roman"/>
          <w:sz w:val="20"/>
          <w:szCs w:val="20"/>
        </w:rPr>
        <w:t xml:space="preserve"> or counts (percentage).</w:t>
      </w:r>
      <w:r w:rsidR="00082BFD">
        <w:rPr>
          <w:rFonts w:ascii="Times New Roman" w:eastAsia="PMingLiU" w:hAnsi="Times New Roman" w:cs="Times New Roman"/>
          <w:sz w:val="20"/>
          <w:szCs w:val="20"/>
        </w:rPr>
        <w:t xml:space="preserve"> </w:t>
      </w:r>
      <w:r w:rsidR="001F6DF8">
        <w:rPr>
          <w:rFonts w:ascii="Times New Roman" w:eastAsia="PMingLiU" w:hAnsi="Times New Roman" w:cs="Times New Roman"/>
          <w:sz w:val="20"/>
          <w:szCs w:val="20"/>
        </w:rPr>
        <w:t>EVT, endovascular thrombectomy;</w:t>
      </w:r>
    </w:p>
    <w:p w14:paraId="269CE616" w14:textId="08115763" w:rsidR="007411A8" w:rsidRDefault="00F220D2" w:rsidP="00E82485">
      <w:pPr>
        <w:snapToGrid w:val="0"/>
        <w:spacing w:line="480" w:lineRule="auto"/>
        <w:jc w:val="both"/>
        <w:rPr>
          <w:rFonts w:ascii="Times New Roman" w:eastAsia="PMingLiU" w:hAnsi="Times New Roman" w:cs="Times New Roman"/>
          <w:sz w:val="20"/>
          <w:szCs w:val="20"/>
        </w:rPr>
      </w:pPr>
      <w:r w:rsidRPr="00086830">
        <w:rPr>
          <w:rFonts w:ascii="Times New Roman" w:eastAsia="PMingLiU" w:hAnsi="Times New Roman" w:cs="Times New Roman"/>
          <w:sz w:val="20"/>
          <w:szCs w:val="20"/>
        </w:rPr>
        <w:t xml:space="preserve"> IV</w:t>
      </w:r>
      <w:r w:rsidR="00242ADD">
        <w:rPr>
          <w:rFonts w:ascii="Times New Roman" w:eastAsia="PMingLiU" w:hAnsi="Times New Roman" w:cs="Times New Roman"/>
          <w:sz w:val="20"/>
          <w:szCs w:val="20"/>
        </w:rPr>
        <w:t>T</w:t>
      </w:r>
      <w:r w:rsidRPr="00086830">
        <w:rPr>
          <w:rFonts w:ascii="Times New Roman" w:eastAsia="PMingLiU" w:hAnsi="Times New Roman" w:cs="Times New Roman"/>
          <w:sz w:val="20"/>
          <w:szCs w:val="20"/>
        </w:rPr>
        <w:t xml:space="preserve">, intravenous </w:t>
      </w:r>
      <w:r w:rsidR="00242ADD">
        <w:rPr>
          <w:rFonts w:ascii="Times New Roman" w:eastAsia="PMingLiU" w:hAnsi="Times New Roman" w:cs="Times New Roman"/>
          <w:sz w:val="20"/>
          <w:szCs w:val="20"/>
        </w:rPr>
        <w:t>thrombolysis</w:t>
      </w:r>
      <w:r w:rsidR="00483CA7">
        <w:rPr>
          <w:rFonts w:ascii="Times New Roman" w:eastAsia="PMingLiU" w:hAnsi="Times New Roman" w:cs="Times New Roman"/>
          <w:sz w:val="20"/>
          <w:szCs w:val="20"/>
        </w:rPr>
        <w:t>;</w:t>
      </w:r>
      <w:r w:rsidR="00FC330D">
        <w:rPr>
          <w:rFonts w:ascii="Times New Roman" w:eastAsia="PMingLiU" w:hAnsi="Times New Roman" w:cs="Times New Roman"/>
          <w:sz w:val="20"/>
          <w:szCs w:val="20"/>
        </w:rPr>
        <w:t xml:space="preserve"> LOS, length of stay. </w:t>
      </w:r>
      <w:r w:rsidR="00CC313C">
        <w:rPr>
          <w:rFonts w:ascii="Times New Roman" w:eastAsia="PMingLiU" w:hAnsi="Times New Roman" w:cs="Times New Roman"/>
          <w:sz w:val="20"/>
          <w:szCs w:val="20"/>
        </w:rPr>
        <w:t xml:space="preserve">NIHSS, National Institute of Health Stroke Scale; </w:t>
      </w:r>
      <w:r w:rsidR="00FC330D">
        <w:rPr>
          <w:rFonts w:ascii="Times New Roman" w:eastAsia="PMingLiU" w:hAnsi="Times New Roman" w:cs="Times New Roman"/>
          <w:sz w:val="20"/>
          <w:szCs w:val="20"/>
        </w:rPr>
        <w:t>PAC</w:t>
      </w:r>
      <w:r w:rsidR="002F4959">
        <w:rPr>
          <w:rFonts w:ascii="Times New Roman" w:eastAsia="PMingLiU" w:hAnsi="Times New Roman" w:cs="Times New Roman"/>
          <w:sz w:val="20"/>
          <w:szCs w:val="20"/>
        </w:rPr>
        <w:t>-CVD</w:t>
      </w:r>
      <w:r w:rsidR="00FC330D">
        <w:rPr>
          <w:rFonts w:ascii="Times New Roman" w:eastAsia="PMingLiU" w:hAnsi="Times New Roman" w:cs="Times New Roman"/>
          <w:sz w:val="20"/>
          <w:szCs w:val="20"/>
        </w:rPr>
        <w:t xml:space="preserve">, </w:t>
      </w:r>
      <w:r w:rsidR="003E1801">
        <w:rPr>
          <w:rFonts w:ascii="Times New Roman" w:eastAsia="PMingLiU" w:hAnsi="Times New Roman" w:cs="Times New Roman"/>
          <w:sz w:val="20"/>
          <w:szCs w:val="20"/>
        </w:rPr>
        <w:t>P</w:t>
      </w:r>
      <w:r w:rsidR="00FC330D">
        <w:rPr>
          <w:rFonts w:ascii="Times New Roman" w:eastAsia="PMingLiU" w:hAnsi="Times New Roman" w:cs="Times New Roman"/>
          <w:sz w:val="20"/>
          <w:szCs w:val="20"/>
        </w:rPr>
        <w:t>ost-</w:t>
      </w:r>
      <w:r w:rsidR="003E1801">
        <w:rPr>
          <w:rFonts w:ascii="Times New Roman" w:eastAsia="PMingLiU" w:hAnsi="Times New Roman" w:cs="Times New Roman"/>
          <w:sz w:val="20"/>
          <w:szCs w:val="20"/>
        </w:rPr>
        <w:t>A</w:t>
      </w:r>
      <w:r w:rsidR="00FC330D">
        <w:rPr>
          <w:rFonts w:ascii="Times New Roman" w:eastAsia="PMingLiU" w:hAnsi="Times New Roman" w:cs="Times New Roman"/>
          <w:sz w:val="20"/>
          <w:szCs w:val="20"/>
        </w:rPr>
        <w:t xml:space="preserve">cute </w:t>
      </w:r>
      <w:r w:rsidR="003E1801">
        <w:rPr>
          <w:rFonts w:ascii="Times New Roman" w:eastAsia="PMingLiU" w:hAnsi="Times New Roman" w:cs="Times New Roman"/>
          <w:sz w:val="20"/>
          <w:szCs w:val="20"/>
        </w:rPr>
        <w:t>C</w:t>
      </w:r>
      <w:r w:rsidR="00FC330D">
        <w:rPr>
          <w:rFonts w:ascii="Times New Roman" w:eastAsia="PMingLiU" w:hAnsi="Times New Roman" w:cs="Times New Roman"/>
          <w:sz w:val="20"/>
          <w:szCs w:val="20"/>
        </w:rPr>
        <w:t>are</w:t>
      </w:r>
      <w:r w:rsidR="00BB5147">
        <w:rPr>
          <w:rFonts w:ascii="Times New Roman" w:eastAsia="PMingLiU" w:hAnsi="Times New Roman" w:cs="Times New Roman"/>
          <w:sz w:val="20"/>
          <w:szCs w:val="20"/>
        </w:rPr>
        <w:t>-</w:t>
      </w:r>
      <w:r w:rsidR="003E1801">
        <w:rPr>
          <w:rFonts w:ascii="Times New Roman" w:eastAsia="PMingLiU" w:hAnsi="Times New Roman" w:cs="Times New Roman"/>
          <w:sz w:val="20"/>
          <w:szCs w:val="20"/>
        </w:rPr>
        <w:t>Ce</w:t>
      </w:r>
      <w:r w:rsidR="00FC330D">
        <w:rPr>
          <w:rFonts w:ascii="Times New Roman" w:eastAsia="PMingLiU" w:hAnsi="Times New Roman" w:cs="Times New Roman"/>
          <w:sz w:val="20"/>
          <w:szCs w:val="20"/>
        </w:rPr>
        <w:t>rebro</w:t>
      </w:r>
      <w:r w:rsidR="0001274B">
        <w:rPr>
          <w:rFonts w:ascii="Times New Roman" w:eastAsia="PMingLiU" w:hAnsi="Times New Roman" w:cs="Times New Roman"/>
          <w:sz w:val="20"/>
          <w:szCs w:val="20"/>
        </w:rPr>
        <w:t>v</w:t>
      </w:r>
      <w:r w:rsidR="00FC330D">
        <w:rPr>
          <w:rFonts w:ascii="Times New Roman" w:eastAsia="PMingLiU" w:hAnsi="Times New Roman" w:cs="Times New Roman"/>
          <w:sz w:val="20"/>
          <w:szCs w:val="20"/>
        </w:rPr>
        <w:t xml:space="preserve">ascular </w:t>
      </w:r>
      <w:r w:rsidR="00BB5147">
        <w:rPr>
          <w:rFonts w:ascii="Times New Roman" w:eastAsia="PMingLiU" w:hAnsi="Times New Roman" w:cs="Times New Roman"/>
          <w:sz w:val="20"/>
          <w:szCs w:val="20"/>
        </w:rPr>
        <w:t>D</w:t>
      </w:r>
      <w:r w:rsidR="00FC330D">
        <w:rPr>
          <w:rFonts w:ascii="Times New Roman" w:eastAsia="PMingLiU" w:hAnsi="Times New Roman" w:cs="Times New Roman"/>
          <w:sz w:val="20"/>
          <w:szCs w:val="20"/>
        </w:rPr>
        <w:t>isease.</w:t>
      </w:r>
    </w:p>
    <w:p w14:paraId="1C521F0C" w14:textId="77777777" w:rsidR="007411A8" w:rsidRDefault="007411A8">
      <w:pPr>
        <w:rPr>
          <w:rFonts w:ascii="Times New Roman" w:eastAsia="PMingLiU" w:hAnsi="Times New Roman" w:cs="Times New Roman"/>
          <w:sz w:val="20"/>
          <w:szCs w:val="20"/>
        </w:rPr>
      </w:pPr>
      <w:r>
        <w:rPr>
          <w:rFonts w:ascii="Times New Roman" w:eastAsia="PMingLiU" w:hAnsi="Times New Roman" w:cs="Times New Roman"/>
          <w:sz w:val="20"/>
          <w:szCs w:val="20"/>
        </w:rPr>
        <w:br w:type="page"/>
      </w:r>
    </w:p>
    <w:p w14:paraId="157DDE09" w14:textId="55752DAA" w:rsidR="007411A8" w:rsidRPr="00086830" w:rsidRDefault="007411A8" w:rsidP="007411A8">
      <w:pPr>
        <w:snapToGrid w:val="0"/>
        <w:spacing w:line="480" w:lineRule="auto"/>
        <w:rPr>
          <w:rFonts w:ascii="Times New Roman" w:hAnsi="Times New Roman" w:cs="Times New Roman"/>
          <w:sz w:val="20"/>
          <w:szCs w:val="20"/>
        </w:rPr>
      </w:pPr>
      <w:r>
        <w:rPr>
          <w:rFonts w:ascii="Times New Roman" w:hAnsi="Times New Roman" w:cs="Times New Roman"/>
          <w:b/>
          <w:bCs/>
          <w:sz w:val="20"/>
          <w:szCs w:val="20"/>
        </w:rPr>
        <w:lastRenderedPageBreak/>
        <w:t>Supplementary T</w:t>
      </w:r>
      <w:r w:rsidRPr="00156D17">
        <w:rPr>
          <w:rFonts w:ascii="Times New Roman" w:hAnsi="Times New Roman" w:cs="Times New Roman"/>
          <w:b/>
          <w:bCs/>
          <w:sz w:val="20"/>
          <w:szCs w:val="20"/>
        </w:rPr>
        <w:t>able</w:t>
      </w:r>
      <w:r>
        <w:rPr>
          <w:rFonts w:ascii="Times New Roman" w:hAnsi="Times New Roman" w:cs="Times New Roman"/>
          <w:b/>
          <w:bCs/>
          <w:sz w:val="20"/>
          <w:szCs w:val="20"/>
        </w:rPr>
        <w:t xml:space="preserve"> </w:t>
      </w:r>
      <w:r w:rsidR="006B599E">
        <w:rPr>
          <w:rFonts w:ascii="Times New Roman" w:hAnsi="Times New Roman" w:cs="Times New Roman"/>
          <w:b/>
          <w:bCs/>
          <w:sz w:val="20"/>
          <w:szCs w:val="20"/>
        </w:rPr>
        <w:t>S</w:t>
      </w:r>
      <w:r w:rsidRPr="00156D17">
        <w:rPr>
          <w:rFonts w:ascii="Times New Roman" w:hAnsi="Times New Roman" w:cs="Times New Roman"/>
          <w:b/>
          <w:bCs/>
          <w:sz w:val="20"/>
          <w:szCs w:val="20"/>
        </w:rPr>
        <w:t>2</w:t>
      </w:r>
      <w:r w:rsidRPr="00086830">
        <w:rPr>
          <w:rFonts w:ascii="Times New Roman" w:hAnsi="Times New Roman" w:cs="Times New Roman"/>
          <w:sz w:val="20"/>
          <w:szCs w:val="20"/>
        </w:rPr>
        <w:t xml:space="preserve"> Comparison of </w:t>
      </w:r>
      <w:r>
        <w:rPr>
          <w:rFonts w:ascii="Times New Roman" w:hAnsi="Times New Roman" w:cs="Times New Roman"/>
          <w:sz w:val="20"/>
          <w:szCs w:val="20"/>
        </w:rPr>
        <w:t>patients</w:t>
      </w:r>
      <w:r w:rsidRPr="00086830">
        <w:rPr>
          <w:rFonts w:ascii="Times New Roman" w:hAnsi="Times New Roman" w:cs="Times New Roman"/>
          <w:sz w:val="20"/>
          <w:szCs w:val="20"/>
        </w:rPr>
        <w:t xml:space="preserve"> who had completed 8-12 weeks of PAC (continued)</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38"/>
        <w:gridCol w:w="1934"/>
        <w:gridCol w:w="1752"/>
      </w:tblGrid>
      <w:tr w:rsidR="007411A8" w:rsidRPr="00086830" w14:paraId="0A563C09" w14:textId="77777777" w:rsidTr="003022F5">
        <w:trPr>
          <w:trHeight w:val="319"/>
        </w:trPr>
        <w:tc>
          <w:tcPr>
            <w:tcW w:w="3402" w:type="dxa"/>
            <w:tcBorders>
              <w:top w:val="single" w:sz="4" w:space="0" w:color="auto"/>
              <w:bottom w:val="single" w:sz="4" w:space="0" w:color="auto"/>
            </w:tcBorders>
          </w:tcPr>
          <w:p w14:paraId="18BBCE79" w14:textId="77777777" w:rsidR="007411A8" w:rsidRPr="00086830" w:rsidRDefault="007411A8" w:rsidP="003022F5">
            <w:pPr>
              <w:snapToGrid w:val="0"/>
              <w:spacing w:line="480" w:lineRule="auto"/>
              <w:jc w:val="both"/>
              <w:rPr>
                <w:rFonts w:ascii="Times New Roman" w:hAnsi="Times New Roman" w:cs="Times New Roman"/>
                <w:sz w:val="20"/>
                <w:szCs w:val="20"/>
                <w:lang w:eastAsia="zh-TW"/>
              </w:rPr>
            </w:pPr>
          </w:p>
        </w:tc>
        <w:tc>
          <w:tcPr>
            <w:tcW w:w="1838" w:type="dxa"/>
            <w:tcBorders>
              <w:top w:val="single" w:sz="4" w:space="0" w:color="auto"/>
              <w:bottom w:val="single" w:sz="4" w:space="0" w:color="auto"/>
            </w:tcBorders>
          </w:tcPr>
          <w:p w14:paraId="77ECAB34"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IS</w:t>
            </w:r>
          </w:p>
        </w:tc>
        <w:tc>
          <w:tcPr>
            <w:tcW w:w="1934" w:type="dxa"/>
            <w:tcBorders>
              <w:top w:val="single" w:sz="4" w:space="0" w:color="auto"/>
              <w:bottom w:val="single" w:sz="4" w:space="0" w:color="auto"/>
            </w:tcBorders>
          </w:tcPr>
          <w:p w14:paraId="4D70F36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ICH</w:t>
            </w:r>
          </w:p>
        </w:tc>
        <w:tc>
          <w:tcPr>
            <w:tcW w:w="1752" w:type="dxa"/>
            <w:tcBorders>
              <w:top w:val="single" w:sz="4" w:space="0" w:color="auto"/>
              <w:bottom w:val="single" w:sz="4" w:space="0" w:color="auto"/>
            </w:tcBorders>
          </w:tcPr>
          <w:p w14:paraId="0135DC6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i/>
                <w:iCs/>
                <w:sz w:val="20"/>
                <w:szCs w:val="20"/>
              </w:rPr>
              <w:t>p</w:t>
            </w:r>
            <w:r w:rsidRPr="00086830">
              <w:rPr>
                <w:rFonts w:ascii="Times New Roman" w:hAnsi="Times New Roman" w:cs="Times New Roman"/>
                <w:sz w:val="20"/>
                <w:szCs w:val="20"/>
              </w:rPr>
              <w:t xml:space="preserve"> value</w:t>
            </w:r>
          </w:p>
        </w:tc>
      </w:tr>
      <w:tr w:rsidR="007411A8" w:rsidRPr="00086830" w14:paraId="015F6316" w14:textId="77777777" w:rsidTr="003022F5">
        <w:trPr>
          <w:trHeight w:val="319"/>
        </w:trPr>
        <w:tc>
          <w:tcPr>
            <w:tcW w:w="3402" w:type="dxa"/>
            <w:tcBorders>
              <w:top w:val="single" w:sz="4" w:space="0" w:color="auto"/>
            </w:tcBorders>
          </w:tcPr>
          <w:p w14:paraId="2949D11B"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Patient number</w:t>
            </w:r>
          </w:p>
        </w:tc>
        <w:tc>
          <w:tcPr>
            <w:tcW w:w="1838" w:type="dxa"/>
            <w:tcBorders>
              <w:top w:val="single" w:sz="4" w:space="0" w:color="auto"/>
            </w:tcBorders>
          </w:tcPr>
          <w:p w14:paraId="0FE7C1C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258</w:t>
            </w:r>
          </w:p>
        </w:tc>
        <w:tc>
          <w:tcPr>
            <w:tcW w:w="1934" w:type="dxa"/>
            <w:tcBorders>
              <w:top w:val="single" w:sz="4" w:space="0" w:color="auto"/>
            </w:tcBorders>
          </w:tcPr>
          <w:p w14:paraId="4900C92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46</w:t>
            </w:r>
          </w:p>
        </w:tc>
        <w:tc>
          <w:tcPr>
            <w:tcW w:w="1752" w:type="dxa"/>
            <w:tcBorders>
              <w:top w:val="single" w:sz="4" w:space="0" w:color="auto"/>
            </w:tcBorders>
          </w:tcPr>
          <w:p w14:paraId="3E3138DE"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2B48BC57" w14:textId="77777777" w:rsidTr="003022F5">
        <w:tc>
          <w:tcPr>
            <w:tcW w:w="8926" w:type="dxa"/>
            <w:gridSpan w:val="4"/>
          </w:tcPr>
          <w:p w14:paraId="4368EC9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Comorbidities</w:t>
            </w:r>
          </w:p>
        </w:tc>
      </w:tr>
      <w:tr w:rsidR="007411A8" w:rsidRPr="00086830" w14:paraId="351A3D09" w14:textId="77777777" w:rsidTr="0030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206E1AFE"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Pulmonary disease</w:t>
            </w:r>
          </w:p>
        </w:tc>
        <w:tc>
          <w:tcPr>
            <w:tcW w:w="1838" w:type="dxa"/>
            <w:tcBorders>
              <w:top w:val="nil"/>
              <w:left w:val="nil"/>
              <w:bottom w:val="nil"/>
              <w:right w:val="nil"/>
            </w:tcBorders>
          </w:tcPr>
          <w:p w14:paraId="3B0E3D6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5 (1.9)</w:t>
            </w:r>
          </w:p>
        </w:tc>
        <w:tc>
          <w:tcPr>
            <w:tcW w:w="1934" w:type="dxa"/>
            <w:tcBorders>
              <w:top w:val="nil"/>
              <w:left w:val="nil"/>
              <w:bottom w:val="nil"/>
              <w:right w:val="nil"/>
            </w:tcBorders>
          </w:tcPr>
          <w:p w14:paraId="2C560B3B"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 (2.2)</w:t>
            </w:r>
          </w:p>
        </w:tc>
        <w:tc>
          <w:tcPr>
            <w:tcW w:w="1752" w:type="dxa"/>
            <w:tcBorders>
              <w:top w:val="nil"/>
              <w:left w:val="nil"/>
              <w:bottom w:val="nil"/>
              <w:right w:val="nil"/>
            </w:tcBorders>
          </w:tcPr>
          <w:p w14:paraId="7BF9B17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0.63</w:t>
            </w:r>
          </w:p>
        </w:tc>
      </w:tr>
      <w:tr w:rsidR="007411A8" w:rsidRPr="00086830" w14:paraId="4159D04B" w14:textId="77777777" w:rsidTr="0030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4AA4403C"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Liver cirrhosis</w:t>
            </w:r>
          </w:p>
        </w:tc>
        <w:tc>
          <w:tcPr>
            <w:tcW w:w="1838" w:type="dxa"/>
            <w:tcBorders>
              <w:top w:val="nil"/>
              <w:left w:val="nil"/>
              <w:bottom w:val="nil"/>
              <w:right w:val="nil"/>
            </w:tcBorders>
          </w:tcPr>
          <w:p w14:paraId="1A411FF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 (0.8)</w:t>
            </w:r>
          </w:p>
        </w:tc>
        <w:tc>
          <w:tcPr>
            <w:tcW w:w="1934" w:type="dxa"/>
            <w:tcBorders>
              <w:top w:val="nil"/>
              <w:left w:val="nil"/>
              <w:bottom w:val="nil"/>
              <w:right w:val="nil"/>
            </w:tcBorders>
          </w:tcPr>
          <w:p w14:paraId="4F73AB8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 (0)</w:t>
            </w:r>
          </w:p>
        </w:tc>
        <w:tc>
          <w:tcPr>
            <w:tcW w:w="1752" w:type="dxa"/>
            <w:tcBorders>
              <w:top w:val="nil"/>
              <w:left w:val="nil"/>
              <w:bottom w:val="nil"/>
              <w:right w:val="nil"/>
            </w:tcBorders>
          </w:tcPr>
          <w:p w14:paraId="23885CB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0.72</w:t>
            </w:r>
          </w:p>
        </w:tc>
      </w:tr>
      <w:tr w:rsidR="007411A8" w:rsidRPr="00086830" w14:paraId="61DECD7E" w14:textId="77777777" w:rsidTr="0030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2D9891BB"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Hepatitis</w:t>
            </w:r>
          </w:p>
        </w:tc>
        <w:tc>
          <w:tcPr>
            <w:tcW w:w="1838" w:type="dxa"/>
            <w:tcBorders>
              <w:top w:val="nil"/>
              <w:left w:val="nil"/>
              <w:bottom w:val="nil"/>
              <w:right w:val="nil"/>
            </w:tcBorders>
          </w:tcPr>
          <w:p w14:paraId="511B8D8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6 (2.3)</w:t>
            </w:r>
          </w:p>
        </w:tc>
        <w:tc>
          <w:tcPr>
            <w:tcW w:w="1934" w:type="dxa"/>
            <w:tcBorders>
              <w:top w:val="nil"/>
              <w:left w:val="nil"/>
              <w:bottom w:val="nil"/>
              <w:right w:val="nil"/>
            </w:tcBorders>
          </w:tcPr>
          <w:p w14:paraId="2911184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 (4.3)</w:t>
            </w:r>
          </w:p>
        </w:tc>
        <w:tc>
          <w:tcPr>
            <w:tcW w:w="1752" w:type="dxa"/>
            <w:tcBorders>
              <w:top w:val="nil"/>
              <w:left w:val="nil"/>
              <w:bottom w:val="nil"/>
              <w:right w:val="nil"/>
            </w:tcBorders>
          </w:tcPr>
          <w:p w14:paraId="0FDE653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0.35</w:t>
            </w:r>
          </w:p>
        </w:tc>
      </w:tr>
      <w:tr w:rsidR="007411A8" w:rsidRPr="00086830" w14:paraId="0D9F36CD" w14:textId="77777777" w:rsidTr="0030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3B7E5009"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Parkinsonism</w:t>
            </w:r>
          </w:p>
        </w:tc>
        <w:tc>
          <w:tcPr>
            <w:tcW w:w="1838" w:type="dxa"/>
            <w:tcBorders>
              <w:top w:val="nil"/>
              <w:left w:val="nil"/>
              <w:bottom w:val="nil"/>
              <w:right w:val="nil"/>
            </w:tcBorders>
          </w:tcPr>
          <w:p w14:paraId="77D14D5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6 (2.3)</w:t>
            </w:r>
          </w:p>
        </w:tc>
        <w:tc>
          <w:tcPr>
            <w:tcW w:w="1934" w:type="dxa"/>
            <w:tcBorders>
              <w:top w:val="nil"/>
              <w:left w:val="nil"/>
              <w:bottom w:val="nil"/>
              <w:right w:val="nil"/>
            </w:tcBorders>
          </w:tcPr>
          <w:p w14:paraId="3392292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 (2.2)</w:t>
            </w:r>
          </w:p>
        </w:tc>
        <w:tc>
          <w:tcPr>
            <w:tcW w:w="1752" w:type="dxa"/>
            <w:tcBorders>
              <w:top w:val="nil"/>
              <w:left w:val="nil"/>
              <w:bottom w:val="nil"/>
              <w:right w:val="nil"/>
            </w:tcBorders>
          </w:tcPr>
          <w:p w14:paraId="094094F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0.71</w:t>
            </w:r>
          </w:p>
        </w:tc>
      </w:tr>
      <w:tr w:rsidR="007411A8" w:rsidRPr="00086830" w14:paraId="16D03370" w14:textId="77777777" w:rsidTr="0030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3006080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Malignancy</w:t>
            </w:r>
          </w:p>
        </w:tc>
        <w:tc>
          <w:tcPr>
            <w:tcW w:w="1838" w:type="dxa"/>
            <w:tcBorders>
              <w:top w:val="nil"/>
              <w:left w:val="nil"/>
              <w:bottom w:val="nil"/>
              <w:right w:val="nil"/>
            </w:tcBorders>
          </w:tcPr>
          <w:p w14:paraId="726DC44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12 (4.7)</w:t>
            </w:r>
          </w:p>
        </w:tc>
        <w:tc>
          <w:tcPr>
            <w:tcW w:w="1934" w:type="dxa"/>
            <w:tcBorders>
              <w:top w:val="nil"/>
              <w:left w:val="nil"/>
              <w:bottom w:val="nil"/>
              <w:right w:val="nil"/>
            </w:tcBorders>
          </w:tcPr>
          <w:p w14:paraId="7811028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 (2.2)</w:t>
            </w:r>
          </w:p>
        </w:tc>
        <w:tc>
          <w:tcPr>
            <w:tcW w:w="1752" w:type="dxa"/>
            <w:tcBorders>
              <w:top w:val="nil"/>
              <w:left w:val="nil"/>
              <w:bottom w:val="nil"/>
              <w:right w:val="nil"/>
            </w:tcBorders>
          </w:tcPr>
          <w:p w14:paraId="3F9A202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0.39</w:t>
            </w:r>
          </w:p>
        </w:tc>
      </w:tr>
      <w:tr w:rsidR="007411A8" w:rsidRPr="00086830" w14:paraId="54D2B71A" w14:textId="77777777" w:rsidTr="003022F5">
        <w:tc>
          <w:tcPr>
            <w:tcW w:w="3402" w:type="dxa"/>
          </w:tcPr>
          <w:p w14:paraId="4C521D2A"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Gout</w:t>
            </w:r>
          </w:p>
        </w:tc>
        <w:tc>
          <w:tcPr>
            <w:tcW w:w="1838" w:type="dxa"/>
          </w:tcPr>
          <w:p w14:paraId="0535A70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16 (6.2)</w:t>
            </w:r>
          </w:p>
        </w:tc>
        <w:tc>
          <w:tcPr>
            <w:tcW w:w="1934" w:type="dxa"/>
          </w:tcPr>
          <w:p w14:paraId="765692E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 (2.2)</w:t>
            </w:r>
          </w:p>
        </w:tc>
        <w:tc>
          <w:tcPr>
            <w:tcW w:w="1752" w:type="dxa"/>
          </w:tcPr>
          <w:p w14:paraId="724ED1C7"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0.24</w:t>
            </w:r>
          </w:p>
        </w:tc>
      </w:tr>
      <w:tr w:rsidR="007411A8" w:rsidRPr="00086830" w14:paraId="6A4E136D" w14:textId="77777777" w:rsidTr="003022F5">
        <w:tc>
          <w:tcPr>
            <w:tcW w:w="3402" w:type="dxa"/>
          </w:tcPr>
          <w:p w14:paraId="32C74B5E"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Dementia</w:t>
            </w:r>
          </w:p>
        </w:tc>
        <w:tc>
          <w:tcPr>
            <w:tcW w:w="1838" w:type="dxa"/>
          </w:tcPr>
          <w:p w14:paraId="22A336B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3 (1.2)</w:t>
            </w:r>
          </w:p>
        </w:tc>
        <w:tc>
          <w:tcPr>
            <w:tcW w:w="1934" w:type="dxa"/>
          </w:tcPr>
          <w:p w14:paraId="6A76844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 (0)</w:t>
            </w:r>
          </w:p>
        </w:tc>
        <w:tc>
          <w:tcPr>
            <w:tcW w:w="1752" w:type="dxa"/>
          </w:tcPr>
          <w:p w14:paraId="5FBCD54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0.61</w:t>
            </w:r>
          </w:p>
        </w:tc>
      </w:tr>
      <w:tr w:rsidR="007411A8" w:rsidRPr="00086830" w14:paraId="2CA63EB7" w14:textId="77777777" w:rsidTr="003022F5">
        <w:trPr>
          <w:trHeight w:val="323"/>
        </w:trPr>
        <w:tc>
          <w:tcPr>
            <w:tcW w:w="3402" w:type="dxa"/>
          </w:tcPr>
          <w:p w14:paraId="504C1D4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Psychiatric disorder</w:t>
            </w:r>
          </w:p>
        </w:tc>
        <w:tc>
          <w:tcPr>
            <w:tcW w:w="1838" w:type="dxa"/>
          </w:tcPr>
          <w:p w14:paraId="130B2C9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7 (2.7)</w:t>
            </w:r>
          </w:p>
        </w:tc>
        <w:tc>
          <w:tcPr>
            <w:tcW w:w="1934" w:type="dxa"/>
          </w:tcPr>
          <w:p w14:paraId="2EBA7ED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 (4.3)</w:t>
            </w:r>
          </w:p>
        </w:tc>
        <w:tc>
          <w:tcPr>
            <w:tcW w:w="1752" w:type="dxa"/>
          </w:tcPr>
          <w:p w14:paraId="43A1AE3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0.41</w:t>
            </w:r>
          </w:p>
        </w:tc>
      </w:tr>
      <w:tr w:rsidR="007411A8" w:rsidRPr="00086830" w14:paraId="7E0C873C" w14:textId="77777777" w:rsidTr="003022F5">
        <w:tc>
          <w:tcPr>
            <w:tcW w:w="8926" w:type="dxa"/>
            <w:gridSpan w:val="4"/>
          </w:tcPr>
          <w:p w14:paraId="00C0C32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Complications at acute ward</w:t>
            </w:r>
          </w:p>
        </w:tc>
      </w:tr>
      <w:tr w:rsidR="007411A8" w:rsidRPr="00086830" w14:paraId="3A9498D7" w14:textId="77777777" w:rsidTr="003022F5">
        <w:tc>
          <w:tcPr>
            <w:tcW w:w="3402" w:type="dxa"/>
          </w:tcPr>
          <w:p w14:paraId="41AD0C99"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Pneumonia</w:t>
            </w:r>
          </w:p>
        </w:tc>
        <w:tc>
          <w:tcPr>
            <w:tcW w:w="1838" w:type="dxa"/>
          </w:tcPr>
          <w:p w14:paraId="26C91C1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14 (5.</w:t>
            </w:r>
            <w:r>
              <w:rPr>
                <w:rFonts w:ascii="Times New Roman" w:hAnsi="Times New Roman" w:cs="Times New Roman"/>
                <w:sz w:val="20"/>
                <w:szCs w:val="20"/>
              </w:rPr>
              <w:t>4</w:t>
            </w:r>
            <w:r w:rsidRPr="00086830">
              <w:rPr>
                <w:rFonts w:ascii="Times New Roman" w:hAnsi="Times New Roman" w:cs="Times New Roman"/>
                <w:sz w:val="20"/>
                <w:szCs w:val="20"/>
              </w:rPr>
              <w:t>)</w:t>
            </w:r>
          </w:p>
        </w:tc>
        <w:tc>
          <w:tcPr>
            <w:tcW w:w="1934" w:type="dxa"/>
          </w:tcPr>
          <w:p w14:paraId="0C47049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3 (6.5)</w:t>
            </w:r>
          </w:p>
        </w:tc>
        <w:tc>
          <w:tcPr>
            <w:tcW w:w="1752" w:type="dxa"/>
          </w:tcPr>
          <w:p w14:paraId="1B878F63"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0.49</w:t>
            </w:r>
          </w:p>
        </w:tc>
      </w:tr>
      <w:tr w:rsidR="007411A8" w:rsidRPr="00086830" w14:paraId="19693329" w14:textId="77777777" w:rsidTr="003022F5">
        <w:tc>
          <w:tcPr>
            <w:tcW w:w="3402" w:type="dxa"/>
          </w:tcPr>
          <w:p w14:paraId="71B83BB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Urinary tract infection</w:t>
            </w:r>
          </w:p>
        </w:tc>
        <w:tc>
          <w:tcPr>
            <w:tcW w:w="1838" w:type="dxa"/>
          </w:tcPr>
          <w:p w14:paraId="43D7732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20 (7.8)</w:t>
            </w:r>
          </w:p>
        </w:tc>
        <w:tc>
          <w:tcPr>
            <w:tcW w:w="1934" w:type="dxa"/>
          </w:tcPr>
          <w:p w14:paraId="3B69AEA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4 (8.7)</w:t>
            </w:r>
          </w:p>
        </w:tc>
        <w:tc>
          <w:tcPr>
            <w:tcW w:w="1752" w:type="dxa"/>
          </w:tcPr>
          <w:p w14:paraId="605E36C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0.51</w:t>
            </w:r>
          </w:p>
        </w:tc>
      </w:tr>
      <w:tr w:rsidR="007411A8" w:rsidRPr="00086830" w14:paraId="770FA745" w14:textId="77777777" w:rsidTr="003022F5">
        <w:tc>
          <w:tcPr>
            <w:tcW w:w="3402" w:type="dxa"/>
          </w:tcPr>
          <w:p w14:paraId="73DC79D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Stroke-in-evolution</w:t>
            </w:r>
          </w:p>
        </w:tc>
        <w:tc>
          <w:tcPr>
            <w:tcW w:w="1838" w:type="dxa"/>
          </w:tcPr>
          <w:p w14:paraId="6C3A4387"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7 (2.7)</w:t>
            </w:r>
          </w:p>
        </w:tc>
        <w:tc>
          <w:tcPr>
            <w:tcW w:w="1934" w:type="dxa"/>
          </w:tcPr>
          <w:p w14:paraId="123D94F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 (0)</w:t>
            </w:r>
          </w:p>
        </w:tc>
        <w:tc>
          <w:tcPr>
            <w:tcW w:w="1752" w:type="dxa"/>
          </w:tcPr>
          <w:p w14:paraId="5F87C7FA"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0.31</w:t>
            </w:r>
          </w:p>
        </w:tc>
      </w:tr>
      <w:tr w:rsidR="007411A8" w:rsidRPr="00086830" w14:paraId="1C33FF2A" w14:textId="77777777" w:rsidTr="003022F5">
        <w:tc>
          <w:tcPr>
            <w:tcW w:w="3402" w:type="dxa"/>
          </w:tcPr>
          <w:p w14:paraId="2E91000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Gastrointestinal bleeding</w:t>
            </w:r>
          </w:p>
        </w:tc>
        <w:tc>
          <w:tcPr>
            <w:tcW w:w="1838" w:type="dxa"/>
          </w:tcPr>
          <w:p w14:paraId="0BBAA6B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6 (2.3)</w:t>
            </w:r>
          </w:p>
        </w:tc>
        <w:tc>
          <w:tcPr>
            <w:tcW w:w="1934" w:type="dxa"/>
          </w:tcPr>
          <w:p w14:paraId="1299BD3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 (0)</w:t>
            </w:r>
          </w:p>
        </w:tc>
        <w:tc>
          <w:tcPr>
            <w:tcW w:w="1752" w:type="dxa"/>
          </w:tcPr>
          <w:p w14:paraId="2EFC32C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0.37</w:t>
            </w:r>
          </w:p>
        </w:tc>
      </w:tr>
      <w:tr w:rsidR="007411A8" w:rsidRPr="00086830" w14:paraId="129757E8" w14:textId="77777777" w:rsidTr="003022F5">
        <w:tc>
          <w:tcPr>
            <w:tcW w:w="3402" w:type="dxa"/>
          </w:tcPr>
          <w:p w14:paraId="11D0BB1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Cellulitis</w:t>
            </w:r>
          </w:p>
        </w:tc>
        <w:tc>
          <w:tcPr>
            <w:tcW w:w="1838" w:type="dxa"/>
          </w:tcPr>
          <w:p w14:paraId="0FA50F43"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5 (1.9)</w:t>
            </w:r>
          </w:p>
        </w:tc>
        <w:tc>
          <w:tcPr>
            <w:tcW w:w="1934" w:type="dxa"/>
          </w:tcPr>
          <w:p w14:paraId="4A472487"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1 (2.2)</w:t>
            </w:r>
          </w:p>
        </w:tc>
        <w:tc>
          <w:tcPr>
            <w:tcW w:w="1752" w:type="dxa"/>
          </w:tcPr>
          <w:p w14:paraId="265128C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0.63</w:t>
            </w:r>
          </w:p>
        </w:tc>
      </w:tr>
      <w:tr w:rsidR="007411A8" w:rsidRPr="00086830" w14:paraId="44AD47D0" w14:textId="77777777" w:rsidTr="003022F5">
        <w:trPr>
          <w:trHeight w:val="319"/>
        </w:trPr>
        <w:tc>
          <w:tcPr>
            <w:tcW w:w="8926" w:type="dxa"/>
            <w:gridSpan w:val="4"/>
          </w:tcPr>
          <w:p w14:paraId="5314166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Functional assessments in PAC hospital</w:t>
            </w:r>
          </w:p>
        </w:tc>
      </w:tr>
      <w:tr w:rsidR="007411A8" w:rsidRPr="00086830" w14:paraId="7DC944C1" w14:textId="77777777" w:rsidTr="003022F5">
        <w:trPr>
          <w:trHeight w:val="319"/>
        </w:trPr>
        <w:tc>
          <w:tcPr>
            <w:tcW w:w="3402" w:type="dxa"/>
          </w:tcPr>
          <w:p w14:paraId="46A8C5D6"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F</w:t>
            </w:r>
            <w:r>
              <w:rPr>
                <w:rFonts w:ascii="Times New Roman" w:hAnsi="Times New Roman" w:cs="Times New Roman"/>
                <w:sz w:val="20"/>
                <w:szCs w:val="20"/>
              </w:rPr>
              <w:t>unctional Oral Intake Scale</w:t>
            </w:r>
          </w:p>
        </w:tc>
        <w:tc>
          <w:tcPr>
            <w:tcW w:w="1838" w:type="dxa"/>
          </w:tcPr>
          <w:p w14:paraId="53BA8353" w14:textId="77777777" w:rsidR="007411A8" w:rsidRDefault="007411A8" w:rsidP="003022F5">
            <w:pPr>
              <w:snapToGrid w:val="0"/>
              <w:spacing w:line="480" w:lineRule="auto"/>
              <w:jc w:val="both"/>
              <w:rPr>
                <w:rFonts w:ascii="Times New Roman" w:hAnsi="Times New Roman" w:cs="Times New Roman"/>
                <w:sz w:val="20"/>
                <w:szCs w:val="20"/>
              </w:rPr>
            </w:pPr>
          </w:p>
        </w:tc>
        <w:tc>
          <w:tcPr>
            <w:tcW w:w="1934" w:type="dxa"/>
          </w:tcPr>
          <w:p w14:paraId="354CE62A" w14:textId="77777777" w:rsidR="007411A8" w:rsidRDefault="007411A8" w:rsidP="003022F5">
            <w:pPr>
              <w:snapToGrid w:val="0"/>
              <w:spacing w:line="480" w:lineRule="auto"/>
              <w:jc w:val="both"/>
              <w:rPr>
                <w:rFonts w:ascii="Times New Roman" w:hAnsi="Times New Roman" w:cs="Times New Roman"/>
                <w:sz w:val="20"/>
                <w:szCs w:val="20"/>
              </w:rPr>
            </w:pPr>
          </w:p>
        </w:tc>
        <w:tc>
          <w:tcPr>
            <w:tcW w:w="1752" w:type="dxa"/>
          </w:tcPr>
          <w:p w14:paraId="62269905"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5E32F023" w14:textId="77777777" w:rsidTr="003022F5">
        <w:trPr>
          <w:trHeight w:val="319"/>
        </w:trPr>
        <w:tc>
          <w:tcPr>
            <w:tcW w:w="3402" w:type="dxa"/>
          </w:tcPr>
          <w:p w14:paraId="2D5FAE8E"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FOIS-I</w:t>
            </w:r>
          </w:p>
        </w:tc>
        <w:tc>
          <w:tcPr>
            <w:tcW w:w="1838" w:type="dxa"/>
          </w:tcPr>
          <w:p w14:paraId="4AB83C9A" w14:textId="77777777" w:rsidR="007411A8"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(5-7)</w:t>
            </w:r>
          </w:p>
        </w:tc>
        <w:tc>
          <w:tcPr>
            <w:tcW w:w="1934" w:type="dxa"/>
          </w:tcPr>
          <w:p w14:paraId="18F9B092" w14:textId="77777777" w:rsidR="007411A8"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(6-7)</w:t>
            </w:r>
          </w:p>
        </w:tc>
        <w:tc>
          <w:tcPr>
            <w:tcW w:w="1752" w:type="dxa"/>
          </w:tcPr>
          <w:p w14:paraId="3DF7959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.23</w:t>
            </w:r>
          </w:p>
        </w:tc>
      </w:tr>
      <w:tr w:rsidR="007411A8" w:rsidRPr="00086830" w14:paraId="7BB95C59" w14:textId="77777777" w:rsidTr="003022F5">
        <w:trPr>
          <w:trHeight w:val="319"/>
        </w:trPr>
        <w:tc>
          <w:tcPr>
            <w:tcW w:w="3402" w:type="dxa"/>
          </w:tcPr>
          <w:p w14:paraId="63335B95"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FOIS-F</w:t>
            </w:r>
          </w:p>
        </w:tc>
        <w:tc>
          <w:tcPr>
            <w:tcW w:w="1838" w:type="dxa"/>
          </w:tcPr>
          <w:p w14:paraId="444D6069" w14:textId="77777777" w:rsidR="007411A8"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7</w:t>
            </w:r>
            <w:r>
              <w:rPr>
                <w:rFonts w:ascii="Times New Roman" w:hAnsi="Times New Roman" w:cs="Times New Roman"/>
                <w:sz w:val="20"/>
                <w:szCs w:val="20"/>
              </w:rPr>
              <w:t xml:space="preserve"> (7-7)</w:t>
            </w:r>
          </w:p>
        </w:tc>
        <w:tc>
          <w:tcPr>
            <w:tcW w:w="1934" w:type="dxa"/>
          </w:tcPr>
          <w:p w14:paraId="67786A98" w14:textId="77777777" w:rsidR="007411A8"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7</w:t>
            </w:r>
            <w:r>
              <w:rPr>
                <w:rFonts w:ascii="Times New Roman" w:hAnsi="Times New Roman" w:cs="Times New Roman"/>
                <w:sz w:val="20"/>
                <w:szCs w:val="20"/>
              </w:rPr>
              <w:t xml:space="preserve"> (6.75-7)</w:t>
            </w:r>
          </w:p>
        </w:tc>
        <w:tc>
          <w:tcPr>
            <w:tcW w:w="1752" w:type="dxa"/>
          </w:tcPr>
          <w:p w14:paraId="119E29E1"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.8</w:t>
            </w:r>
          </w:p>
        </w:tc>
      </w:tr>
      <w:tr w:rsidR="007411A8" w:rsidRPr="00086830" w14:paraId="4BF1B282" w14:textId="77777777" w:rsidTr="003022F5">
        <w:trPr>
          <w:trHeight w:val="319"/>
        </w:trPr>
        <w:tc>
          <w:tcPr>
            <w:tcW w:w="3402" w:type="dxa"/>
          </w:tcPr>
          <w:p w14:paraId="1118CAB4" w14:textId="77777777" w:rsidR="007411A8" w:rsidRPr="00086830" w:rsidRDefault="007411A8" w:rsidP="003022F5">
            <w:pPr>
              <w:snapToGrid w:val="0"/>
              <w:spacing w:line="480" w:lineRule="auto"/>
              <w:ind w:firstLineChars="100" w:firstLine="200"/>
              <w:jc w:val="both"/>
              <w:rPr>
                <w:rFonts w:ascii="Times New Roman" w:hAnsi="Times New Roman" w:cs="Times New Roman"/>
                <w:sz w:val="20"/>
                <w:szCs w:val="20"/>
              </w:rPr>
            </w:pPr>
            <w:r w:rsidRPr="00086830">
              <w:rPr>
                <w:rFonts w:ascii="Times New Roman" w:eastAsia="Symbol" w:hAnsi="Times New Roman" w:cs="Times New Roman"/>
                <w:sz w:val="20"/>
                <w:szCs w:val="20"/>
              </w:rPr>
              <w:t>Δ</w:t>
            </w:r>
            <w:r>
              <w:rPr>
                <w:rFonts w:ascii="Times New Roman" w:eastAsia="Symbol" w:hAnsi="Times New Roman" w:cs="Times New Roman"/>
                <w:sz w:val="20"/>
                <w:szCs w:val="20"/>
              </w:rPr>
              <w:t>FOIS</w:t>
            </w:r>
          </w:p>
        </w:tc>
        <w:tc>
          <w:tcPr>
            <w:tcW w:w="1838" w:type="dxa"/>
          </w:tcPr>
          <w:p w14:paraId="7F252557" w14:textId="77777777" w:rsidR="007411A8"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(0-1)</w:t>
            </w:r>
          </w:p>
        </w:tc>
        <w:tc>
          <w:tcPr>
            <w:tcW w:w="1934" w:type="dxa"/>
          </w:tcPr>
          <w:p w14:paraId="4F168586" w14:textId="77777777" w:rsidR="007411A8"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(0-1)</w:t>
            </w:r>
          </w:p>
        </w:tc>
        <w:tc>
          <w:tcPr>
            <w:tcW w:w="1752" w:type="dxa"/>
          </w:tcPr>
          <w:p w14:paraId="2E0D3687"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.3</w:t>
            </w:r>
          </w:p>
        </w:tc>
      </w:tr>
      <w:tr w:rsidR="007411A8" w:rsidRPr="00086830" w14:paraId="391939B3" w14:textId="77777777" w:rsidTr="003022F5">
        <w:trPr>
          <w:trHeight w:val="298"/>
        </w:trPr>
        <w:tc>
          <w:tcPr>
            <w:tcW w:w="3402" w:type="dxa"/>
          </w:tcPr>
          <w:p w14:paraId="1259FA6C"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Mini-</w:t>
            </w:r>
            <w:r>
              <w:rPr>
                <w:rFonts w:ascii="Times New Roman" w:hAnsi="Times New Roman" w:cs="Times New Roman"/>
                <w:sz w:val="20"/>
                <w:szCs w:val="20"/>
              </w:rPr>
              <w:t>N</w:t>
            </w:r>
            <w:r w:rsidRPr="00086830">
              <w:rPr>
                <w:rFonts w:ascii="Times New Roman" w:hAnsi="Times New Roman" w:cs="Times New Roman"/>
                <w:sz w:val="20"/>
                <w:szCs w:val="20"/>
              </w:rPr>
              <w:t xml:space="preserve">utritional </w:t>
            </w:r>
            <w:r>
              <w:rPr>
                <w:rFonts w:ascii="Times New Roman" w:hAnsi="Times New Roman" w:cs="Times New Roman"/>
                <w:sz w:val="20"/>
                <w:szCs w:val="20"/>
              </w:rPr>
              <w:t>A</w:t>
            </w:r>
            <w:r w:rsidRPr="00086830">
              <w:rPr>
                <w:rFonts w:ascii="Times New Roman" w:hAnsi="Times New Roman" w:cs="Times New Roman"/>
                <w:sz w:val="20"/>
                <w:szCs w:val="20"/>
              </w:rPr>
              <w:t>ssessment</w:t>
            </w:r>
          </w:p>
        </w:tc>
        <w:tc>
          <w:tcPr>
            <w:tcW w:w="1838" w:type="dxa"/>
          </w:tcPr>
          <w:p w14:paraId="20E8C8DE"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934" w:type="dxa"/>
          </w:tcPr>
          <w:p w14:paraId="1D6EB901"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752" w:type="dxa"/>
          </w:tcPr>
          <w:p w14:paraId="3BBC125C"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6FC17280" w14:textId="77777777" w:rsidTr="003022F5">
        <w:trPr>
          <w:trHeight w:val="298"/>
        </w:trPr>
        <w:tc>
          <w:tcPr>
            <w:tcW w:w="3402" w:type="dxa"/>
          </w:tcPr>
          <w:p w14:paraId="17C75F8C"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MNA-I</w:t>
            </w:r>
          </w:p>
        </w:tc>
        <w:tc>
          <w:tcPr>
            <w:tcW w:w="1838" w:type="dxa"/>
          </w:tcPr>
          <w:p w14:paraId="56A93754"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8 (12-22)</w:t>
            </w:r>
          </w:p>
        </w:tc>
        <w:tc>
          <w:tcPr>
            <w:tcW w:w="1934" w:type="dxa"/>
          </w:tcPr>
          <w:p w14:paraId="34BC7792"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18 (11-21)</w:t>
            </w:r>
          </w:p>
        </w:tc>
        <w:tc>
          <w:tcPr>
            <w:tcW w:w="1752" w:type="dxa"/>
          </w:tcPr>
          <w:p w14:paraId="3D43DEA7"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0.19</w:t>
            </w:r>
          </w:p>
        </w:tc>
      </w:tr>
      <w:tr w:rsidR="007411A8" w:rsidRPr="00086830" w14:paraId="4F93E56E" w14:textId="77777777" w:rsidTr="003022F5">
        <w:trPr>
          <w:trHeight w:val="319"/>
        </w:trPr>
        <w:tc>
          <w:tcPr>
            <w:tcW w:w="3402" w:type="dxa"/>
          </w:tcPr>
          <w:p w14:paraId="6B527D6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MNA-F</w:t>
            </w:r>
          </w:p>
        </w:tc>
        <w:tc>
          <w:tcPr>
            <w:tcW w:w="1838" w:type="dxa"/>
          </w:tcPr>
          <w:p w14:paraId="56A2B236"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1 (14-24)</w:t>
            </w:r>
          </w:p>
        </w:tc>
        <w:tc>
          <w:tcPr>
            <w:tcW w:w="1934" w:type="dxa"/>
          </w:tcPr>
          <w:p w14:paraId="3A9BA5F2"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0 (13-23)</w:t>
            </w:r>
          </w:p>
        </w:tc>
        <w:tc>
          <w:tcPr>
            <w:tcW w:w="1752" w:type="dxa"/>
          </w:tcPr>
          <w:p w14:paraId="003A1713"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0.31</w:t>
            </w:r>
          </w:p>
        </w:tc>
      </w:tr>
      <w:tr w:rsidR="007411A8" w:rsidRPr="00086830" w14:paraId="19422B10" w14:textId="77777777" w:rsidTr="003022F5">
        <w:trPr>
          <w:trHeight w:val="341"/>
        </w:trPr>
        <w:tc>
          <w:tcPr>
            <w:tcW w:w="3402" w:type="dxa"/>
          </w:tcPr>
          <w:p w14:paraId="77D5894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sidRPr="00086830">
              <w:rPr>
                <w:rFonts w:ascii="Times New Roman" w:eastAsia="Symbol" w:hAnsi="Times New Roman" w:cs="Times New Roman"/>
                <w:sz w:val="20"/>
                <w:szCs w:val="20"/>
              </w:rPr>
              <w:t>Δ</w:t>
            </w:r>
            <w:r w:rsidRPr="00086830">
              <w:rPr>
                <w:rFonts w:ascii="Times New Roman" w:hAnsi="Times New Roman" w:cs="Times New Roman"/>
                <w:sz w:val="20"/>
                <w:szCs w:val="20"/>
              </w:rPr>
              <w:t>MNA</w:t>
            </w:r>
          </w:p>
        </w:tc>
        <w:tc>
          <w:tcPr>
            <w:tcW w:w="1838" w:type="dxa"/>
          </w:tcPr>
          <w:p w14:paraId="56002243"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(0-3)</w:t>
            </w:r>
          </w:p>
        </w:tc>
        <w:tc>
          <w:tcPr>
            <w:tcW w:w="1934" w:type="dxa"/>
          </w:tcPr>
          <w:p w14:paraId="5E2F4A77"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(1-4)</w:t>
            </w:r>
          </w:p>
        </w:tc>
        <w:tc>
          <w:tcPr>
            <w:tcW w:w="1752" w:type="dxa"/>
          </w:tcPr>
          <w:p w14:paraId="5748A72C"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0.71</w:t>
            </w:r>
          </w:p>
        </w:tc>
      </w:tr>
      <w:tr w:rsidR="007411A8" w:rsidRPr="00086830" w14:paraId="33110050" w14:textId="77777777" w:rsidTr="003022F5">
        <w:trPr>
          <w:trHeight w:val="319"/>
        </w:trPr>
        <w:tc>
          <w:tcPr>
            <w:tcW w:w="3402" w:type="dxa"/>
          </w:tcPr>
          <w:p w14:paraId="1A7AC3C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Gait</w:t>
            </w:r>
            <w:r>
              <w:rPr>
                <w:rFonts w:ascii="Times New Roman" w:hAnsi="Times New Roman" w:cs="Times New Roman"/>
                <w:sz w:val="20"/>
                <w:szCs w:val="20"/>
              </w:rPr>
              <w:t>-</w:t>
            </w:r>
            <w:r w:rsidRPr="00086830">
              <w:rPr>
                <w:rFonts w:ascii="Times New Roman" w:hAnsi="Times New Roman" w:cs="Times New Roman"/>
                <w:sz w:val="20"/>
                <w:szCs w:val="20"/>
              </w:rPr>
              <w:t>speed</w:t>
            </w:r>
          </w:p>
        </w:tc>
        <w:tc>
          <w:tcPr>
            <w:tcW w:w="1838" w:type="dxa"/>
          </w:tcPr>
          <w:p w14:paraId="72B48CC4"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934" w:type="dxa"/>
          </w:tcPr>
          <w:p w14:paraId="13892A40"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752" w:type="dxa"/>
          </w:tcPr>
          <w:p w14:paraId="10269439"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7AAAF5DA" w14:textId="77777777" w:rsidTr="003022F5">
        <w:trPr>
          <w:trHeight w:val="319"/>
        </w:trPr>
        <w:tc>
          <w:tcPr>
            <w:tcW w:w="3402" w:type="dxa"/>
          </w:tcPr>
          <w:p w14:paraId="2E45B9FB"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Gait</w:t>
            </w:r>
            <w:r>
              <w:rPr>
                <w:rFonts w:ascii="Times New Roman" w:hAnsi="Times New Roman" w:cs="Times New Roman"/>
                <w:sz w:val="20"/>
                <w:szCs w:val="20"/>
              </w:rPr>
              <w:t>-</w:t>
            </w:r>
            <w:r w:rsidRPr="00086830">
              <w:rPr>
                <w:rFonts w:ascii="Times New Roman" w:hAnsi="Times New Roman" w:cs="Times New Roman"/>
                <w:sz w:val="20"/>
                <w:szCs w:val="20"/>
              </w:rPr>
              <w:t>speed-I</w:t>
            </w:r>
          </w:p>
        </w:tc>
        <w:tc>
          <w:tcPr>
            <w:tcW w:w="1838" w:type="dxa"/>
          </w:tcPr>
          <w:p w14:paraId="43FC9F82"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0 (0-10)</w:t>
            </w:r>
          </w:p>
        </w:tc>
        <w:tc>
          <w:tcPr>
            <w:tcW w:w="1934" w:type="dxa"/>
          </w:tcPr>
          <w:p w14:paraId="4D802973"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0 (0-7)</w:t>
            </w:r>
          </w:p>
        </w:tc>
        <w:tc>
          <w:tcPr>
            <w:tcW w:w="1752" w:type="dxa"/>
          </w:tcPr>
          <w:p w14:paraId="48C2F7D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0.10</w:t>
            </w:r>
          </w:p>
        </w:tc>
      </w:tr>
      <w:tr w:rsidR="007411A8" w:rsidRPr="00086830" w14:paraId="04941C0A" w14:textId="77777777" w:rsidTr="003022F5">
        <w:trPr>
          <w:trHeight w:val="319"/>
        </w:trPr>
        <w:tc>
          <w:tcPr>
            <w:tcW w:w="3402" w:type="dxa"/>
          </w:tcPr>
          <w:p w14:paraId="0BA6AAFA"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Gait</w:t>
            </w:r>
            <w:r>
              <w:rPr>
                <w:rFonts w:ascii="Times New Roman" w:hAnsi="Times New Roman" w:cs="Times New Roman"/>
                <w:sz w:val="20"/>
                <w:szCs w:val="20"/>
              </w:rPr>
              <w:t>-</w:t>
            </w:r>
            <w:r w:rsidRPr="00086830">
              <w:rPr>
                <w:rFonts w:ascii="Times New Roman" w:hAnsi="Times New Roman" w:cs="Times New Roman"/>
                <w:sz w:val="20"/>
                <w:szCs w:val="20"/>
              </w:rPr>
              <w:t>speed-F</w:t>
            </w:r>
          </w:p>
        </w:tc>
        <w:tc>
          <w:tcPr>
            <w:tcW w:w="1838" w:type="dxa"/>
          </w:tcPr>
          <w:p w14:paraId="13F9F930"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7</w:t>
            </w:r>
            <w:r>
              <w:rPr>
                <w:rFonts w:ascii="Times New Roman" w:hAnsi="Times New Roman" w:cs="Times New Roman"/>
                <w:sz w:val="20"/>
                <w:szCs w:val="20"/>
              </w:rPr>
              <w:t xml:space="preserve"> (5-12)</w:t>
            </w:r>
          </w:p>
        </w:tc>
        <w:tc>
          <w:tcPr>
            <w:tcW w:w="1934" w:type="dxa"/>
          </w:tcPr>
          <w:p w14:paraId="77D95B0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7 (4-15)</w:t>
            </w:r>
          </w:p>
        </w:tc>
        <w:tc>
          <w:tcPr>
            <w:tcW w:w="1752" w:type="dxa"/>
          </w:tcPr>
          <w:p w14:paraId="688655B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0.99</w:t>
            </w:r>
          </w:p>
        </w:tc>
      </w:tr>
      <w:tr w:rsidR="007411A8" w:rsidRPr="00086830" w14:paraId="5ED5285A" w14:textId="77777777" w:rsidTr="003022F5">
        <w:trPr>
          <w:trHeight w:val="341"/>
        </w:trPr>
        <w:tc>
          <w:tcPr>
            <w:tcW w:w="3402" w:type="dxa"/>
          </w:tcPr>
          <w:p w14:paraId="41046015"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proofErr w:type="spellStart"/>
            <w:r w:rsidRPr="00086830">
              <w:rPr>
                <w:rFonts w:ascii="Times New Roman" w:eastAsia="Symbol" w:hAnsi="Times New Roman" w:cs="Times New Roman"/>
                <w:sz w:val="20"/>
                <w:szCs w:val="20"/>
              </w:rPr>
              <w:t>Δ</w:t>
            </w:r>
            <w:r w:rsidRPr="00086830">
              <w:rPr>
                <w:rFonts w:ascii="Times New Roman" w:hAnsi="Times New Roman" w:cs="Times New Roman"/>
                <w:sz w:val="20"/>
                <w:szCs w:val="20"/>
              </w:rPr>
              <w:t>Gait</w:t>
            </w:r>
            <w:proofErr w:type="spellEnd"/>
            <w:r>
              <w:rPr>
                <w:rFonts w:ascii="Times New Roman" w:hAnsi="Times New Roman" w:cs="Times New Roman"/>
                <w:sz w:val="20"/>
                <w:szCs w:val="20"/>
              </w:rPr>
              <w:t>-</w:t>
            </w:r>
            <w:r w:rsidRPr="00086830">
              <w:rPr>
                <w:rFonts w:ascii="Times New Roman" w:hAnsi="Times New Roman" w:cs="Times New Roman"/>
                <w:sz w:val="20"/>
                <w:szCs w:val="20"/>
              </w:rPr>
              <w:t>speed</w:t>
            </w:r>
          </w:p>
        </w:tc>
        <w:tc>
          <w:tcPr>
            <w:tcW w:w="1838" w:type="dxa"/>
          </w:tcPr>
          <w:p w14:paraId="5FE6E52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(-3-11)</w:t>
            </w:r>
          </w:p>
        </w:tc>
        <w:tc>
          <w:tcPr>
            <w:tcW w:w="1934" w:type="dxa"/>
          </w:tcPr>
          <w:p w14:paraId="37F24670"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 xml:space="preserve"> (-1-13)</w:t>
            </w:r>
          </w:p>
        </w:tc>
        <w:tc>
          <w:tcPr>
            <w:tcW w:w="1752" w:type="dxa"/>
          </w:tcPr>
          <w:p w14:paraId="648509C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0.19</w:t>
            </w:r>
          </w:p>
        </w:tc>
      </w:tr>
      <w:tr w:rsidR="007411A8" w:rsidRPr="00086830" w14:paraId="7F16C786" w14:textId="77777777" w:rsidTr="003022F5">
        <w:trPr>
          <w:trHeight w:val="319"/>
        </w:trPr>
        <w:tc>
          <w:tcPr>
            <w:tcW w:w="3402" w:type="dxa"/>
          </w:tcPr>
          <w:p w14:paraId="3279F7B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6-minute walk test</w:t>
            </w:r>
          </w:p>
        </w:tc>
        <w:tc>
          <w:tcPr>
            <w:tcW w:w="1838" w:type="dxa"/>
          </w:tcPr>
          <w:p w14:paraId="0C20D3FE"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934" w:type="dxa"/>
          </w:tcPr>
          <w:p w14:paraId="627166B4"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752" w:type="dxa"/>
          </w:tcPr>
          <w:p w14:paraId="337DE068"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3E7F1575" w14:textId="77777777" w:rsidTr="003022F5">
        <w:trPr>
          <w:trHeight w:val="319"/>
        </w:trPr>
        <w:tc>
          <w:tcPr>
            <w:tcW w:w="3402" w:type="dxa"/>
          </w:tcPr>
          <w:p w14:paraId="27F16667"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hAnsi="Times New Roman" w:cs="Times New Roman"/>
                <w:sz w:val="20"/>
                <w:szCs w:val="20"/>
              </w:rPr>
              <w:t>6MWT-I</w:t>
            </w:r>
          </w:p>
        </w:tc>
        <w:tc>
          <w:tcPr>
            <w:tcW w:w="1838" w:type="dxa"/>
          </w:tcPr>
          <w:p w14:paraId="72F247AB"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(0-135)</w:t>
            </w:r>
          </w:p>
        </w:tc>
        <w:tc>
          <w:tcPr>
            <w:tcW w:w="1934" w:type="dxa"/>
          </w:tcPr>
          <w:p w14:paraId="53B46B8C"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(0-30)</w:t>
            </w:r>
          </w:p>
        </w:tc>
        <w:tc>
          <w:tcPr>
            <w:tcW w:w="1752" w:type="dxa"/>
          </w:tcPr>
          <w:p w14:paraId="4B8EC09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0.10</w:t>
            </w:r>
          </w:p>
        </w:tc>
      </w:tr>
      <w:tr w:rsidR="007411A8" w:rsidRPr="00086830" w14:paraId="30B41F4B" w14:textId="77777777" w:rsidTr="003022F5">
        <w:trPr>
          <w:trHeight w:val="319"/>
        </w:trPr>
        <w:tc>
          <w:tcPr>
            <w:tcW w:w="3402" w:type="dxa"/>
          </w:tcPr>
          <w:p w14:paraId="2C66F09D"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6MWT-F</w:t>
            </w:r>
          </w:p>
        </w:tc>
        <w:tc>
          <w:tcPr>
            <w:tcW w:w="1838" w:type="dxa"/>
          </w:tcPr>
          <w:p w14:paraId="042978FA"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55 (99-409)</w:t>
            </w:r>
          </w:p>
        </w:tc>
        <w:tc>
          <w:tcPr>
            <w:tcW w:w="1934" w:type="dxa"/>
          </w:tcPr>
          <w:p w14:paraId="4612BC4D"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225 (86-427)</w:t>
            </w:r>
          </w:p>
        </w:tc>
        <w:tc>
          <w:tcPr>
            <w:tcW w:w="1752" w:type="dxa"/>
          </w:tcPr>
          <w:p w14:paraId="57CEB9A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0.63</w:t>
            </w:r>
          </w:p>
        </w:tc>
      </w:tr>
      <w:tr w:rsidR="007411A8" w:rsidRPr="00086830" w14:paraId="408987CB" w14:textId="77777777" w:rsidTr="003022F5">
        <w:trPr>
          <w:trHeight w:val="319"/>
        </w:trPr>
        <w:tc>
          <w:tcPr>
            <w:tcW w:w="3402" w:type="dxa"/>
          </w:tcPr>
          <w:p w14:paraId="092156DE"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sidRPr="00086830">
              <w:rPr>
                <w:rFonts w:ascii="Times New Roman" w:eastAsia="Symbol" w:hAnsi="Times New Roman" w:cs="Times New Roman"/>
                <w:sz w:val="20"/>
                <w:szCs w:val="20"/>
              </w:rPr>
              <w:t>Δ</w:t>
            </w:r>
            <w:r w:rsidRPr="00086830">
              <w:rPr>
                <w:rFonts w:ascii="Times New Roman" w:hAnsi="Times New Roman" w:cs="Times New Roman"/>
                <w:sz w:val="20"/>
                <w:szCs w:val="20"/>
              </w:rPr>
              <w:t>6MWT</w:t>
            </w:r>
          </w:p>
        </w:tc>
        <w:tc>
          <w:tcPr>
            <w:tcW w:w="1838" w:type="dxa"/>
          </w:tcPr>
          <w:p w14:paraId="5F0E353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2 (36-227)</w:t>
            </w:r>
          </w:p>
        </w:tc>
        <w:tc>
          <w:tcPr>
            <w:tcW w:w="1934" w:type="dxa"/>
          </w:tcPr>
          <w:p w14:paraId="3F1CBCD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58 (0-152)</w:t>
            </w:r>
          </w:p>
        </w:tc>
        <w:tc>
          <w:tcPr>
            <w:tcW w:w="1752" w:type="dxa"/>
          </w:tcPr>
          <w:p w14:paraId="4C85B54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0.62</w:t>
            </w:r>
          </w:p>
        </w:tc>
      </w:tr>
      <w:tr w:rsidR="007411A8" w:rsidRPr="00086830" w14:paraId="1CF7DCC2" w14:textId="77777777" w:rsidTr="003022F5">
        <w:trPr>
          <w:trHeight w:val="319"/>
        </w:trPr>
        <w:tc>
          <w:tcPr>
            <w:tcW w:w="3402" w:type="dxa"/>
          </w:tcPr>
          <w:p w14:paraId="772B466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Instrumental </w:t>
            </w:r>
            <w:r>
              <w:rPr>
                <w:rFonts w:ascii="Times New Roman" w:hAnsi="Times New Roman" w:cs="Times New Roman"/>
                <w:sz w:val="20"/>
                <w:szCs w:val="20"/>
              </w:rPr>
              <w:t>activities of daily living</w:t>
            </w:r>
          </w:p>
        </w:tc>
        <w:tc>
          <w:tcPr>
            <w:tcW w:w="1838" w:type="dxa"/>
          </w:tcPr>
          <w:p w14:paraId="52386DC0"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934" w:type="dxa"/>
          </w:tcPr>
          <w:p w14:paraId="59D74FAA"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752" w:type="dxa"/>
          </w:tcPr>
          <w:p w14:paraId="341822B2"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5AB0E126" w14:textId="77777777" w:rsidTr="003022F5">
        <w:trPr>
          <w:trHeight w:val="319"/>
        </w:trPr>
        <w:tc>
          <w:tcPr>
            <w:tcW w:w="3402" w:type="dxa"/>
          </w:tcPr>
          <w:p w14:paraId="6BDCCD0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IADL-I</w:t>
            </w:r>
          </w:p>
        </w:tc>
        <w:tc>
          <w:tcPr>
            <w:tcW w:w="1838" w:type="dxa"/>
          </w:tcPr>
          <w:p w14:paraId="10B160A1"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(1-2)</w:t>
            </w:r>
          </w:p>
        </w:tc>
        <w:tc>
          <w:tcPr>
            <w:tcW w:w="1934" w:type="dxa"/>
          </w:tcPr>
          <w:p w14:paraId="7FD4BC0D"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1.5 (1-2)</w:t>
            </w:r>
          </w:p>
        </w:tc>
        <w:tc>
          <w:tcPr>
            <w:tcW w:w="1752" w:type="dxa"/>
          </w:tcPr>
          <w:p w14:paraId="1F3F4E7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0.76</w:t>
            </w:r>
          </w:p>
        </w:tc>
      </w:tr>
      <w:tr w:rsidR="007411A8" w:rsidRPr="00086830" w14:paraId="3FD5A32D" w14:textId="77777777" w:rsidTr="003022F5">
        <w:trPr>
          <w:trHeight w:val="319"/>
        </w:trPr>
        <w:tc>
          <w:tcPr>
            <w:tcW w:w="3402" w:type="dxa"/>
          </w:tcPr>
          <w:p w14:paraId="4EBA4D1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IADL-F</w:t>
            </w:r>
          </w:p>
        </w:tc>
        <w:tc>
          <w:tcPr>
            <w:tcW w:w="1838" w:type="dxa"/>
          </w:tcPr>
          <w:p w14:paraId="5C2B4BFB"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(1-4)</w:t>
            </w:r>
          </w:p>
        </w:tc>
        <w:tc>
          <w:tcPr>
            <w:tcW w:w="1934" w:type="dxa"/>
          </w:tcPr>
          <w:p w14:paraId="040ECEFA"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(1.75-4)</w:t>
            </w:r>
          </w:p>
        </w:tc>
        <w:tc>
          <w:tcPr>
            <w:tcW w:w="1752" w:type="dxa"/>
          </w:tcPr>
          <w:p w14:paraId="47270AC9"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0.57</w:t>
            </w:r>
          </w:p>
        </w:tc>
      </w:tr>
      <w:tr w:rsidR="007411A8" w:rsidRPr="00086830" w14:paraId="59275D96" w14:textId="77777777" w:rsidTr="003022F5">
        <w:trPr>
          <w:trHeight w:val="341"/>
        </w:trPr>
        <w:tc>
          <w:tcPr>
            <w:tcW w:w="3402" w:type="dxa"/>
          </w:tcPr>
          <w:p w14:paraId="01E1CD3E"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086830">
              <w:rPr>
                <w:rFonts w:ascii="Times New Roman" w:eastAsia="Symbol" w:hAnsi="Times New Roman" w:cs="Times New Roman"/>
                <w:sz w:val="20"/>
                <w:szCs w:val="20"/>
              </w:rPr>
              <w:t>Δ</w:t>
            </w:r>
            <w:r w:rsidRPr="00086830">
              <w:rPr>
                <w:rFonts w:ascii="Times New Roman" w:hAnsi="Times New Roman" w:cs="Times New Roman"/>
                <w:sz w:val="20"/>
                <w:szCs w:val="20"/>
              </w:rPr>
              <w:t>IADL</w:t>
            </w:r>
          </w:p>
        </w:tc>
        <w:tc>
          <w:tcPr>
            <w:tcW w:w="1838" w:type="dxa"/>
          </w:tcPr>
          <w:p w14:paraId="4E8B797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 (0-2)</w:t>
            </w:r>
          </w:p>
        </w:tc>
        <w:tc>
          <w:tcPr>
            <w:tcW w:w="1934" w:type="dxa"/>
          </w:tcPr>
          <w:p w14:paraId="57BFE868"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 (0-2)</w:t>
            </w:r>
          </w:p>
        </w:tc>
        <w:tc>
          <w:tcPr>
            <w:tcW w:w="1752" w:type="dxa"/>
          </w:tcPr>
          <w:p w14:paraId="7843B94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0.35</w:t>
            </w:r>
          </w:p>
        </w:tc>
      </w:tr>
      <w:tr w:rsidR="007411A8" w:rsidRPr="00086830" w14:paraId="1D04AA2C" w14:textId="77777777" w:rsidTr="003022F5">
        <w:trPr>
          <w:trHeight w:val="319"/>
        </w:trPr>
        <w:tc>
          <w:tcPr>
            <w:tcW w:w="3402" w:type="dxa"/>
          </w:tcPr>
          <w:p w14:paraId="563E354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Motor </w:t>
            </w:r>
            <w:r>
              <w:rPr>
                <w:rFonts w:ascii="Times New Roman" w:hAnsi="Times New Roman" w:cs="Times New Roman"/>
                <w:sz w:val="20"/>
                <w:szCs w:val="20"/>
              </w:rPr>
              <w:t>A</w:t>
            </w:r>
            <w:r w:rsidRPr="00086830">
              <w:rPr>
                <w:rFonts w:ascii="Times New Roman" w:hAnsi="Times New Roman" w:cs="Times New Roman"/>
                <w:sz w:val="20"/>
                <w:szCs w:val="20"/>
              </w:rPr>
              <w:t xml:space="preserve">ctivity </w:t>
            </w:r>
            <w:r>
              <w:rPr>
                <w:rFonts w:ascii="Times New Roman" w:hAnsi="Times New Roman" w:cs="Times New Roman"/>
                <w:sz w:val="20"/>
                <w:szCs w:val="20"/>
              </w:rPr>
              <w:t>L</w:t>
            </w:r>
            <w:r w:rsidRPr="00086830">
              <w:rPr>
                <w:rFonts w:ascii="Times New Roman" w:hAnsi="Times New Roman" w:cs="Times New Roman"/>
                <w:sz w:val="20"/>
                <w:szCs w:val="20"/>
              </w:rPr>
              <w:t>og</w:t>
            </w:r>
            <w:r>
              <w:rPr>
                <w:rFonts w:ascii="Times New Roman" w:hAnsi="Times New Roman" w:cs="Times New Roman"/>
                <w:sz w:val="20"/>
                <w:szCs w:val="20"/>
              </w:rPr>
              <w:t xml:space="preserve"> </w:t>
            </w:r>
            <w:r w:rsidRPr="00C657C8">
              <w:rPr>
                <w:rFonts w:ascii="Times New Roman" w:hAnsi="Times New Roman" w:cs="Times New Roman"/>
                <w:sz w:val="20"/>
                <w:szCs w:val="20"/>
                <w:vertAlign w:val="superscript"/>
              </w:rPr>
              <w:t>a</w:t>
            </w:r>
          </w:p>
        </w:tc>
        <w:tc>
          <w:tcPr>
            <w:tcW w:w="1838" w:type="dxa"/>
          </w:tcPr>
          <w:p w14:paraId="2B8FEE2B"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934" w:type="dxa"/>
          </w:tcPr>
          <w:p w14:paraId="4BB0B2A0"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752" w:type="dxa"/>
          </w:tcPr>
          <w:p w14:paraId="54C17725"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2E03B750" w14:textId="77777777" w:rsidTr="003022F5">
        <w:trPr>
          <w:trHeight w:val="319"/>
        </w:trPr>
        <w:tc>
          <w:tcPr>
            <w:tcW w:w="3402" w:type="dxa"/>
          </w:tcPr>
          <w:p w14:paraId="57012AC2"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amount-I</w:t>
            </w:r>
          </w:p>
        </w:tc>
        <w:tc>
          <w:tcPr>
            <w:tcW w:w="1838" w:type="dxa"/>
          </w:tcPr>
          <w:p w14:paraId="62D226F9"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.6 (0.1-2.1)</w:t>
            </w:r>
          </w:p>
        </w:tc>
        <w:tc>
          <w:tcPr>
            <w:tcW w:w="1934" w:type="dxa"/>
          </w:tcPr>
          <w:p w14:paraId="332DF7C6"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.4 (0-1.9)</w:t>
            </w:r>
          </w:p>
        </w:tc>
        <w:tc>
          <w:tcPr>
            <w:tcW w:w="1752" w:type="dxa"/>
          </w:tcPr>
          <w:p w14:paraId="05872E3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w:t>
            </w:r>
            <w:r>
              <w:rPr>
                <w:rFonts w:ascii="Times New Roman" w:hAnsi="Times New Roman" w:cs="Times New Roman"/>
                <w:sz w:val="20"/>
                <w:szCs w:val="20"/>
              </w:rPr>
              <w:t>62</w:t>
            </w:r>
          </w:p>
        </w:tc>
      </w:tr>
      <w:tr w:rsidR="007411A8" w:rsidRPr="00086830" w14:paraId="00E7452F" w14:textId="77777777" w:rsidTr="003022F5">
        <w:trPr>
          <w:trHeight w:val="319"/>
        </w:trPr>
        <w:tc>
          <w:tcPr>
            <w:tcW w:w="3402" w:type="dxa"/>
          </w:tcPr>
          <w:p w14:paraId="5F9C43AA"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amount-F</w:t>
            </w:r>
          </w:p>
        </w:tc>
        <w:tc>
          <w:tcPr>
            <w:tcW w:w="1838" w:type="dxa"/>
          </w:tcPr>
          <w:p w14:paraId="08DCB52A"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.9 (1.3-3.8)</w:t>
            </w:r>
          </w:p>
        </w:tc>
        <w:tc>
          <w:tcPr>
            <w:tcW w:w="1934" w:type="dxa"/>
          </w:tcPr>
          <w:p w14:paraId="161ECF06"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.7 (0.3-3.2)</w:t>
            </w:r>
          </w:p>
        </w:tc>
        <w:tc>
          <w:tcPr>
            <w:tcW w:w="1752" w:type="dxa"/>
          </w:tcPr>
          <w:p w14:paraId="36F8C69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w:t>
            </w:r>
            <w:r>
              <w:rPr>
                <w:rFonts w:ascii="Times New Roman" w:hAnsi="Times New Roman" w:cs="Times New Roman"/>
                <w:sz w:val="20"/>
                <w:szCs w:val="20"/>
              </w:rPr>
              <w:t>75</w:t>
            </w:r>
          </w:p>
        </w:tc>
      </w:tr>
      <w:tr w:rsidR="007411A8" w:rsidRPr="00086830" w14:paraId="5A340169" w14:textId="77777777" w:rsidTr="003022F5">
        <w:trPr>
          <w:trHeight w:val="319"/>
        </w:trPr>
        <w:tc>
          <w:tcPr>
            <w:tcW w:w="3402" w:type="dxa"/>
          </w:tcPr>
          <w:p w14:paraId="4355C3A3"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eastAsia="Symbol" w:hAnsi="Times New Roman" w:cs="Times New Roman"/>
                <w:sz w:val="20"/>
                <w:szCs w:val="20"/>
              </w:rPr>
              <w:t>Δ</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amount</w:t>
            </w:r>
          </w:p>
        </w:tc>
        <w:tc>
          <w:tcPr>
            <w:tcW w:w="1838" w:type="dxa"/>
          </w:tcPr>
          <w:p w14:paraId="4C3F1A75"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1.2 (0.5-2.1)</w:t>
            </w:r>
          </w:p>
        </w:tc>
        <w:tc>
          <w:tcPr>
            <w:tcW w:w="1934" w:type="dxa"/>
          </w:tcPr>
          <w:p w14:paraId="2BE6E26E"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.9 (0.3-1.5)</w:t>
            </w:r>
          </w:p>
        </w:tc>
        <w:tc>
          <w:tcPr>
            <w:tcW w:w="1752" w:type="dxa"/>
          </w:tcPr>
          <w:p w14:paraId="53896D54"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w:t>
            </w:r>
            <w:r>
              <w:rPr>
                <w:rFonts w:ascii="Times New Roman" w:hAnsi="Times New Roman" w:cs="Times New Roman"/>
                <w:sz w:val="20"/>
                <w:szCs w:val="20"/>
              </w:rPr>
              <w:t>15</w:t>
            </w:r>
          </w:p>
        </w:tc>
      </w:tr>
      <w:tr w:rsidR="007411A8" w:rsidRPr="00086830" w14:paraId="12E9BE2C" w14:textId="77777777" w:rsidTr="003022F5">
        <w:trPr>
          <w:trHeight w:val="319"/>
        </w:trPr>
        <w:tc>
          <w:tcPr>
            <w:tcW w:w="3402" w:type="dxa"/>
          </w:tcPr>
          <w:p w14:paraId="18270771"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quality-I</w:t>
            </w:r>
          </w:p>
        </w:tc>
        <w:tc>
          <w:tcPr>
            <w:tcW w:w="1838" w:type="dxa"/>
          </w:tcPr>
          <w:p w14:paraId="2C553BEA"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.6 (0.1-1.9)</w:t>
            </w:r>
          </w:p>
        </w:tc>
        <w:tc>
          <w:tcPr>
            <w:tcW w:w="1934" w:type="dxa"/>
          </w:tcPr>
          <w:p w14:paraId="5CE84CE2"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.4 (0-1.6)</w:t>
            </w:r>
          </w:p>
        </w:tc>
        <w:tc>
          <w:tcPr>
            <w:tcW w:w="1752" w:type="dxa"/>
          </w:tcPr>
          <w:p w14:paraId="56DA61E0"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w:t>
            </w:r>
            <w:r>
              <w:rPr>
                <w:rFonts w:ascii="Times New Roman" w:hAnsi="Times New Roman" w:cs="Times New Roman"/>
                <w:sz w:val="20"/>
                <w:szCs w:val="20"/>
              </w:rPr>
              <w:t>67</w:t>
            </w:r>
          </w:p>
        </w:tc>
      </w:tr>
      <w:tr w:rsidR="007411A8" w:rsidRPr="00086830" w14:paraId="20A48762" w14:textId="77777777" w:rsidTr="003022F5">
        <w:trPr>
          <w:trHeight w:val="319"/>
        </w:trPr>
        <w:tc>
          <w:tcPr>
            <w:tcW w:w="3402" w:type="dxa"/>
          </w:tcPr>
          <w:p w14:paraId="2C3151C3"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quality-F</w:t>
            </w:r>
          </w:p>
        </w:tc>
        <w:tc>
          <w:tcPr>
            <w:tcW w:w="1838" w:type="dxa"/>
          </w:tcPr>
          <w:p w14:paraId="7B1A6D05"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.7 (1.1-3.7)</w:t>
            </w:r>
          </w:p>
        </w:tc>
        <w:tc>
          <w:tcPr>
            <w:tcW w:w="1934" w:type="dxa"/>
          </w:tcPr>
          <w:p w14:paraId="3FD54816"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.4 (0.3-3.2)</w:t>
            </w:r>
          </w:p>
        </w:tc>
        <w:tc>
          <w:tcPr>
            <w:tcW w:w="1752" w:type="dxa"/>
          </w:tcPr>
          <w:p w14:paraId="743B43CA"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w:t>
            </w:r>
            <w:r>
              <w:rPr>
                <w:rFonts w:ascii="Times New Roman" w:hAnsi="Times New Roman" w:cs="Times New Roman"/>
                <w:sz w:val="20"/>
                <w:szCs w:val="20"/>
              </w:rPr>
              <w:t>70</w:t>
            </w:r>
          </w:p>
        </w:tc>
      </w:tr>
      <w:tr w:rsidR="007411A8" w:rsidRPr="00086830" w14:paraId="73A71D59" w14:textId="77777777" w:rsidTr="003022F5">
        <w:trPr>
          <w:trHeight w:val="319"/>
        </w:trPr>
        <w:tc>
          <w:tcPr>
            <w:tcW w:w="3402" w:type="dxa"/>
          </w:tcPr>
          <w:p w14:paraId="62EA7CC3"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86830">
              <w:rPr>
                <w:rFonts w:ascii="Times New Roman" w:eastAsia="Symbol" w:hAnsi="Times New Roman" w:cs="Times New Roman"/>
                <w:sz w:val="20"/>
                <w:szCs w:val="20"/>
              </w:rPr>
              <w:t>Δ</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quality</w:t>
            </w:r>
          </w:p>
        </w:tc>
        <w:tc>
          <w:tcPr>
            <w:tcW w:w="1838" w:type="dxa"/>
          </w:tcPr>
          <w:p w14:paraId="58C12D97"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1.2 (0.5-2.0)</w:t>
            </w:r>
          </w:p>
        </w:tc>
        <w:tc>
          <w:tcPr>
            <w:tcW w:w="1934" w:type="dxa"/>
          </w:tcPr>
          <w:p w14:paraId="05FED127"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.9 (0.6-1.6)</w:t>
            </w:r>
          </w:p>
        </w:tc>
        <w:tc>
          <w:tcPr>
            <w:tcW w:w="1752" w:type="dxa"/>
          </w:tcPr>
          <w:p w14:paraId="1BAA69BC"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w:t>
            </w:r>
            <w:r>
              <w:rPr>
                <w:rFonts w:ascii="Times New Roman" w:hAnsi="Times New Roman" w:cs="Times New Roman"/>
                <w:sz w:val="20"/>
                <w:szCs w:val="20"/>
              </w:rPr>
              <w:t>21</w:t>
            </w:r>
          </w:p>
        </w:tc>
      </w:tr>
      <w:tr w:rsidR="007411A8" w:rsidRPr="00086830" w14:paraId="52F58BEB" w14:textId="77777777" w:rsidTr="003022F5">
        <w:trPr>
          <w:trHeight w:val="319"/>
        </w:trPr>
        <w:tc>
          <w:tcPr>
            <w:tcW w:w="3402" w:type="dxa"/>
          </w:tcPr>
          <w:p w14:paraId="6D1DC72E"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Concise Chinese aphasia test</w:t>
            </w:r>
            <w:r>
              <w:rPr>
                <w:rFonts w:ascii="Times New Roman" w:hAnsi="Times New Roman" w:cs="Times New Roman"/>
                <w:sz w:val="20"/>
                <w:szCs w:val="20"/>
              </w:rPr>
              <w:t xml:space="preserve"> </w:t>
            </w:r>
            <w:r w:rsidRPr="00C657C8">
              <w:rPr>
                <w:rFonts w:ascii="Times New Roman" w:hAnsi="Times New Roman" w:cs="Times New Roman"/>
                <w:sz w:val="20"/>
                <w:szCs w:val="20"/>
                <w:vertAlign w:val="superscript"/>
              </w:rPr>
              <w:t>b</w:t>
            </w:r>
          </w:p>
        </w:tc>
        <w:tc>
          <w:tcPr>
            <w:tcW w:w="1838" w:type="dxa"/>
          </w:tcPr>
          <w:p w14:paraId="2A6F26A0"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934" w:type="dxa"/>
          </w:tcPr>
          <w:p w14:paraId="052985CB" w14:textId="77777777" w:rsidR="007411A8" w:rsidRPr="00086830" w:rsidRDefault="007411A8" w:rsidP="003022F5">
            <w:pPr>
              <w:snapToGrid w:val="0"/>
              <w:spacing w:line="480" w:lineRule="auto"/>
              <w:jc w:val="both"/>
              <w:rPr>
                <w:rFonts w:ascii="Times New Roman" w:hAnsi="Times New Roman" w:cs="Times New Roman"/>
                <w:sz w:val="20"/>
                <w:szCs w:val="20"/>
              </w:rPr>
            </w:pPr>
          </w:p>
        </w:tc>
        <w:tc>
          <w:tcPr>
            <w:tcW w:w="1752" w:type="dxa"/>
          </w:tcPr>
          <w:p w14:paraId="24FE8308" w14:textId="77777777" w:rsidR="007411A8" w:rsidRPr="00086830" w:rsidRDefault="007411A8" w:rsidP="003022F5">
            <w:pPr>
              <w:snapToGrid w:val="0"/>
              <w:spacing w:line="480" w:lineRule="auto"/>
              <w:jc w:val="both"/>
              <w:rPr>
                <w:rFonts w:ascii="Times New Roman" w:hAnsi="Times New Roman" w:cs="Times New Roman"/>
                <w:sz w:val="20"/>
                <w:szCs w:val="20"/>
              </w:rPr>
            </w:pPr>
          </w:p>
        </w:tc>
      </w:tr>
      <w:tr w:rsidR="007411A8" w:rsidRPr="00086830" w14:paraId="6ACFB494" w14:textId="77777777" w:rsidTr="003022F5">
        <w:trPr>
          <w:trHeight w:val="319"/>
        </w:trPr>
        <w:tc>
          <w:tcPr>
            <w:tcW w:w="3402" w:type="dxa"/>
          </w:tcPr>
          <w:p w14:paraId="3105912F"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CCAT-I</w:t>
            </w:r>
          </w:p>
        </w:tc>
        <w:tc>
          <w:tcPr>
            <w:tcW w:w="1838" w:type="dxa"/>
          </w:tcPr>
          <w:p w14:paraId="3D9F979C"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0.9 (10.1-11.6)</w:t>
            </w:r>
          </w:p>
        </w:tc>
        <w:tc>
          <w:tcPr>
            <w:tcW w:w="1934" w:type="dxa"/>
          </w:tcPr>
          <w:p w14:paraId="2E8805DA"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sz w:val="20"/>
                <w:szCs w:val="20"/>
              </w:rPr>
              <w:t>11.4 (9.8-11.8)</w:t>
            </w:r>
          </w:p>
        </w:tc>
        <w:tc>
          <w:tcPr>
            <w:tcW w:w="1752" w:type="dxa"/>
          </w:tcPr>
          <w:p w14:paraId="33554F4B"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0.18</w:t>
            </w:r>
          </w:p>
        </w:tc>
      </w:tr>
      <w:tr w:rsidR="007411A8" w:rsidRPr="00086830" w14:paraId="21BD816E" w14:textId="77777777" w:rsidTr="003022F5">
        <w:trPr>
          <w:trHeight w:val="319"/>
        </w:trPr>
        <w:tc>
          <w:tcPr>
            <w:tcW w:w="3402" w:type="dxa"/>
          </w:tcPr>
          <w:p w14:paraId="3D4F84C8"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CCAT-F</w:t>
            </w:r>
          </w:p>
        </w:tc>
        <w:tc>
          <w:tcPr>
            <w:tcW w:w="1838" w:type="dxa"/>
          </w:tcPr>
          <w:p w14:paraId="2EA5BF9A"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1.6 (11-11.8)</w:t>
            </w:r>
          </w:p>
        </w:tc>
        <w:tc>
          <w:tcPr>
            <w:tcW w:w="1934" w:type="dxa"/>
          </w:tcPr>
          <w:p w14:paraId="27B453B5"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1.7 (11.2-11.9)</w:t>
            </w:r>
          </w:p>
        </w:tc>
        <w:tc>
          <w:tcPr>
            <w:tcW w:w="1752" w:type="dxa"/>
          </w:tcPr>
          <w:p w14:paraId="4BFC1BA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0.16</w:t>
            </w:r>
          </w:p>
        </w:tc>
      </w:tr>
      <w:tr w:rsidR="007411A8" w:rsidRPr="00086830" w14:paraId="221BE08D" w14:textId="77777777" w:rsidTr="003022F5">
        <w:trPr>
          <w:trHeight w:val="319"/>
        </w:trPr>
        <w:tc>
          <w:tcPr>
            <w:tcW w:w="3402" w:type="dxa"/>
            <w:tcBorders>
              <w:bottom w:val="single" w:sz="4" w:space="0" w:color="auto"/>
            </w:tcBorders>
          </w:tcPr>
          <w:p w14:paraId="7E1B0F6E"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 xml:space="preserve">   </w:t>
            </w:r>
            <w:r w:rsidRPr="00086830">
              <w:rPr>
                <w:rFonts w:ascii="Times New Roman" w:eastAsia="Symbol" w:hAnsi="Times New Roman" w:cs="Times New Roman"/>
                <w:sz w:val="20"/>
                <w:szCs w:val="20"/>
              </w:rPr>
              <w:t>Δ</w:t>
            </w:r>
            <w:r w:rsidRPr="00086830">
              <w:rPr>
                <w:rFonts w:ascii="Times New Roman" w:hAnsi="Times New Roman" w:cs="Times New Roman"/>
                <w:sz w:val="20"/>
                <w:szCs w:val="20"/>
              </w:rPr>
              <w:t>CCAT</w:t>
            </w:r>
          </w:p>
        </w:tc>
        <w:tc>
          <w:tcPr>
            <w:tcW w:w="1838" w:type="dxa"/>
            <w:tcBorders>
              <w:bottom w:val="single" w:sz="4" w:space="0" w:color="auto"/>
            </w:tcBorders>
          </w:tcPr>
          <w:p w14:paraId="6F2BF12F"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.4 (0.1-0.9)</w:t>
            </w:r>
          </w:p>
        </w:tc>
        <w:tc>
          <w:tcPr>
            <w:tcW w:w="1934" w:type="dxa"/>
            <w:tcBorders>
              <w:bottom w:val="single" w:sz="4" w:space="0" w:color="auto"/>
            </w:tcBorders>
          </w:tcPr>
          <w:p w14:paraId="03D08C97" w14:textId="77777777" w:rsidR="007411A8" w:rsidRPr="00086830" w:rsidRDefault="007411A8" w:rsidP="003022F5">
            <w:pPr>
              <w:snapToGrid w:val="0"/>
              <w:spacing w:line="480" w:lineRule="auto"/>
              <w:jc w:val="both"/>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.2 (0-0.9)</w:t>
            </w:r>
          </w:p>
        </w:tc>
        <w:tc>
          <w:tcPr>
            <w:tcW w:w="1752" w:type="dxa"/>
            <w:tcBorders>
              <w:bottom w:val="single" w:sz="4" w:space="0" w:color="auto"/>
            </w:tcBorders>
          </w:tcPr>
          <w:p w14:paraId="72AE41B6" w14:textId="77777777" w:rsidR="007411A8" w:rsidRPr="00086830" w:rsidRDefault="007411A8" w:rsidP="003022F5">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0.06</w:t>
            </w:r>
          </w:p>
        </w:tc>
      </w:tr>
    </w:tbl>
    <w:p w14:paraId="22823766" w14:textId="77777777" w:rsidR="007411A8" w:rsidRDefault="007411A8" w:rsidP="007411A8">
      <w:pPr>
        <w:snapToGrid w:val="0"/>
        <w:spacing w:line="480" w:lineRule="auto"/>
        <w:jc w:val="both"/>
        <w:rPr>
          <w:rFonts w:ascii="Times New Roman" w:hAnsi="Times New Roman" w:cs="Times New Roman"/>
          <w:sz w:val="20"/>
          <w:szCs w:val="20"/>
        </w:rPr>
      </w:pPr>
      <w:r w:rsidRPr="00086830">
        <w:rPr>
          <w:rFonts w:ascii="Times New Roman" w:hAnsi="Times New Roman" w:cs="Times New Roman"/>
          <w:sz w:val="20"/>
          <w:szCs w:val="20"/>
        </w:rPr>
        <w:t>Values were expressed as me</w:t>
      </w:r>
      <w:r>
        <w:rPr>
          <w:rFonts w:ascii="Times New Roman" w:hAnsi="Times New Roman" w:cs="Times New Roman"/>
          <w:sz w:val="20"/>
          <w:szCs w:val="20"/>
        </w:rPr>
        <w:t>dian (interquartile range)</w:t>
      </w:r>
      <w:r w:rsidRPr="00086830">
        <w:rPr>
          <w:rFonts w:ascii="Times New Roman" w:eastAsia="PMingLiU" w:hAnsi="Times New Roman" w:cs="Times New Roman"/>
          <w:sz w:val="20"/>
          <w:szCs w:val="20"/>
        </w:rPr>
        <w:t xml:space="preserve"> or counts</w:t>
      </w:r>
      <w:r>
        <w:rPr>
          <w:rFonts w:ascii="Times New Roman" w:eastAsia="PMingLiU" w:hAnsi="Times New Roman" w:cs="Times New Roman"/>
          <w:sz w:val="20"/>
          <w:szCs w:val="20"/>
        </w:rPr>
        <w:t xml:space="preserve"> (percentage)</w:t>
      </w:r>
      <w:r w:rsidRPr="00086830">
        <w:rPr>
          <w:rFonts w:ascii="Times New Roman" w:eastAsia="PMingLiU" w:hAnsi="Times New Roman" w:cs="Times New Roman"/>
          <w:sz w:val="20"/>
          <w:szCs w:val="20"/>
        </w:rPr>
        <w:t xml:space="preserve">. </w:t>
      </w:r>
      <w:r>
        <w:rPr>
          <w:rFonts w:ascii="Times New Roman" w:eastAsia="PMingLiU" w:hAnsi="Times New Roman" w:cs="Times New Roman"/>
          <w:sz w:val="20"/>
          <w:szCs w:val="20"/>
        </w:rPr>
        <w:t xml:space="preserve">6-MWT, 6-minute walk test; </w:t>
      </w:r>
      <w:r w:rsidRPr="00086830">
        <w:rPr>
          <w:rFonts w:ascii="Times New Roman" w:hAnsi="Times New Roman" w:cs="Times New Roman"/>
          <w:sz w:val="20"/>
          <w:szCs w:val="20"/>
        </w:rPr>
        <w:t xml:space="preserve">CCAT, </w:t>
      </w:r>
      <w:r>
        <w:rPr>
          <w:rFonts w:ascii="Times New Roman" w:hAnsi="Times New Roman" w:cs="Times New Roman"/>
          <w:sz w:val="20"/>
          <w:szCs w:val="20"/>
        </w:rPr>
        <w:t>C</w:t>
      </w:r>
      <w:r w:rsidRPr="00086830">
        <w:rPr>
          <w:rFonts w:ascii="Times New Roman" w:hAnsi="Times New Roman" w:cs="Times New Roman"/>
          <w:sz w:val="20"/>
          <w:szCs w:val="20"/>
        </w:rPr>
        <w:t xml:space="preserve">oncise Chinese aphasia test; </w:t>
      </w:r>
      <w:r>
        <w:rPr>
          <w:rFonts w:ascii="Times New Roman" w:hAnsi="Times New Roman" w:cs="Times New Roman"/>
          <w:sz w:val="20"/>
          <w:szCs w:val="20"/>
        </w:rPr>
        <w:t xml:space="preserve">FOIS, Functional Oral Intake Scale; IADL, Instrumental activities of daily living; ICH, intracerebral hemorrhage; IS, ischemic stroke; </w:t>
      </w:r>
      <w:r w:rsidRPr="00086830">
        <w:rPr>
          <w:rFonts w:ascii="Times New Roman" w:hAnsi="Times New Roman" w:cs="Times New Roman"/>
          <w:sz w:val="20"/>
          <w:szCs w:val="20"/>
        </w:rPr>
        <w:t>MAL</w:t>
      </w:r>
      <w:r>
        <w:rPr>
          <w:rFonts w:ascii="Times New Roman" w:hAnsi="Times New Roman" w:cs="Times New Roman"/>
          <w:sz w:val="20"/>
          <w:szCs w:val="20"/>
        </w:rPr>
        <w:t>-</w:t>
      </w:r>
      <w:r w:rsidRPr="00086830">
        <w:rPr>
          <w:rFonts w:ascii="Times New Roman" w:hAnsi="Times New Roman" w:cs="Times New Roman"/>
          <w:sz w:val="20"/>
          <w:szCs w:val="20"/>
        </w:rPr>
        <w:t>amount</w:t>
      </w:r>
      <w:r>
        <w:rPr>
          <w:rFonts w:ascii="Times New Roman" w:hAnsi="Times New Roman" w:cs="Times New Roman"/>
          <w:sz w:val="20"/>
          <w:szCs w:val="20"/>
        </w:rPr>
        <w:t>,</w:t>
      </w:r>
      <w:r w:rsidRPr="00086830">
        <w:rPr>
          <w:rFonts w:ascii="Times New Roman" w:hAnsi="Times New Roman" w:cs="Times New Roman"/>
          <w:sz w:val="20"/>
          <w:szCs w:val="20"/>
        </w:rPr>
        <w:t xml:space="preserve"> </w:t>
      </w:r>
      <w:r>
        <w:rPr>
          <w:rFonts w:ascii="Times New Roman" w:hAnsi="Times New Roman" w:cs="Times New Roman"/>
          <w:sz w:val="20"/>
          <w:szCs w:val="20"/>
        </w:rPr>
        <w:t>M</w:t>
      </w:r>
      <w:r w:rsidRPr="00086830">
        <w:rPr>
          <w:rFonts w:ascii="Times New Roman" w:hAnsi="Times New Roman" w:cs="Times New Roman"/>
          <w:sz w:val="20"/>
          <w:szCs w:val="20"/>
        </w:rPr>
        <w:t xml:space="preserve">otor </w:t>
      </w:r>
      <w:r>
        <w:rPr>
          <w:rFonts w:ascii="Times New Roman" w:hAnsi="Times New Roman" w:cs="Times New Roman"/>
          <w:sz w:val="20"/>
          <w:szCs w:val="20"/>
        </w:rPr>
        <w:t>A</w:t>
      </w:r>
      <w:r w:rsidRPr="00086830">
        <w:rPr>
          <w:rFonts w:ascii="Times New Roman" w:hAnsi="Times New Roman" w:cs="Times New Roman"/>
          <w:sz w:val="20"/>
          <w:szCs w:val="20"/>
        </w:rPr>
        <w:t xml:space="preserve">ctivity </w:t>
      </w:r>
      <w:r>
        <w:rPr>
          <w:rFonts w:ascii="Times New Roman" w:hAnsi="Times New Roman" w:cs="Times New Roman"/>
          <w:sz w:val="20"/>
          <w:szCs w:val="20"/>
        </w:rPr>
        <w:t>L</w:t>
      </w:r>
      <w:r w:rsidRPr="00086830">
        <w:rPr>
          <w:rFonts w:ascii="Times New Roman" w:hAnsi="Times New Roman" w:cs="Times New Roman"/>
          <w:sz w:val="20"/>
          <w:szCs w:val="20"/>
        </w:rPr>
        <w:t>og amount of use; MAL</w:t>
      </w:r>
      <w:r>
        <w:rPr>
          <w:rFonts w:ascii="Times New Roman" w:hAnsi="Times New Roman" w:cs="Times New Roman"/>
          <w:sz w:val="20"/>
          <w:szCs w:val="20"/>
        </w:rPr>
        <w:t>-</w:t>
      </w:r>
      <w:r w:rsidRPr="00086830">
        <w:rPr>
          <w:rFonts w:ascii="Times New Roman" w:hAnsi="Times New Roman" w:cs="Times New Roman"/>
          <w:sz w:val="20"/>
          <w:szCs w:val="20"/>
        </w:rPr>
        <w:t>quality</w:t>
      </w:r>
      <w:r>
        <w:rPr>
          <w:rFonts w:ascii="Times New Roman" w:hAnsi="Times New Roman" w:cs="Times New Roman"/>
          <w:sz w:val="20"/>
          <w:szCs w:val="20"/>
        </w:rPr>
        <w:t>,</w:t>
      </w:r>
      <w:r w:rsidRPr="00086830">
        <w:rPr>
          <w:rFonts w:ascii="Times New Roman" w:hAnsi="Times New Roman" w:cs="Times New Roman"/>
          <w:sz w:val="20"/>
          <w:szCs w:val="20"/>
        </w:rPr>
        <w:t xml:space="preserve"> </w:t>
      </w:r>
      <w:r>
        <w:rPr>
          <w:rFonts w:ascii="Times New Roman" w:hAnsi="Times New Roman" w:cs="Times New Roman"/>
          <w:sz w:val="20"/>
          <w:szCs w:val="20"/>
        </w:rPr>
        <w:t>M</w:t>
      </w:r>
      <w:r w:rsidRPr="00086830">
        <w:rPr>
          <w:rFonts w:ascii="Times New Roman" w:hAnsi="Times New Roman" w:cs="Times New Roman"/>
          <w:sz w:val="20"/>
          <w:szCs w:val="20"/>
        </w:rPr>
        <w:t xml:space="preserve">otor </w:t>
      </w:r>
      <w:r>
        <w:rPr>
          <w:rFonts w:ascii="Times New Roman" w:hAnsi="Times New Roman" w:cs="Times New Roman"/>
          <w:sz w:val="20"/>
          <w:szCs w:val="20"/>
        </w:rPr>
        <w:t>A</w:t>
      </w:r>
      <w:r w:rsidRPr="00086830">
        <w:rPr>
          <w:rFonts w:ascii="Times New Roman" w:hAnsi="Times New Roman" w:cs="Times New Roman"/>
          <w:sz w:val="20"/>
          <w:szCs w:val="20"/>
        </w:rPr>
        <w:t xml:space="preserve">ctivity </w:t>
      </w:r>
      <w:r>
        <w:rPr>
          <w:rFonts w:ascii="Times New Roman" w:hAnsi="Times New Roman" w:cs="Times New Roman"/>
          <w:sz w:val="20"/>
          <w:szCs w:val="20"/>
        </w:rPr>
        <w:t>L</w:t>
      </w:r>
      <w:r w:rsidRPr="00086830">
        <w:rPr>
          <w:rFonts w:ascii="Times New Roman" w:hAnsi="Times New Roman" w:cs="Times New Roman"/>
          <w:sz w:val="20"/>
          <w:szCs w:val="20"/>
        </w:rPr>
        <w:t>og quality of use</w:t>
      </w:r>
      <w:r>
        <w:rPr>
          <w:rFonts w:ascii="Times New Roman" w:hAnsi="Times New Roman" w:cs="Times New Roman"/>
          <w:sz w:val="20"/>
          <w:szCs w:val="20"/>
        </w:rPr>
        <w:t>; MNA, Mini-Nutritional Assessment.</w:t>
      </w:r>
      <w:r w:rsidRPr="00086830">
        <w:rPr>
          <w:rFonts w:ascii="Times New Roman" w:hAnsi="Times New Roman" w:cs="Times New Roman"/>
          <w:sz w:val="20"/>
          <w:szCs w:val="20"/>
        </w:rPr>
        <w:t xml:space="preserve"> The “-I” and “-F” represent the initial and final functional assessments, respectivel</w:t>
      </w:r>
      <w:r>
        <w:rPr>
          <w:rFonts w:ascii="Times New Roman" w:hAnsi="Times New Roman" w:cs="Times New Roman"/>
          <w:sz w:val="20"/>
          <w:szCs w:val="20"/>
        </w:rPr>
        <w:t>y.</w:t>
      </w:r>
    </w:p>
    <w:p w14:paraId="7894040A" w14:textId="77777777" w:rsidR="007411A8" w:rsidRPr="00086830" w:rsidRDefault="007411A8" w:rsidP="007411A8">
      <w:pPr>
        <w:snapToGrid w:val="0"/>
        <w:spacing w:line="480" w:lineRule="auto"/>
        <w:jc w:val="both"/>
        <w:rPr>
          <w:rFonts w:ascii="Times New Roman" w:hAnsi="Times New Roman" w:cs="Times New Roman"/>
          <w:sz w:val="20"/>
          <w:szCs w:val="20"/>
        </w:rPr>
      </w:pPr>
      <w:r>
        <w:rPr>
          <w:rFonts w:ascii="Times New Roman" w:eastAsia="PMingLiU" w:hAnsi="Times New Roman" w:cs="Times New Roman"/>
          <w:sz w:val="20"/>
          <w:szCs w:val="20"/>
          <w:vertAlign w:val="superscript"/>
        </w:rPr>
        <w:t xml:space="preserve">a </w:t>
      </w:r>
      <w:r>
        <w:rPr>
          <w:rFonts w:ascii="Times New Roman" w:eastAsia="PMingLiU" w:hAnsi="Times New Roman" w:cs="Times New Roman"/>
          <w:sz w:val="20"/>
          <w:szCs w:val="20"/>
        </w:rPr>
        <w:t>161 IS and 23 IS patients were evaluated.</w:t>
      </w:r>
    </w:p>
    <w:p w14:paraId="616BF87B" w14:textId="77777777" w:rsidR="007411A8" w:rsidRPr="009643C2" w:rsidRDefault="007411A8" w:rsidP="007411A8">
      <w:pPr>
        <w:snapToGrid w:val="0"/>
        <w:spacing w:line="480" w:lineRule="auto"/>
        <w:jc w:val="both"/>
        <w:rPr>
          <w:rFonts w:ascii="Times New Roman" w:hAnsi="Times New Roman" w:cs="Times New Roman"/>
          <w:sz w:val="20"/>
          <w:szCs w:val="20"/>
        </w:rPr>
      </w:pPr>
      <w:r>
        <w:rPr>
          <w:rFonts w:ascii="Times New Roman" w:eastAsia="PMingLiU" w:hAnsi="Times New Roman" w:cs="Times New Roman"/>
          <w:sz w:val="20"/>
          <w:szCs w:val="20"/>
          <w:vertAlign w:val="superscript"/>
        </w:rPr>
        <w:t>b</w:t>
      </w:r>
      <w:r w:rsidRPr="00086830">
        <w:rPr>
          <w:rFonts w:ascii="Times New Roman" w:eastAsia="PMingLiU" w:hAnsi="Times New Roman" w:cs="Times New Roman"/>
          <w:sz w:val="20"/>
          <w:szCs w:val="20"/>
        </w:rPr>
        <w:t xml:space="preserve"> </w:t>
      </w:r>
      <w:r>
        <w:rPr>
          <w:rFonts w:ascii="Times New Roman" w:eastAsia="PMingLiU" w:hAnsi="Times New Roman" w:cs="Times New Roman"/>
          <w:sz w:val="20"/>
          <w:szCs w:val="20"/>
        </w:rPr>
        <w:t>204</w:t>
      </w:r>
      <w:r w:rsidRPr="00086830">
        <w:rPr>
          <w:rFonts w:ascii="Times New Roman" w:eastAsia="PMingLiU" w:hAnsi="Times New Roman" w:cs="Times New Roman"/>
          <w:sz w:val="20"/>
          <w:szCs w:val="20"/>
        </w:rPr>
        <w:t xml:space="preserve"> </w:t>
      </w:r>
      <w:r>
        <w:rPr>
          <w:rFonts w:ascii="Times New Roman" w:eastAsia="PMingLiU" w:hAnsi="Times New Roman" w:cs="Times New Roman"/>
          <w:sz w:val="20"/>
          <w:szCs w:val="20"/>
        </w:rPr>
        <w:t>IS</w:t>
      </w:r>
      <w:r w:rsidRPr="00086830">
        <w:rPr>
          <w:rFonts w:ascii="Times New Roman" w:eastAsia="PMingLiU" w:hAnsi="Times New Roman" w:cs="Times New Roman"/>
          <w:sz w:val="20"/>
          <w:szCs w:val="20"/>
        </w:rPr>
        <w:t xml:space="preserve"> and 3</w:t>
      </w:r>
      <w:r>
        <w:rPr>
          <w:rFonts w:ascii="Times New Roman" w:eastAsia="PMingLiU" w:hAnsi="Times New Roman" w:cs="Times New Roman"/>
          <w:sz w:val="20"/>
          <w:szCs w:val="20"/>
        </w:rPr>
        <w:t>2</w:t>
      </w:r>
      <w:r w:rsidRPr="00086830">
        <w:rPr>
          <w:rFonts w:ascii="Times New Roman" w:eastAsia="PMingLiU" w:hAnsi="Times New Roman" w:cs="Times New Roman"/>
          <w:sz w:val="20"/>
          <w:szCs w:val="20"/>
        </w:rPr>
        <w:t xml:space="preserve"> ICH patients were evaluated</w:t>
      </w:r>
      <w:r>
        <w:rPr>
          <w:rFonts w:ascii="Times New Roman" w:eastAsia="PMingLiU" w:hAnsi="Times New Roman" w:cs="Times New Roman"/>
          <w:sz w:val="20"/>
          <w:szCs w:val="20"/>
        </w:rPr>
        <w:t>.</w:t>
      </w:r>
    </w:p>
    <w:p w14:paraId="32E7F791" w14:textId="4FEC053E" w:rsidR="007411A8" w:rsidRDefault="007411A8">
      <w:pPr>
        <w:rPr>
          <w:rFonts w:ascii="Times New Roman" w:eastAsia="PMingLiU" w:hAnsi="Times New Roman" w:cs="Times New Roman"/>
          <w:sz w:val="20"/>
          <w:szCs w:val="20"/>
        </w:rPr>
      </w:pPr>
      <w:r>
        <w:rPr>
          <w:rFonts w:ascii="Times New Roman" w:eastAsia="PMingLiU" w:hAnsi="Times New Roman" w:cs="Times New Roman"/>
          <w:sz w:val="20"/>
          <w:szCs w:val="20"/>
        </w:rPr>
        <w:br w:type="page"/>
      </w:r>
    </w:p>
    <w:tbl>
      <w:tblPr>
        <w:tblW w:w="18052" w:type="dxa"/>
        <w:tblInd w:w="-1440" w:type="dxa"/>
        <w:tblLook w:val="04A0" w:firstRow="1" w:lastRow="0" w:firstColumn="1" w:lastColumn="0" w:noHBand="0" w:noVBand="1"/>
      </w:tblPr>
      <w:tblGrid>
        <w:gridCol w:w="1582"/>
        <w:gridCol w:w="735"/>
        <w:gridCol w:w="1369"/>
        <w:gridCol w:w="5245"/>
        <w:gridCol w:w="1440"/>
        <w:gridCol w:w="1701"/>
        <w:gridCol w:w="1701"/>
        <w:gridCol w:w="4279"/>
      </w:tblGrid>
      <w:tr w:rsidR="007411A8" w:rsidRPr="00807F0D" w14:paraId="2CEBCE51" w14:textId="77777777" w:rsidTr="00AD3171">
        <w:trPr>
          <w:trHeight w:val="320"/>
        </w:trPr>
        <w:tc>
          <w:tcPr>
            <w:tcW w:w="18052" w:type="dxa"/>
            <w:gridSpan w:val="8"/>
            <w:tcBorders>
              <w:top w:val="nil"/>
              <w:left w:val="nil"/>
              <w:bottom w:val="single" w:sz="4" w:space="0" w:color="auto"/>
              <w:right w:val="nil"/>
            </w:tcBorders>
            <w:shd w:val="clear" w:color="auto" w:fill="auto"/>
            <w:noWrap/>
            <w:vAlign w:val="center"/>
            <w:hideMark/>
          </w:tcPr>
          <w:p w14:paraId="4B238681" w14:textId="0B65C69A" w:rsidR="007411A8" w:rsidRPr="00807F0D" w:rsidRDefault="007411A8" w:rsidP="003022F5">
            <w:pPr>
              <w:rPr>
                <w:rFonts w:ascii="Times New Roman" w:eastAsia="Times New Roman" w:hAnsi="Times New Roman" w:cs="Times New Roman"/>
                <w:color w:val="000000"/>
                <w:sz w:val="20"/>
                <w:szCs w:val="20"/>
              </w:rPr>
            </w:pPr>
            <w:r w:rsidRPr="00521A97">
              <w:rPr>
                <w:rFonts w:ascii="Times New Roman" w:eastAsia="Times New Roman" w:hAnsi="Times New Roman" w:cs="Times New Roman"/>
                <w:b/>
                <w:bCs/>
                <w:color w:val="000000"/>
                <w:sz w:val="20"/>
                <w:szCs w:val="20"/>
              </w:rPr>
              <w:lastRenderedPageBreak/>
              <w:t xml:space="preserve">Table </w:t>
            </w:r>
            <w:r w:rsidR="006B599E">
              <w:rPr>
                <w:rFonts w:ascii="Times New Roman" w:eastAsia="Times New Roman" w:hAnsi="Times New Roman" w:cs="Times New Roman"/>
                <w:b/>
                <w:bCs/>
                <w:color w:val="000000"/>
                <w:sz w:val="20"/>
                <w:szCs w:val="20"/>
              </w:rPr>
              <w:t>S</w:t>
            </w:r>
            <w:r w:rsidRPr="00521A97">
              <w:rPr>
                <w:rFonts w:ascii="Times New Roman" w:eastAsia="Times New Roman" w:hAnsi="Times New Roman" w:cs="Times New Roman"/>
                <w:b/>
                <w:bCs/>
                <w:color w:val="000000"/>
                <w:sz w:val="20"/>
                <w:szCs w:val="20"/>
              </w:rPr>
              <w:t>3</w:t>
            </w:r>
            <w:r w:rsidRPr="00807F0D">
              <w:rPr>
                <w:rFonts w:ascii="Times New Roman" w:eastAsia="Times New Roman" w:hAnsi="Times New Roman" w:cs="Times New Roman"/>
                <w:color w:val="000000"/>
                <w:sz w:val="20"/>
                <w:szCs w:val="20"/>
              </w:rPr>
              <w:t xml:space="preserve"> Publications comparing the functional outcomes of </w:t>
            </w:r>
            <w:r>
              <w:rPr>
                <w:rFonts w:ascii="Times New Roman" w:eastAsia="Times New Roman" w:hAnsi="Times New Roman" w:cs="Times New Roman"/>
                <w:color w:val="000000"/>
                <w:sz w:val="20"/>
                <w:szCs w:val="20"/>
              </w:rPr>
              <w:t xml:space="preserve">IS and ICH </w:t>
            </w:r>
            <w:r w:rsidRPr="00807F0D">
              <w:rPr>
                <w:rFonts w:ascii="Times New Roman" w:eastAsia="Times New Roman" w:hAnsi="Times New Roman" w:cs="Times New Roman"/>
                <w:color w:val="000000"/>
                <w:sz w:val="20"/>
                <w:szCs w:val="20"/>
              </w:rPr>
              <w:t>patients</w:t>
            </w:r>
          </w:p>
        </w:tc>
      </w:tr>
      <w:tr w:rsidR="007411A8" w:rsidRPr="00807F0D" w14:paraId="58BDD5BD" w14:textId="77777777" w:rsidTr="00AD3171">
        <w:trPr>
          <w:trHeight w:val="96"/>
        </w:trPr>
        <w:tc>
          <w:tcPr>
            <w:tcW w:w="1582" w:type="dxa"/>
            <w:tcBorders>
              <w:top w:val="nil"/>
              <w:left w:val="nil"/>
              <w:bottom w:val="single" w:sz="4" w:space="0" w:color="auto"/>
              <w:right w:val="single" w:sz="4" w:space="0" w:color="auto"/>
            </w:tcBorders>
            <w:shd w:val="clear" w:color="auto" w:fill="auto"/>
            <w:noWrap/>
            <w:vAlign w:val="center"/>
            <w:hideMark/>
          </w:tcPr>
          <w:p w14:paraId="6D56CFE4"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Author</w:t>
            </w:r>
          </w:p>
        </w:tc>
        <w:tc>
          <w:tcPr>
            <w:tcW w:w="735" w:type="dxa"/>
            <w:tcBorders>
              <w:top w:val="nil"/>
              <w:left w:val="nil"/>
              <w:bottom w:val="single" w:sz="4" w:space="0" w:color="auto"/>
              <w:right w:val="nil"/>
            </w:tcBorders>
            <w:shd w:val="clear" w:color="auto" w:fill="auto"/>
            <w:noWrap/>
            <w:vAlign w:val="center"/>
            <w:hideMark/>
          </w:tcPr>
          <w:p w14:paraId="36724F32" w14:textId="77777777" w:rsidR="007411A8" w:rsidRPr="00807F0D" w:rsidRDefault="007411A8" w:rsidP="003022F5">
            <w:pPr>
              <w:jc w:val="cente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Year</w:t>
            </w:r>
          </w:p>
        </w:tc>
        <w:tc>
          <w:tcPr>
            <w:tcW w:w="1369" w:type="dxa"/>
            <w:tcBorders>
              <w:top w:val="nil"/>
              <w:left w:val="nil"/>
              <w:bottom w:val="single" w:sz="4" w:space="0" w:color="auto"/>
              <w:right w:val="nil"/>
            </w:tcBorders>
            <w:shd w:val="clear" w:color="auto" w:fill="auto"/>
            <w:noWrap/>
            <w:vAlign w:val="center"/>
            <w:hideMark/>
          </w:tcPr>
          <w:p w14:paraId="5A55044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Population</w:t>
            </w:r>
          </w:p>
        </w:tc>
        <w:tc>
          <w:tcPr>
            <w:tcW w:w="5245" w:type="dxa"/>
            <w:tcBorders>
              <w:top w:val="nil"/>
              <w:left w:val="nil"/>
              <w:bottom w:val="single" w:sz="4" w:space="0" w:color="auto"/>
              <w:right w:val="nil"/>
            </w:tcBorders>
            <w:shd w:val="clear" w:color="auto" w:fill="auto"/>
            <w:noWrap/>
            <w:vAlign w:val="center"/>
            <w:hideMark/>
          </w:tcPr>
          <w:p w14:paraId="0A9142AE"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Conclusion</w:t>
            </w:r>
          </w:p>
        </w:tc>
        <w:tc>
          <w:tcPr>
            <w:tcW w:w="1440" w:type="dxa"/>
            <w:tcBorders>
              <w:top w:val="nil"/>
              <w:left w:val="single" w:sz="4" w:space="0" w:color="auto"/>
              <w:bottom w:val="nil"/>
              <w:right w:val="single" w:sz="4" w:space="0" w:color="auto"/>
            </w:tcBorders>
            <w:shd w:val="clear" w:color="auto" w:fill="auto"/>
            <w:noWrap/>
            <w:vAlign w:val="center"/>
            <w:hideMark/>
          </w:tcPr>
          <w:p w14:paraId="01B7B381"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Study design</w:t>
            </w:r>
          </w:p>
        </w:tc>
        <w:tc>
          <w:tcPr>
            <w:tcW w:w="1701" w:type="dxa"/>
            <w:tcBorders>
              <w:top w:val="nil"/>
              <w:left w:val="nil"/>
              <w:bottom w:val="single" w:sz="4" w:space="0" w:color="auto"/>
              <w:right w:val="single" w:sz="4" w:space="0" w:color="auto"/>
            </w:tcBorders>
            <w:shd w:val="clear" w:color="auto" w:fill="auto"/>
            <w:noWrap/>
            <w:vAlign w:val="center"/>
            <w:hideMark/>
          </w:tcPr>
          <w:p w14:paraId="7F6E085E"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Patient number (</w:t>
            </w:r>
            <w:r>
              <w:rPr>
                <w:rFonts w:ascii="Times New Roman" w:eastAsia="Times New Roman" w:hAnsi="Times New Roman" w:cs="Times New Roman"/>
                <w:color w:val="000000"/>
                <w:sz w:val="20"/>
                <w:szCs w:val="20"/>
              </w:rPr>
              <w:t>IS</w:t>
            </w:r>
            <w:r w:rsidRPr="00807F0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ICH</w:t>
            </w:r>
            <w:r w:rsidRPr="00807F0D">
              <w:rPr>
                <w:rFonts w:ascii="Times New Roman" w:eastAsia="Times New Roman" w:hAnsi="Times New Roman" w:cs="Times New Roman"/>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14:paraId="3B43FA4F"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Rehabilitation</w:t>
            </w:r>
          </w:p>
        </w:tc>
        <w:tc>
          <w:tcPr>
            <w:tcW w:w="4279" w:type="dxa"/>
            <w:tcBorders>
              <w:top w:val="nil"/>
              <w:left w:val="nil"/>
              <w:bottom w:val="single" w:sz="4" w:space="0" w:color="auto"/>
              <w:right w:val="nil"/>
            </w:tcBorders>
            <w:shd w:val="clear" w:color="auto" w:fill="auto"/>
            <w:vAlign w:val="center"/>
            <w:hideMark/>
          </w:tcPr>
          <w:p w14:paraId="39E6725B"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Functional outcome measure</w:t>
            </w:r>
          </w:p>
        </w:tc>
      </w:tr>
      <w:tr w:rsidR="007411A8" w:rsidRPr="00807F0D" w14:paraId="02010A52" w14:textId="77777777" w:rsidTr="00AD3171">
        <w:trPr>
          <w:trHeight w:val="779"/>
        </w:trPr>
        <w:tc>
          <w:tcPr>
            <w:tcW w:w="1582" w:type="dxa"/>
            <w:tcBorders>
              <w:top w:val="nil"/>
              <w:left w:val="nil"/>
              <w:bottom w:val="nil"/>
              <w:right w:val="single" w:sz="4" w:space="0" w:color="auto"/>
            </w:tcBorders>
            <w:shd w:val="clear" w:color="auto" w:fill="auto"/>
            <w:vAlign w:val="center"/>
            <w:hideMark/>
          </w:tcPr>
          <w:p w14:paraId="05BD94D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Chu et al.            (this study)</w:t>
            </w:r>
          </w:p>
        </w:tc>
        <w:tc>
          <w:tcPr>
            <w:tcW w:w="735" w:type="dxa"/>
            <w:tcBorders>
              <w:top w:val="nil"/>
              <w:left w:val="nil"/>
              <w:bottom w:val="nil"/>
              <w:right w:val="nil"/>
            </w:tcBorders>
            <w:shd w:val="clear" w:color="auto" w:fill="auto"/>
            <w:noWrap/>
            <w:vAlign w:val="center"/>
            <w:hideMark/>
          </w:tcPr>
          <w:p w14:paraId="5503EC7F"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2020</w:t>
            </w:r>
          </w:p>
        </w:tc>
        <w:tc>
          <w:tcPr>
            <w:tcW w:w="1369" w:type="dxa"/>
            <w:tcBorders>
              <w:top w:val="nil"/>
              <w:left w:val="nil"/>
              <w:bottom w:val="nil"/>
              <w:right w:val="nil"/>
            </w:tcBorders>
            <w:shd w:val="clear" w:color="auto" w:fill="auto"/>
            <w:vAlign w:val="center"/>
            <w:hideMark/>
          </w:tcPr>
          <w:p w14:paraId="1294AFA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Asian (Taiwan)</w:t>
            </w:r>
          </w:p>
        </w:tc>
        <w:tc>
          <w:tcPr>
            <w:tcW w:w="5245" w:type="dxa"/>
            <w:tcBorders>
              <w:top w:val="nil"/>
              <w:left w:val="nil"/>
              <w:bottom w:val="nil"/>
              <w:right w:val="nil"/>
            </w:tcBorders>
            <w:shd w:val="clear" w:color="auto" w:fill="auto"/>
            <w:vAlign w:val="center"/>
            <w:hideMark/>
          </w:tcPr>
          <w:p w14:paraId="6D23B2F8"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Subcortical ICH patients had greater BI</w:t>
            </w:r>
            <w:r>
              <w:rPr>
                <w:rFonts w:ascii="Times New Roman" w:eastAsia="Times New Roman" w:hAnsi="Times New Roman" w:cs="Times New Roman"/>
                <w:color w:val="000000"/>
                <w:sz w:val="20"/>
                <w:szCs w:val="20"/>
              </w:rPr>
              <w:t>, QoL,</w:t>
            </w:r>
            <w:r w:rsidRPr="00807F0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sensation, and balance</w:t>
            </w:r>
            <w:r w:rsidRPr="00807F0D">
              <w:rPr>
                <w:rFonts w:ascii="Times New Roman" w:eastAsia="Times New Roman" w:hAnsi="Times New Roman" w:cs="Times New Roman"/>
                <w:color w:val="000000"/>
                <w:sz w:val="20"/>
                <w:szCs w:val="20"/>
              </w:rPr>
              <w:t xml:space="preserve"> improvement</w:t>
            </w:r>
            <w:r>
              <w:rPr>
                <w:rFonts w:ascii="Times New Roman" w:eastAsia="Times New Roman" w:hAnsi="Times New Roman" w:cs="Times New Roman"/>
                <w:color w:val="000000"/>
                <w:sz w:val="20"/>
                <w:szCs w:val="20"/>
              </w:rPr>
              <w:t>s,</w:t>
            </w:r>
            <w:r w:rsidRPr="00807F0D">
              <w:rPr>
                <w:rFonts w:ascii="Times New Roman" w:eastAsia="Times New Roman" w:hAnsi="Times New Roman" w:cs="Times New Roman"/>
                <w:color w:val="000000"/>
                <w:sz w:val="20"/>
                <w:szCs w:val="20"/>
              </w:rPr>
              <w:t xml:space="preserve"> and had </w:t>
            </w:r>
            <w:r>
              <w:rPr>
                <w:rFonts w:ascii="Times New Roman" w:eastAsia="Times New Roman" w:hAnsi="Times New Roman" w:cs="Times New Roman"/>
                <w:color w:val="000000"/>
                <w:sz w:val="20"/>
                <w:szCs w:val="20"/>
              </w:rPr>
              <w:t>greater</w:t>
            </w:r>
            <w:r w:rsidRPr="00807F0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late phase recovery</w:t>
            </w:r>
            <w:r w:rsidRPr="00807F0D">
              <w:rPr>
                <w:rFonts w:ascii="Times New Roman" w:eastAsia="Times New Roman" w:hAnsi="Times New Roman" w:cs="Times New Roman"/>
                <w:color w:val="000000"/>
                <w:sz w:val="20"/>
                <w:szCs w:val="20"/>
              </w:rPr>
              <w:t xml:space="preserve"> than their </w:t>
            </w:r>
            <w:r>
              <w:rPr>
                <w:rFonts w:ascii="Times New Roman" w:eastAsia="Times New Roman" w:hAnsi="Times New Roman" w:cs="Times New Roman"/>
                <w:color w:val="000000"/>
                <w:sz w:val="20"/>
                <w:szCs w:val="20"/>
              </w:rPr>
              <w:t>IS</w:t>
            </w:r>
            <w:r w:rsidRPr="00807F0D">
              <w:rPr>
                <w:rFonts w:ascii="Times New Roman" w:eastAsia="Times New Roman" w:hAnsi="Times New Roman" w:cs="Times New Roman"/>
                <w:color w:val="000000"/>
                <w:sz w:val="20"/>
                <w:szCs w:val="20"/>
              </w:rPr>
              <w:t xml:space="preserve"> counterparts</w:t>
            </w:r>
            <w:r>
              <w:rPr>
                <w:rFonts w:ascii="Times New Roman" w:eastAsia="Times New Roman" w:hAnsi="Times New Roman" w:cs="Times New Roman"/>
                <w:color w:val="000000"/>
                <w:sz w:val="20"/>
                <w:szCs w:val="20"/>
              </w:rPr>
              <w:t xml:space="preserve"> after the PAC-CVD program</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14:paraId="0D95C65D"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Retrospective</w:t>
            </w:r>
          </w:p>
        </w:tc>
        <w:tc>
          <w:tcPr>
            <w:tcW w:w="1701" w:type="dxa"/>
            <w:tcBorders>
              <w:top w:val="nil"/>
              <w:left w:val="nil"/>
              <w:bottom w:val="nil"/>
              <w:right w:val="single" w:sz="4" w:space="0" w:color="auto"/>
            </w:tcBorders>
            <w:shd w:val="clear" w:color="auto" w:fill="auto"/>
            <w:noWrap/>
            <w:vAlign w:val="center"/>
            <w:hideMark/>
          </w:tcPr>
          <w:p w14:paraId="45E7916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489 (414,75)</w:t>
            </w:r>
          </w:p>
        </w:tc>
        <w:tc>
          <w:tcPr>
            <w:tcW w:w="1701" w:type="dxa"/>
            <w:tcBorders>
              <w:top w:val="nil"/>
              <w:left w:val="nil"/>
              <w:bottom w:val="nil"/>
              <w:right w:val="single" w:sz="4" w:space="0" w:color="auto"/>
            </w:tcBorders>
            <w:shd w:val="clear" w:color="auto" w:fill="auto"/>
            <w:noWrap/>
            <w:vAlign w:val="center"/>
            <w:hideMark/>
          </w:tcPr>
          <w:p w14:paraId="5FC248C0"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Yes</w:t>
            </w:r>
          </w:p>
        </w:tc>
        <w:tc>
          <w:tcPr>
            <w:tcW w:w="4279" w:type="dxa"/>
            <w:tcBorders>
              <w:top w:val="nil"/>
              <w:left w:val="nil"/>
              <w:bottom w:val="nil"/>
              <w:right w:val="nil"/>
            </w:tcBorders>
            <w:shd w:val="clear" w:color="auto" w:fill="auto"/>
            <w:noWrap/>
            <w:vAlign w:val="center"/>
            <w:hideMark/>
          </w:tcPr>
          <w:p w14:paraId="3B6DE543"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Many</w:t>
            </w:r>
          </w:p>
        </w:tc>
      </w:tr>
      <w:tr w:rsidR="007411A8" w:rsidRPr="00807F0D" w14:paraId="29A3717C" w14:textId="77777777" w:rsidTr="00AD3171">
        <w:trPr>
          <w:trHeight w:val="601"/>
        </w:trPr>
        <w:tc>
          <w:tcPr>
            <w:tcW w:w="1582" w:type="dxa"/>
            <w:tcBorders>
              <w:top w:val="nil"/>
              <w:left w:val="nil"/>
              <w:bottom w:val="nil"/>
              <w:right w:val="single" w:sz="4" w:space="0" w:color="auto"/>
            </w:tcBorders>
            <w:shd w:val="clear" w:color="auto" w:fill="auto"/>
            <w:vAlign w:val="center"/>
            <w:hideMark/>
          </w:tcPr>
          <w:p w14:paraId="7CF58A22" w14:textId="5F44926C"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 xml:space="preserve">Hsu et al. </w:t>
            </w:r>
            <w:r w:rsidR="006E0A4D">
              <w:rPr>
                <w:rFonts w:ascii="Times New Roman" w:eastAsia="Times New Roman" w:hAnsi="Times New Roman" w:cs="Times New Roman"/>
                <w:color w:val="000000"/>
                <w:sz w:val="20"/>
                <w:szCs w:val="20"/>
              </w:rPr>
              <w:fldChar w:fldCharType="begin" w:fldLock="1"/>
            </w:r>
            <w:r w:rsidR="00920181">
              <w:rPr>
                <w:rFonts w:ascii="Times New Roman" w:eastAsia="Times New Roman" w:hAnsi="Times New Roman" w:cs="Times New Roman"/>
                <w:color w:val="000000"/>
                <w:sz w:val="20"/>
                <w:szCs w:val="20"/>
              </w:rPr>
              <w:instrText>ADDIN CSL_CITATION {"citationItems":[{"id":"ITEM-1","itemData":{"DOI":"10.4103/tcmj.tcmj","ISSN":"1016-3190","PMID":"28757769","abstract":"Abstract Numerous studies indicate that microbiota plays an important role in human health. Diet is a factor related to microbiota which also influences human health. The relationships between diet, microbiota, and human health are complex. This review focuses on the current literature on vegan diets and their unique impact on gut microbiota. We also report on the health benefits of a vegan diet for metabolic syndrome, cardiovascular disease, and rheumatoid arthritis concerning relevant impacts from gut microbiota. Despite evidence supporting the clinical relevance of vegan gut microbiota to human health, the whole mechanism awaits further investigation.","author":[{"dropping-particle":"","family":"Hsu","given":"You‑Chien","non-dropping-particle":"","parse-names":false,"suffix":""},{"dropping-particle":"","family":"Chen","given":"Guei‑Chiuan","non-dropping-particle":"","parse-names":false,"suffix":""},{"dropping-particle":"","family":"Chen","given":"Pei‑Ya","non-dropping-particle":"","parse-names":false,"suffix":""},{"dropping-particle":"","family":"Lin","given":"Shinn‑Kuang","non-dropping-particle":"","parse-names":false,"suffix":""}],"container-title":"Tzu Chi Medical Journal","id":"ITEM-1","issue":"4","issued":{"date-parts":[["0"]]},"page":"260-265","title":"Postacute care model of stroke in one hospital","type":"article-journal","volume":"31"},"uris":["http://www.mendeley.com/documents/?uuid=9b13496c-080f-4dcb-becd-dfe28700aa2b"]}],"mendeley":{"formattedCitation":"&lt;sup&gt;1&lt;/sup&gt;","plainTextFormattedCitation":"1","previouslyFormattedCitation":"&lt;sup&gt;1&lt;/sup&gt;"},"properties":{"noteIndex":0},"schema":"https://github.com/citation-style-language/schema/raw/master/csl-citation.json"}</w:instrText>
            </w:r>
            <w:r w:rsidR="006E0A4D">
              <w:rPr>
                <w:rFonts w:ascii="Times New Roman" w:eastAsia="Times New Roman" w:hAnsi="Times New Roman" w:cs="Times New Roman"/>
                <w:color w:val="000000"/>
                <w:sz w:val="20"/>
                <w:szCs w:val="20"/>
              </w:rPr>
              <w:fldChar w:fldCharType="separate"/>
            </w:r>
            <w:r w:rsidR="006E0A4D" w:rsidRPr="006E0A4D">
              <w:rPr>
                <w:rFonts w:ascii="Times New Roman" w:eastAsia="Times New Roman" w:hAnsi="Times New Roman" w:cs="Times New Roman"/>
                <w:noProof/>
                <w:color w:val="000000"/>
                <w:sz w:val="20"/>
                <w:szCs w:val="20"/>
                <w:vertAlign w:val="superscript"/>
              </w:rPr>
              <w:t>1</w:t>
            </w:r>
            <w:r w:rsidR="006E0A4D">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72C129D8"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2018</w:t>
            </w:r>
          </w:p>
        </w:tc>
        <w:tc>
          <w:tcPr>
            <w:tcW w:w="1369" w:type="dxa"/>
            <w:tcBorders>
              <w:top w:val="nil"/>
              <w:left w:val="nil"/>
              <w:bottom w:val="nil"/>
              <w:right w:val="nil"/>
            </w:tcBorders>
            <w:shd w:val="clear" w:color="auto" w:fill="auto"/>
            <w:vAlign w:val="center"/>
            <w:hideMark/>
          </w:tcPr>
          <w:p w14:paraId="776F3F2C"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Asian (Taiwan)</w:t>
            </w:r>
          </w:p>
        </w:tc>
        <w:tc>
          <w:tcPr>
            <w:tcW w:w="5245" w:type="dxa"/>
            <w:tcBorders>
              <w:top w:val="nil"/>
              <w:left w:val="nil"/>
              <w:bottom w:val="nil"/>
              <w:right w:val="nil"/>
            </w:tcBorders>
            <w:shd w:val="clear" w:color="auto" w:fill="auto"/>
            <w:vAlign w:val="center"/>
            <w:hideMark/>
          </w:tcPr>
          <w:p w14:paraId="01D776FF"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 xml:space="preserve">ICH patients had </w:t>
            </w:r>
            <w:r>
              <w:rPr>
                <w:rFonts w:ascii="Times New Roman" w:eastAsia="Times New Roman" w:hAnsi="Times New Roman" w:cs="Times New Roman"/>
                <w:color w:val="000000"/>
                <w:sz w:val="20"/>
                <w:szCs w:val="20"/>
              </w:rPr>
              <w:t>greater</w:t>
            </w:r>
            <w:r w:rsidRPr="00807F0D">
              <w:rPr>
                <w:rFonts w:ascii="Times New Roman" w:eastAsia="Times New Roman" w:hAnsi="Times New Roman" w:cs="Times New Roman"/>
                <w:color w:val="000000"/>
                <w:sz w:val="20"/>
                <w:szCs w:val="20"/>
              </w:rPr>
              <w:t xml:space="preserve"> improvement</w:t>
            </w:r>
            <w:r>
              <w:rPr>
                <w:rFonts w:ascii="Times New Roman" w:eastAsia="Times New Roman" w:hAnsi="Times New Roman" w:cs="Times New Roman"/>
                <w:color w:val="000000"/>
                <w:sz w:val="20"/>
                <w:szCs w:val="20"/>
              </w:rPr>
              <w:t>s</w:t>
            </w:r>
            <w:r w:rsidRPr="00807F0D">
              <w:rPr>
                <w:rFonts w:ascii="Times New Roman" w:eastAsia="Times New Roman" w:hAnsi="Times New Roman" w:cs="Times New Roman"/>
                <w:color w:val="000000"/>
                <w:sz w:val="20"/>
                <w:szCs w:val="20"/>
              </w:rPr>
              <w:t xml:space="preserve"> in BI, Q</w:t>
            </w:r>
            <w:r>
              <w:rPr>
                <w:rFonts w:ascii="Times New Roman" w:eastAsia="Times New Roman" w:hAnsi="Times New Roman" w:cs="Times New Roman"/>
                <w:color w:val="000000"/>
                <w:sz w:val="20"/>
                <w:szCs w:val="20"/>
              </w:rPr>
              <w:t>o</w:t>
            </w:r>
            <w:r w:rsidRPr="00807F0D">
              <w:rPr>
                <w:rFonts w:ascii="Times New Roman" w:eastAsia="Times New Roman" w:hAnsi="Times New Roman" w:cs="Times New Roman"/>
                <w:color w:val="000000"/>
                <w:sz w:val="20"/>
                <w:szCs w:val="20"/>
              </w:rPr>
              <w:t>L, swallowing, gait speed, sensation</w:t>
            </w:r>
            <w:r>
              <w:rPr>
                <w:rFonts w:ascii="Times New Roman" w:eastAsia="Times New Roman" w:hAnsi="Times New Roman" w:cs="Times New Roman"/>
                <w:color w:val="000000"/>
                <w:sz w:val="20"/>
                <w:szCs w:val="20"/>
              </w:rPr>
              <w:t>,</w:t>
            </w:r>
            <w:r w:rsidRPr="00807F0D">
              <w:rPr>
                <w:rFonts w:ascii="Times New Roman" w:eastAsia="Times New Roman" w:hAnsi="Times New Roman" w:cs="Times New Roman"/>
                <w:color w:val="000000"/>
                <w:sz w:val="20"/>
                <w:szCs w:val="20"/>
              </w:rPr>
              <w:t xml:space="preserve"> and language after </w:t>
            </w:r>
            <w:r>
              <w:rPr>
                <w:rFonts w:ascii="Times New Roman" w:eastAsia="Times New Roman" w:hAnsi="Times New Roman" w:cs="Times New Roman"/>
                <w:color w:val="000000"/>
                <w:sz w:val="20"/>
                <w:szCs w:val="20"/>
              </w:rPr>
              <w:t xml:space="preserve">the </w:t>
            </w:r>
            <w:r w:rsidRPr="00807F0D">
              <w:rPr>
                <w:rFonts w:ascii="Times New Roman" w:eastAsia="Times New Roman" w:hAnsi="Times New Roman" w:cs="Times New Roman"/>
                <w:color w:val="000000"/>
                <w:sz w:val="20"/>
                <w:szCs w:val="20"/>
              </w:rPr>
              <w:t>PAC</w:t>
            </w:r>
            <w:r>
              <w:rPr>
                <w:rFonts w:ascii="Times New Roman" w:eastAsia="Times New Roman" w:hAnsi="Times New Roman" w:cs="Times New Roman"/>
                <w:color w:val="000000"/>
                <w:sz w:val="20"/>
                <w:szCs w:val="20"/>
              </w:rPr>
              <w:t>-CVD program</w:t>
            </w:r>
          </w:p>
        </w:tc>
        <w:tc>
          <w:tcPr>
            <w:tcW w:w="1440" w:type="dxa"/>
            <w:tcBorders>
              <w:top w:val="nil"/>
              <w:left w:val="single" w:sz="4" w:space="0" w:color="auto"/>
              <w:bottom w:val="nil"/>
              <w:right w:val="single" w:sz="4" w:space="0" w:color="auto"/>
            </w:tcBorders>
            <w:shd w:val="clear" w:color="auto" w:fill="auto"/>
            <w:noWrap/>
            <w:vAlign w:val="center"/>
            <w:hideMark/>
          </w:tcPr>
          <w:p w14:paraId="41FCB96D"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Retrospective</w:t>
            </w:r>
          </w:p>
        </w:tc>
        <w:tc>
          <w:tcPr>
            <w:tcW w:w="1701" w:type="dxa"/>
            <w:tcBorders>
              <w:top w:val="nil"/>
              <w:left w:val="nil"/>
              <w:bottom w:val="nil"/>
              <w:right w:val="single" w:sz="4" w:space="0" w:color="auto"/>
            </w:tcBorders>
            <w:shd w:val="clear" w:color="auto" w:fill="auto"/>
            <w:noWrap/>
            <w:vAlign w:val="center"/>
            <w:hideMark/>
          </w:tcPr>
          <w:p w14:paraId="17626B8F"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45 (33,12)</w:t>
            </w:r>
          </w:p>
        </w:tc>
        <w:tc>
          <w:tcPr>
            <w:tcW w:w="1701" w:type="dxa"/>
            <w:tcBorders>
              <w:top w:val="nil"/>
              <w:left w:val="nil"/>
              <w:bottom w:val="nil"/>
              <w:right w:val="single" w:sz="4" w:space="0" w:color="auto"/>
            </w:tcBorders>
            <w:shd w:val="clear" w:color="auto" w:fill="auto"/>
            <w:noWrap/>
            <w:vAlign w:val="center"/>
            <w:hideMark/>
          </w:tcPr>
          <w:p w14:paraId="35C51914"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Yes</w:t>
            </w:r>
          </w:p>
        </w:tc>
        <w:tc>
          <w:tcPr>
            <w:tcW w:w="4279" w:type="dxa"/>
            <w:tcBorders>
              <w:top w:val="nil"/>
              <w:left w:val="nil"/>
              <w:bottom w:val="nil"/>
              <w:right w:val="nil"/>
            </w:tcBorders>
            <w:shd w:val="clear" w:color="auto" w:fill="auto"/>
            <w:noWrap/>
            <w:vAlign w:val="center"/>
            <w:hideMark/>
          </w:tcPr>
          <w:p w14:paraId="655FDCB8"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Many</w:t>
            </w:r>
          </w:p>
        </w:tc>
      </w:tr>
      <w:tr w:rsidR="007411A8" w:rsidRPr="00807F0D" w14:paraId="267EEB7D" w14:textId="77777777" w:rsidTr="00AD3171">
        <w:trPr>
          <w:trHeight w:val="411"/>
        </w:trPr>
        <w:tc>
          <w:tcPr>
            <w:tcW w:w="1582" w:type="dxa"/>
            <w:tcBorders>
              <w:top w:val="nil"/>
              <w:left w:val="nil"/>
              <w:bottom w:val="nil"/>
              <w:right w:val="single" w:sz="4" w:space="0" w:color="auto"/>
            </w:tcBorders>
            <w:shd w:val="clear" w:color="auto" w:fill="auto"/>
            <w:vAlign w:val="center"/>
            <w:hideMark/>
          </w:tcPr>
          <w:p w14:paraId="7E457870" w14:textId="2D66C26D" w:rsidR="007411A8" w:rsidRPr="00807F0D" w:rsidRDefault="007411A8" w:rsidP="003022F5">
            <w:pPr>
              <w:rPr>
                <w:rFonts w:ascii="Times New Roman" w:eastAsia="Times New Roman" w:hAnsi="Times New Roman" w:cs="Times New Roman"/>
                <w:color w:val="000000"/>
                <w:sz w:val="20"/>
                <w:szCs w:val="20"/>
              </w:rPr>
            </w:pPr>
            <w:proofErr w:type="spellStart"/>
            <w:r w:rsidRPr="00807F0D">
              <w:rPr>
                <w:rFonts w:ascii="Times New Roman" w:eastAsia="Times New Roman" w:hAnsi="Times New Roman" w:cs="Times New Roman"/>
                <w:color w:val="000000"/>
                <w:sz w:val="20"/>
                <w:szCs w:val="20"/>
              </w:rPr>
              <w:t>Paulocci</w:t>
            </w:r>
            <w:proofErr w:type="spellEnd"/>
            <w:r w:rsidRPr="00807F0D">
              <w:rPr>
                <w:rFonts w:ascii="Times New Roman" w:eastAsia="Times New Roman" w:hAnsi="Times New Roman" w:cs="Times New Roman"/>
                <w:color w:val="000000"/>
                <w:sz w:val="20"/>
                <w:szCs w:val="20"/>
              </w:rPr>
              <w:t xml:space="preserve"> et al. </w:t>
            </w:r>
            <w:r w:rsidR="00920181">
              <w:rPr>
                <w:rFonts w:ascii="Times New Roman" w:eastAsia="Times New Roman" w:hAnsi="Times New Roman" w:cs="Times New Roman"/>
                <w:color w:val="000000"/>
                <w:sz w:val="20"/>
                <w:szCs w:val="20"/>
              </w:rPr>
              <w:fldChar w:fldCharType="begin" w:fldLock="1"/>
            </w:r>
            <w:r w:rsidR="005F4A29">
              <w:rPr>
                <w:rFonts w:ascii="Times New Roman" w:eastAsia="Times New Roman" w:hAnsi="Times New Roman" w:cs="Times New Roman"/>
                <w:color w:val="000000"/>
                <w:sz w:val="20"/>
                <w:szCs w:val="20"/>
              </w:rPr>
              <w:instrText>ADDIN CSL_CITATION {"citationItems":[{"id":"ITEM-1","itemData":{"DOI":"10.1161/01.STR.0000102902.39759.D3","ISSN":"00392499","abstract":"BACKGROUND AND PURPOSE: The goal of this study was to assess the specific influence of stroke etiology on rehabilitation results.  METHODS: This was a case-control study of 270 inpatients with sequelae of first stroke who were enrolled in homogeneous subgroups and matched for stroke severity, basal disability, age (within 1 year), sex, and onset admission interval (within 3 days) who were different only in terms of stroke origin, infarction versus hemorrhage. We compared the groups' length of stay, efficiency and effectiveness of treatment, and percentage of low and high responder patients. Odds ratios of dropouts and of low and high therapeutic response were also quantified.  RESULTS: Compared with ischemic patients, hemorrhagic patients had significantly higher Canadian Neurological Scale and Rivermead Mobility Index scores at discharge; higher effectiveness and efficiency on the Canadian Neurological Scale, Barthel Index, and Rivermead Mobility Index; and a higher percentage of high responders on the Barthel Index. Hemorrhagic patients showed a probability of a high therapeutic response on the Barthel Index that was approximately 2.5 times greater than that of ischemic patients (odds ratio, 2.48; 95% confidence interval, 1.19 to 5.20; accuracy on prediction, 87.06%).  CONCLUSIONS: The results of this study provide further evidence of better functional prognosis in stroke survivors with hemorrhagic stroke.","author":[{"dropping-particle":"","family":"Paolucci","given":"Stefano","non-dropping-particle":"","parse-names":false,"suffix":""},{"dropping-particle":"","family":"Antonucci","given":"Gabriella","non-dropping-particle":"","parse-names":false,"suffix":""},{"dropping-particle":"","family":"Grasso","given":"Maria Grazia","non-dropping-particle":"","parse-names":false,"suffix":""},{"dropping-particle":"","family":"Bragoni","given":"Maura","non-dropping-particle":"","parse-names":false,"suffix":""},{"dropping-particle":"","family":"Coiro","given":"Paola","non-dropping-particle":"","parse-names":false,"suffix":""},{"dropping-particle":"","family":"Angelis","given":"Domenico","non-dropping-particle":"De","parse-names":false,"suffix":""},{"dropping-particle":"","family":"Fusco","given":"Francesca Romana","non-dropping-particle":"","parse-names":false,"suffix":""},{"dropping-particle":"","family":"Morelli","given":"Daniela","non-dropping-particle":"","parse-names":false,"suffix":""},{"dropping-particle":"","family":"Venturiero","given":"Vincenzo","non-dropping-particle":"","parse-names":false,"suffix":""},{"dropping-particle":"","family":"Troisi","given":"Elio","non-dropping-particle":"","parse-names":false,"suffix":""},{"dropping-particle":"","family":"Pratesi","given":"Luca","non-dropping-particle":"","parse-names":false,"suffix":""}],"container-title":"Stroke","id":"ITEM-1","issued":{"date-parts":[["2003"]]},"title":"Functional Outcome of Ischemic and Hemorrhagic Stroke Patients after Inpatient Rehabilitation: A Matched Comparison","type":"article-journal"},"uris":["http://www.mendeley.com/documents/?uuid=86adb0df-86e7-439f-bebc-a9703cd2467f"]}],"mendeley":{"formattedCitation":"&lt;sup&gt;2&lt;/sup&gt;","plainTextFormattedCitation":"2","previouslyFormattedCitation":"&lt;sup&gt;2&lt;/sup&gt;"},"properties":{"noteIndex":0},"schema":"https://github.com/citation-style-language/schema/raw/master/csl-citation.json"}</w:instrText>
            </w:r>
            <w:r w:rsidR="00920181">
              <w:rPr>
                <w:rFonts w:ascii="Times New Roman" w:eastAsia="Times New Roman" w:hAnsi="Times New Roman" w:cs="Times New Roman"/>
                <w:color w:val="000000"/>
                <w:sz w:val="20"/>
                <w:szCs w:val="20"/>
              </w:rPr>
              <w:fldChar w:fldCharType="separate"/>
            </w:r>
            <w:r w:rsidR="00920181" w:rsidRPr="00920181">
              <w:rPr>
                <w:rFonts w:ascii="Times New Roman" w:eastAsia="Times New Roman" w:hAnsi="Times New Roman" w:cs="Times New Roman"/>
                <w:noProof/>
                <w:color w:val="000000"/>
                <w:sz w:val="20"/>
                <w:szCs w:val="20"/>
                <w:vertAlign w:val="superscript"/>
              </w:rPr>
              <w:t>2</w:t>
            </w:r>
            <w:r w:rsidR="00920181">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4A2A4B16"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2015</w:t>
            </w:r>
          </w:p>
        </w:tc>
        <w:tc>
          <w:tcPr>
            <w:tcW w:w="1369" w:type="dxa"/>
            <w:tcBorders>
              <w:top w:val="nil"/>
              <w:left w:val="nil"/>
              <w:bottom w:val="nil"/>
              <w:right w:val="nil"/>
            </w:tcBorders>
            <w:shd w:val="clear" w:color="auto" w:fill="auto"/>
            <w:vAlign w:val="center"/>
            <w:hideMark/>
          </w:tcPr>
          <w:p w14:paraId="538F622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Westerner (Italy)</w:t>
            </w:r>
          </w:p>
        </w:tc>
        <w:tc>
          <w:tcPr>
            <w:tcW w:w="5245" w:type="dxa"/>
            <w:tcBorders>
              <w:top w:val="nil"/>
              <w:left w:val="nil"/>
              <w:bottom w:val="nil"/>
              <w:right w:val="nil"/>
            </w:tcBorders>
            <w:shd w:val="clear" w:color="auto" w:fill="auto"/>
            <w:vAlign w:val="center"/>
            <w:hideMark/>
          </w:tcPr>
          <w:p w14:paraId="3EB495B5"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ICH patients had higher effectiveness and efficiency on the CNS, BI, and RMI scores</w:t>
            </w:r>
          </w:p>
        </w:tc>
        <w:tc>
          <w:tcPr>
            <w:tcW w:w="1440" w:type="dxa"/>
            <w:tcBorders>
              <w:top w:val="nil"/>
              <w:left w:val="single" w:sz="4" w:space="0" w:color="auto"/>
              <w:bottom w:val="nil"/>
              <w:right w:val="single" w:sz="4" w:space="0" w:color="auto"/>
            </w:tcBorders>
            <w:shd w:val="clear" w:color="auto" w:fill="auto"/>
            <w:noWrap/>
            <w:vAlign w:val="center"/>
            <w:hideMark/>
          </w:tcPr>
          <w:p w14:paraId="30E0150D"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Case-match</w:t>
            </w:r>
          </w:p>
        </w:tc>
        <w:tc>
          <w:tcPr>
            <w:tcW w:w="1701" w:type="dxa"/>
            <w:tcBorders>
              <w:top w:val="nil"/>
              <w:left w:val="nil"/>
              <w:bottom w:val="nil"/>
              <w:right w:val="single" w:sz="4" w:space="0" w:color="auto"/>
            </w:tcBorders>
            <w:shd w:val="clear" w:color="auto" w:fill="auto"/>
            <w:noWrap/>
            <w:vAlign w:val="center"/>
            <w:hideMark/>
          </w:tcPr>
          <w:p w14:paraId="1F945477"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270 (135,135)</w:t>
            </w:r>
          </w:p>
        </w:tc>
        <w:tc>
          <w:tcPr>
            <w:tcW w:w="1701" w:type="dxa"/>
            <w:tcBorders>
              <w:top w:val="nil"/>
              <w:left w:val="nil"/>
              <w:bottom w:val="nil"/>
              <w:right w:val="single" w:sz="4" w:space="0" w:color="auto"/>
            </w:tcBorders>
            <w:shd w:val="clear" w:color="auto" w:fill="auto"/>
            <w:noWrap/>
            <w:vAlign w:val="center"/>
            <w:hideMark/>
          </w:tcPr>
          <w:p w14:paraId="18790A50"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Yes</w:t>
            </w:r>
          </w:p>
        </w:tc>
        <w:tc>
          <w:tcPr>
            <w:tcW w:w="4279" w:type="dxa"/>
            <w:tcBorders>
              <w:top w:val="nil"/>
              <w:left w:val="nil"/>
              <w:bottom w:val="nil"/>
              <w:right w:val="nil"/>
            </w:tcBorders>
            <w:shd w:val="clear" w:color="auto" w:fill="auto"/>
            <w:noWrap/>
            <w:vAlign w:val="center"/>
            <w:hideMark/>
          </w:tcPr>
          <w:p w14:paraId="768D5190"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CNS, BI, RMI</w:t>
            </w:r>
          </w:p>
        </w:tc>
      </w:tr>
      <w:tr w:rsidR="007411A8" w:rsidRPr="00807F0D" w14:paraId="64A48427" w14:textId="77777777" w:rsidTr="00AD3171">
        <w:trPr>
          <w:trHeight w:val="347"/>
        </w:trPr>
        <w:tc>
          <w:tcPr>
            <w:tcW w:w="1582" w:type="dxa"/>
            <w:tcBorders>
              <w:top w:val="nil"/>
              <w:left w:val="nil"/>
              <w:bottom w:val="nil"/>
              <w:right w:val="single" w:sz="4" w:space="0" w:color="auto"/>
            </w:tcBorders>
            <w:shd w:val="clear" w:color="auto" w:fill="auto"/>
            <w:vAlign w:val="center"/>
            <w:hideMark/>
          </w:tcPr>
          <w:p w14:paraId="6E1CDCB8" w14:textId="5ACE2A0B"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 xml:space="preserve">Perna et al. </w:t>
            </w:r>
            <w:r w:rsidR="005F4A29">
              <w:rPr>
                <w:rFonts w:ascii="Times New Roman" w:eastAsia="Times New Roman" w:hAnsi="Times New Roman" w:cs="Times New Roman"/>
                <w:color w:val="000000"/>
                <w:sz w:val="20"/>
                <w:szCs w:val="20"/>
              </w:rPr>
              <w:fldChar w:fldCharType="begin" w:fldLock="1"/>
            </w:r>
            <w:r w:rsidR="005F4A29">
              <w:rPr>
                <w:rFonts w:ascii="Times New Roman" w:eastAsia="Times New Roman" w:hAnsi="Times New Roman" w:cs="Times New Roman"/>
                <w:color w:val="000000"/>
                <w:sz w:val="20"/>
                <w:szCs w:val="20"/>
              </w:rPr>
              <w:instrText>ADDIN CSL_CITATION {"citationItems":[{"id":"ITEM-1","itemData":{"DOI":"10.1155/2015/891651","ISSN":"18758584","abstract":"Background . Ischemic and hemorrhagic strokes have different pathophysiologies and possibly different long-term cerebral and functional implications. Hemorrhagic strokes expose the brain to irritating effects of blood and ischemic strokes reflect localized or diffuse cerebral vascular pathology. Methods . Participants were individuals who suffered either an ischemic ( n=172 ) or hemorrhagic stroke ( n=112 ) within the past six months and were involved in a postacute neurorehabilitation program. Participants completed three months of postacute neurorehabilitation and the Mayo Portland Adaptability Inventory-4 (MPAI-4) at admission and discharge. Admission MPAI-4 scores and level of functioning were comparable. Results . Group ANOVA comparisons show no significant group differences at admission or discharge or difference in change scores. Both groups showed considerably reduced levels of productivity/employment after discharge as compared to preinjury levels. Conclusions . Though the pathophysiology of these types of strokes is different, both ultimately result in ischemic injuries, possibly accounting for lack of findings of differences between groups. In the present study, participants in both groups experienced similar functional levels across all three MPAI-4 domains both at admission and discharge. Limitations of this study include a highly educated sample and few outcome measures. ","author":[{"dropping-particle":"","family":"Perna","given":"Robert","non-dropping-particle":"","parse-names":false,"suffix":""},{"dropping-particle":"","family":"Temple","given":"Jessica","non-dropping-particle":"","parse-names":false,"suffix":""}],"container-title":"Behavioural Neurology","id":"ITEM-1","issued":{"date-parts":[["2015"]]},"title":"Rehabilitation Outcomes: Ischemic versus Hemorrhagic Strokes","type":"article-journal"},"uris":["http://www.mendeley.com/documents/?uuid=9b8557f9-5933-41b3-a70e-3afc03afeede"]}],"mendeley":{"formattedCitation":"&lt;sup&gt;3&lt;/sup&gt;","plainTextFormattedCitation":"3","previouslyFormattedCitation":"&lt;sup&gt;3&lt;/sup&gt;"},"properties":{"noteIndex":0},"schema":"https://github.com/citation-style-language/schema/raw/master/csl-citation.json"}</w:instrText>
            </w:r>
            <w:r w:rsidR="005F4A29">
              <w:rPr>
                <w:rFonts w:ascii="Times New Roman" w:eastAsia="Times New Roman" w:hAnsi="Times New Roman" w:cs="Times New Roman"/>
                <w:color w:val="000000"/>
                <w:sz w:val="20"/>
                <w:szCs w:val="20"/>
              </w:rPr>
              <w:fldChar w:fldCharType="separate"/>
            </w:r>
            <w:r w:rsidR="005F4A29" w:rsidRPr="005F4A29">
              <w:rPr>
                <w:rFonts w:ascii="Times New Roman" w:eastAsia="Times New Roman" w:hAnsi="Times New Roman" w:cs="Times New Roman"/>
                <w:noProof/>
                <w:color w:val="000000"/>
                <w:sz w:val="20"/>
                <w:szCs w:val="20"/>
                <w:vertAlign w:val="superscript"/>
              </w:rPr>
              <w:t>3</w:t>
            </w:r>
            <w:r w:rsidR="005F4A29">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644C7587"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2015</w:t>
            </w:r>
          </w:p>
        </w:tc>
        <w:tc>
          <w:tcPr>
            <w:tcW w:w="1369" w:type="dxa"/>
            <w:tcBorders>
              <w:top w:val="nil"/>
              <w:left w:val="nil"/>
              <w:bottom w:val="nil"/>
              <w:right w:val="nil"/>
            </w:tcBorders>
            <w:shd w:val="clear" w:color="auto" w:fill="auto"/>
            <w:vAlign w:val="center"/>
            <w:hideMark/>
          </w:tcPr>
          <w:p w14:paraId="6445B174"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Westerner (United states)</w:t>
            </w:r>
          </w:p>
        </w:tc>
        <w:tc>
          <w:tcPr>
            <w:tcW w:w="5245" w:type="dxa"/>
            <w:tcBorders>
              <w:top w:val="nil"/>
              <w:left w:val="nil"/>
              <w:bottom w:val="nil"/>
              <w:right w:val="nil"/>
            </w:tcBorders>
            <w:shd w:val="clear" w:color="auto" w:fill="auto"/>
            <w:vAlign w:val="center"/>
            <w:hideMark/>
          </w:tcPr>
          <w:p w14:paraId="60B5A12E"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 xml:space="preserve">No significant difference between ICH and </w:t>
            </w:r>
            <w:r>
              <w:rPr>
                <w:rFonts w:ascii="Times New Roman" w:eastAsia="Times New Roman" w:hAnsi="Times New Roman" w:cs="Times New Roman"/>
                <w:color w:val="000000"/>
                <w:sz w:val="20"/>
                <w:szCs w:val="20"/>
              </w:rPr>
              <w:t>IS</w:t>
            </w:r>
            <w:r w:rsidRPr="00807F0D">
              <w:rPr>
                <w:rFonts w:ascii="Times New Roman" w:eastAsia="Times New Roman" w:hAnsi="Times New Roman" w:cs="Times New Roman"/>
                <w:color w:val="000000"/>
                <w:sz w:val="20"/>
                <w:szCs w:val="20"/>
              </w:rPr>
              <w:t xml:space="preserve"> patients</w:t>
            </w:r>
          </w:p>
        </w:tc>
        <w:tc>
          <w:tcPr>
            <w:tcW w:w="1440" w:type="dxa"/>
            <w:tcBorders>
              <w:top w:val="nil"/>
              <w:left w:val="single" w:sz="4" w:space="0" w:color="auto"/>
              <w:bottom w:val="nil"/>
              <w:right w:val="single" w:sz="4" w:space="0" w:color="auto"/>
            </w:tcBorders>
            <w:shd w:val="clear" w:color="auto" w:fill="auto"/>
            <w:noWrap/>
            <w:vAlign w:val="center"/>
            <w:hideMark/>
          </w:tcPr>
          <w:p w14:paraId="32F54D16"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Retrospective</w:t>
            </w:r>
          </w:p>
        </w:tc>
        <w:tc>
          <w:tcPr>
            <w:tcW w:w="1701" w:type="dxa"/>
            <w:tcBorders>
              <w:top w:val="nil"/>
              <w:left w:val="nil"/>
              <w:bottom w:val="nil"/>
              <w:right w:val="single" w:sz="4" w:space="0" w:color="auto"/>
            </w:tcBorders>
            <w:shd w:val="clear" w:color="auto" w:fill="auto"/>
            <w:noWrap/>
            <w:vAlign w:val="center"/>
            <w:hideMark/>
          </w:tcPr>
          <w:p w14:paraId="079B03A3"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284 (172,112)</w:t>
            </w:r>
          </w:p>
        </w:tc>
        <w:tc>
          <w:tcPr>
            <w:tcW w:w="1701" w:type="dxa"/>
            <w:tcBorders>
              <w:top w:val="nil"/>
              <w:left w:val="nil"/>
              <w:bottom w:val="nil"/>
              <w:right w:val="single" w:sz="4" w:space="0" w:color="auto"/>
            </w:tcBorders>
            <w:shd w:val="clear" w:color="auto" w:fill="auto"/>
            <w:noWrap/>
            <w:vAlign w:val="center"/>
            <w:hideMark/>
          </w:tcPr>
          <w:p w14:paraId="60E731FF"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Yes</w:t>
            </w:r>
          </w:p>
        </w:tc>
        <w:tc>
          <w:tcPr>
            <w:tcW w:w="4279" w:type="dxa"/>
            <w:tcBorders>
              <w:top w:val="nil"/>
              <w:left w:val="nil"/>
              <w:bottom w:val="nil"/>
              <w:right w:val="nil"/>
            </w:tcBorders>
            <w:shd w:val="clear" w:color="auto" w:fill="auto"/>
            <w:noWrap/>
            <w:vAlign w:val="center"/>
            <w:hideMark/>
          </w:tcPr>
          <w:p w14:paraId="2075DCCE"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MPAI-4</w:t>
            </w:r>
          </w:p>
        </w:tc>
      </w:tr>
      <w:tr w:rsidR="007411A8" w:rsidRPr="00807F0D" w14:paraId="63D7CED2" w14:textId="77777777" w:rsidTr="00AD3171">
        <w:trPr>
          <w:trHeight w:val="425"/>
        </w:trPr>
        <w:tc>
          <w:tcPr>
            <w:tcW w:w="1582" w:type="dxa"/>
            <w:tcBorders>
              <w:top w:val="nil"/>
              <w:left w:val="nil"/>
              <w:bottom w:val="nil"/>
              <w:right w:val="single" w:sz="4" w:space="0" w:color="auto"/>
            </w:tcBorders>
            <w:shd w:val="clear" w:color="auto" w:fill="auto"/>
            <w:vAlign w:val="center"/>
            <w:hideMark/>
          </w:tcPr>
          <w:p w14:paraId="166ECAA6" w14:textId="7A4B612C"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rPr>
              <w:t xml:space="preserve">Kelly et al. </w:t>
            </w:r>
            <w:r w:rsidR="005F4A29">
              <w:rPr>
                <w:rFonts w:ascii="Times New Roman" w:eastAsia="Times New Roman" w:hAnsi="Times New Roman" w:cs="Times New Roman"/>
                <w:color w:val="000000"/>
                <w:sz w:val="20"/>
                <w:szCs w:val="20"/>
              </w:rPr>
              <w:fldChar w:fldCharType="begin" w:fldLock="1"/>
            </w:r>
            <w:r w:rsidR="005F4A29">
              <w:rPr>
                <w:rFonts w:ascii="Times New Roman" w:eastAsia="Times New Roman" w:hAnsi="Times New Roman" w:cs="Times New Roman"/>
                <w:color w:val="000000"/>
                <w:sz w:val="20"/>
                <w:szCs w:val="20"/>
              </w:rPr>
              <w:instrText>ADDIN CSL_CITATION {"citationItems":[{"id":"ITEM-1","itemData":{"DOI":"10.1016/S0003-9993(03)00040-6","ISSN":"00039993","PMID":"12881818","abstract":"Objectives: To quantify recovery after rehabilitation therapy and to identify factors that predicted functional outcome in survivors of intracerebral hemorrhage (ICH) compared with cerebral infarction. Design: Retrospective study of consecutive ICH and cerebral infarction admissions to a rehabilitation hospital over a 4-year period. Setting: Free-standing urban rehabilitation hospital. Participants: A total of 1064 cases met the inclusion criteria (545 women, 519 men; 871 with cerebral infarction, 193 with ICH). Interventions: Not applicable. Main Outcome Measures: Functional status was measured using the FIM™ instrument, recorded at admission and discharge. Recovery was quantified by the change in FIM total score (AFIM total score). Outcome measures were total discharge FIM score and ΔFIM total score. Univariate and multivariate analyses were performed. Results: Total admission FIM score was higher in patients with cerebral infarction than in patients with ICH (59 vs 51, P=.0001). No difference in total discharge FIM score was present. Patients with ICH made a significantly greater recovery than those with cerebral infarction (AFIM total score, 28 vs 23.3; P=.002). On multivariate analysis, younger age, longer length of stay, and admission FIM cognitive subscore independently predicted total discharge FIM and ΔFFM total score. The severity of disability at admission, indicated by total admission FIM score, independently predicted total discharge FIM score, but not AFIM total score. The ICH patients with the most severely disabling strokes had significantly greater recovery than cerebral infarction patients with stroke of similar severity. Conclusions: The patients with ICH had greater functional impairment than the cerebral infarction patients at admission, but made greater gains. Patients with the most severely disabling ICH improved more than those with cerebral infarction of comparable severity. Initial severity of disability, age, and d</w:instrText>
            </w:r>
            <w:r w:rsidR="005F4A29">
              <w:rPr>
                <w:rFonts w:ascii="Times New Roman" w:eastAsia="Times New Roman" w:hAnsi="Times New Roman" w:cs="Times New Roman"/>
                <w:color w:val="000000"/>
                <w:sz w:val="20"/>
                <w:szCs w:val="20"/>
                <w:lang w:eastAsia="zh-TW"/>
              </w:rPr>
              <w:instrText>uration of therapy best predicted functional outcome after rehabilitation. © 2003 by the American Congress of Rehabilitation Medicine and the American Academy of Physical Medicine and Rehabilitation.","author":[{"dropping-particle":"","family":"Kelly","given":"Peter J.","non-dropping-particle":"","parse-names":false,"suffix":""},{"dropping-particle":"","family":"Furie","given":"Karen L.","non-dropping-particle":"","parse-names":false,"suffix":""},{"dropping-particle":"","family":"Shafqat","given":"Saad","non-dropping-particle":"","parse-names":false,"suffix":""},{"dropping-particle":"","family":"Rallis","given":"Nikoletta","non-dropping-particle":"","parse-names":false,"suffix":""},{"dropping-particle":"","family":"Chang","given":"Yuchiao","non-dropping-particle":"","parse-names":false,"suffix":""},{"dropping-particle":"","family":"Stein","given":"Joel","non-dropping-particle":"","parse-names":false,"suffix":""}],"container-title":"Archives of Physical Medicine and Rehabilitation","id":"ITEM-1","issued":{"date-parts":[["2003"]]},"title":"Functional recovery following rehabilitation after hemorrhagic and ischemic stroke","type":"article-journal"},"uris":["http://www.mendeley.com/documents/?uuid=9b9ff2fe-2e2f-4563-8e94-b6c5a6ec318a"]}],"mendeley":{"formattedCitation":"&lt;sup&gt;4&lt;/sup&gt;","plainTextFormattedCitation":"4","previouslyFormattedCitation":"&lt;sup&gt;4&lt;/sup&gt;"},"properties":{"noteIndex":0},"schema":"https://github.com/citation-style-language/schema/raw/master/csl-citation.json"}</w:instrText>
            </w:r>
            <w:r w:rsidR="005F4A29">
              <w:rPr>
                <w:rFonts w:ascii="Times New Roman" w:eastAsia="Times New Roman" w:hAnsi="Times New Roman" w:cs="Times New Roman"/>
                <w:color w:val="000000"/>
                <w:sz w:val="20"/>
                <w:szCs w:val="20"/>
              </w:rPr>
              <w:fldChar w:fldCharType="separate"/>
            </w:r>
            <w:r w:rsidR="005F4A29" w:rsidRPr="005F4A29">
              <w:rPr>
                <w:rFonts w:ascii="Times New Roman" w:eastAsia="Times New Roman" w:hAnsi="Times New Roman" w:cs="Times New Roman"/>
                <w:noProof/>
                <w:color w:val="000000"/>
                <w:sz w:val="20"/>
                <w:szCs w:val="20"/>
                <w:vertAlign w:val="superscript"/>
                <w:lang w:eastAsia="zh-TW"/>
              </w:rPr>
              <w:t>4</w:t>
            </w:r>
            <w:r w:rsidR="005F4A29">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33610D29"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2003</w:t>
            </w:r>
          </w:p>
        </w:tc>
        <w:tc>
          <w:tcPr>
            <w:tcW w:w="1369" w:type="dxa"/>
            <w:tcBorders>
              <w:top w:val="nil"/>
              <w:left w:val="nil"/>
              <w:bottom w:val="nil"/>
              <w:right w:val="nil"/>
            </w:tcBorders>
            <w:shd w:val="clear" w:color="auto" w:fill="auto"/>
            <w:vAlign w:val="center"/>
            <w:hideMark/>
          </w:tcPr>
          <w:p w14:paraId="2D42A2FB"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Westerner (United states)</w:t>
            </w:r>
          </w:p>
        </w:tc>
        <w:tc>
          <w:tcPr>
            <w:tcW w:w="5245" w:type="dxa"/>
            <w:tcBorders>
              <w:top w:val="nil"/>
              <w:left w:val="nil"/>
              <w:bottom w:val="nil"/>
              <w:right w:val="nil"/>
            </w:tcBorders>
            <w:shd w:val="clear" w:color="auto" w:fill="auto"/>
            <w:vAlign w:val="center"/>
            <w:hideMark/>
          </w:tcPr>
          <w:p w14:paraId="70733CCA"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ICH patients had greater functional impairment when admitted to rehabilitation ward but made greater gains</w:t>
            </w:r>
          </w:p>
        </w:tc>
        <w:tc>
          <w:tcPr>
            <w:tcW w:w="1440" w:type="dxa"/>
            <w:tcBorders>
              <w:top w:val="nil"/>
              <w:left w:val="single" w:sz="4" w:space="0" w:color="auto"/>
              <w:bottom w:val="nil"/>
              <w:right w:val="single" w:sz="4" w:space="0" w:color="auto"/>
            </w:tcBorders>
            <w:shd w:val="clear" w:color="auto" w:fill="auto"/>
            <w:vAlign w:val="center"/>
            <w:hideMark/>
          </w:tcPr>
          <w:p w14:paraId="0FF007C6"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Retrospective</w:t>
            </w:r>
          </w:p>
        </w:tc>
        <w:tc>
          <w:tcPr>
            <w:tcW w:w="1701" w:type="dxa"/>
            <w:tcBorders>
              <w:top w:val="nil"/>
              <w:left w:val="nil"/>
              <w:bottom w:val="nil"/>
              <w:right w:val="single" w:sz="4" w:space="0" w:color="auto"/>
            </w:tcBorders>
            <w:shd w:val="clear" w:color="auto" w:fill="auto"/>
            <w:noWrap/>
            <w:vAlign w:val="center"/>
            <w:hideMark/>
          </w:tcPr>
          <w:p w14:paraId="0666EA1C"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1064 (871,193)</w:t>
            </w:r>
          </w:p>
        </w:tc>
        <w:tc>
          <w:tcPr>
            <w:tcW w:w="1701" w:type="dxa"/>
            <w:tcBorders>
              <w:top w:val="nil"/>
              <w:left w:val="nil"/>
              <w:bottom w:val="nil"/>
              <w:right w:val="single" w:sz="4" w:space="0" w:color="auto"/>
            </w:tcBorders>
            <w:shd w:val="clear" w:color="auto" w:fill="auto"/>
            <w:noWrap/>
            <w:vAlign w:val="center"/>
            <w:hideMark/>
          </w:tcPr>
          <w:p w14:paraId="352FE9F9"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Yes</w:t>
            </w:r>
          </w:p>
        </w:tc>
        <w:tc>
          <w:tcPr>
            <w:tcW w:w="4279" w:type="dxa"/>
            <w:tcBorders>
              <w:top w:val="nil"/>
              <w:left w:val="nil"/>
              <w:bottom w:val="nil"/>
              <w:right w:val="nil"/>
            </w:tcBorders>
            <w:shd w:val="clear" w:color="auto" w:fill="auto"/>
            <w:noWrap/>
            <w:vAlign w:val="center"/>
            <w:hideMark/>
          </w:tcPr>
          <w:p w14:paraId="0A2FB8F9"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FIM</w:t>
            </w:r>
          </w:p>
        </w:tc>
      </w:tr>
      <w:tr w:rsidR="007411A8" w:rsidRPr="00807F0D" w14:paraId="6A0B85F9" w14:textId="77777777" w:rsidTr="00AD3171">
        <w:trPr>
          <w:trHeight w:val="503"/>
        </w:trPr>
        <w:tc>
          <w:tcPr>
            <w:tcW w:w="1582" w:type="dxa"/>
            <w:tcBorders>
              <w:top w:val="nil"/>
              <w:left w:val="nil"/>
              <w:bottom w:val="nil"/>
              <w:right w:val="single" w:sz="4" w:space="0" w:color="auto"/>
            </w:tcBorders>
            <w:shd w:val="clear" w:color="auto" w:fill="auto"/>
            <w:vAlign w:val="center"/>
            <w:hideMark/>
          </w:tcPr>
          <w:p w14:paraId="69262820" w14:textId="72A53FB9"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 xml:space="preserve">Chae et al. </w:t>
            </w:r>
            <w:r w:rsidR="005F4A29">
              <w:rPr>
                <w:rFonts w:ascii="Times New Roman" w:eastAsia="Times New Roman" w:hAnsi="Times New Roman" w:cs="Times New Roman"/>
                <w:color w:val="000000"/>
                <w:sz w:val="20"/>
                <w:szCs w:val="20"/>
                <w:lang w:eastAsia="zh-TW"/>
              </w:rPr>
              <w:fldChar w:fldCharType="begin" w:fldLock="1"/>
            </w:r>
            <w:r w:rsidR="005F4A29">
              <w:rPr>
                <w:rFonts w:ascii="Times New Roman" w:eastAsia="Times New Roman" w:hAnsi="Times New Roman" w:cs="Times New Roman"/>
                <w:color w:val="000000"/>
                <w:sz w:val="20"/>
                <w:szCs w:val="20"/>
                <w:lang w:eastAsia="zh-TW"/>
              </w:rPr>
              <w:instrText>ADDIN CSL_CITATION {"citationItems":[{"id":"ITEM-1","itemData":{"DOI":"10.1097/00002060-199605000-00004","ISSN":"0894-9115","abstract":"Differences in functional prognosis for patients with hemorrhagic and nonhemorrhagic strokes are unclear. The purpose of this study is to compare the functional outcome of hemorrhagic and nonhemorrhagic stroke patients after inpatient stroke rehabilitation. By retrospective review, 25 hemorrhagic stroke patients were matched with 25 nonhemorrhagic stroke patients on the basis of age and onset to admission interval. Discharge Functional Independence Measure (FIM), FIM gain, FIM efficiency, length of stay (LOS), and discharge disposition were compared. Admission FIM, gender, and comorbidities were similar between the two groups. There were no differences in discharge FIM, FIM gain, and discharge to home rates between groups. However, the hemorrhagic group had a significantly shorter LOS (31.7 v 37.6 days; P = 0.05) with higher FIM-total efficiency (0.84 v 0.60; P = 0.02). The FIM-motor scale accounted for most of the gains in efficiency (0.71 v 0.53; P = 0.05) with no significant difference in FIM-cognition efficiency between groups. Post hoc analysis revealed that onset to admission interval was a strong predictor of LOS (r = 0.62; P &lt; 0.0001). Hemorrhagic stroke patients appear to exhibit functional gains somewhat faster than nonhemorrhagic counterparts. Confirmation of these preliminary findings must await future studies.","author":[{"dropping-particle":"","family":"Chae","given":"John","non-dropping-particle":"","parse-names":false,"suffix":""},{"dropping-particle":"","family":"Zorowitz","given":"Richard D.","non-dropping-particle":"","parse-names":false,"suffix":""},{"dropping-particle":"V.","family":"Johnston","given":"Mark","non-dropping-particle":"","parse-names":false,"suffix":""}],"container-title":"American Journal of Physical Medicine &amp; Rehabilitation","id":"ITEM-1","issued":{"date-parts":[["1996"]]},"title":"FUNCTIONAL OUTCOME OF HEMORRHAGIC AND NONHEMORRHAGIC STROKE PATIENTS AFTER IN-PATIENT REHABILITATION","type":"article-journal"},"uris":["http://www.mendeley.com/documents/?uuid=d9dfe46c-6d7f-44a5-982e-ab7ba8eb6157"]}],"mendeley":{"formattedCitation":"&lt;sup&gt;5&lt;/sup&gt;","plainTextFormattedCitation":"5","previouslyFormattedCitation":"&lt;sup&gt;5&lt;/sup&gt;"},"properties":{"noteIndex":0},"schema":"https://github.com/citation-style-language/schema/raw/master/csl-citation.json"}</w:instrText>
            </w:r>
            <w:r w:rsidR="005F4A29">
              <w:rPr>
                <w:rFonts w:ascii="Times New Roman" w:eastAsia="Times New Roman" w:hAnsi="Times New Roman" w:cs="Times New Roman"/>
                <w:color w:val="000000"/>
                <w:sz w:val="20"/>
                <w:szCs w:val="20"/>
                <w:lang w:eastAsia="zh-TW"/>
              </w:rPr>
              <w:fldChar w:fldCharType="separate"/>
            </w:r>
            <w:r w:rsidR="005F4A29" w:rsidRPr="005F4A29">
              <w:rPr>
                <w:rFonts w:ascii="Times New Roman" w:eastAsia="Times New Roman" w:hAnsi="Times New Roman" w:cs="Times New Roman"/>
                <w:noProof/>
                <w:color w:val="000000"/>
                <w:sz w:val="20"/>
                <w:szCs w:val="20"/>
                <w:vertAlign w:val="superscript"/>
                <w:lang w:eastAsia="zh-TW"/>
              </w:rPr>
              <w:t>5</w:t>
            </w:r>
            <w:r w:rsidR="005F4A29">
              <w:rPr>
                <w:rFonts w:ascii="Times New Roman" w:eastAsia="Times New Roman" w:hAnsi="Times New Roman" w:cs="Times New Roman"/>
                <w:color w:val="000000"/>
                <w:sz w:val="20"/>
                <w:szCs w:val="20"/>
                <w:lang w:eastAsia="zh-TW"/>
              </w:rPr>
              <w:fldChar w:fldCharType="end"/>
            </w:r>
          </w:p>
        </w:tc>
        <w:tc>
          <w:tcPr>
            <w:tcW w:w="735" w:type="dxa"/>
            <w:tcBorders>
              <w:top w:val="nil"/>
              <w:left w:val="single" w:sz="4" w:space="0" w:color="auto"/>
              <w:bottom w:val="nil"/>
              <w:right w:val="nil"/>
            </w:tcBorders>
            <w:shd w:val="clear" w:color="auto" w:fill="auto"/>
            <w:noWrap/>
            <w:vAlign w:val="center"/>
            <w:hideMark/>
          </w:tcPr>
          <w:p w14:paraId="77DE4BA8"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1996</w:t>
            </w:r>
          </w:p>
        </w:tc>
        <w:tc>
          <w:tcPr>
            <w:tcW w:w="1369" w:type="dxa"/>
            <w:tcBorders>
              <w:top w:val="nil"/>
              <w:left w:val="nil"/>
              <w:bottom w:val="nil"/>
              <w:right w:val="nil"/>
            </w:tcBorders>
            <w:shd w:val="clear" w:color="auto" w:fill="auto"/>
            <w:vAlign w:val="center"/>
            <w:hideMark/>
          </w:tcPr>
          <w:p w14:paraId="26096BC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lang w:eastAsia="zh-TW"/>
              </w:rPr>
              <w:t>Wester</w:t>
            </w:r>
            <w:r w:rsidRPr="00807F0D">
              <w:rPr>
                <w:rFonts w:ascii="Times New Roman" w:eastAsia="Times New Roman" w:hAnsi="Times New Roman" w:cs="Times New Roman"/>
                <w:color w:val="000000"/>
                <w:sz w:val="20"/>
                <w:szCs w:val="20"/>
              </w:rPr>
              <w:t>ner (United states)</w:t>
            </w:r>
          </w:p>
        </w:tc>
        <w:tc>
          <w:tcPr>
            <w:tcW w:w="5245" w:type="dxa"/>
            <w:tcBorders>
              <w:top w:val="nil"/>
              <w:left w:val="nil"/>
              <w:bottom w:val="nil"/>
              <w:right w:val="nil"/>
            </w:tcBorders>
            <w:shd w:val="clear" w:color="auto" w:fill="auto"/>
            <w:vAlign w:val="center"/>
            <w:hideMark/>
          </w:tcPr>
          <w:p w14:paraId="5278CC5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ICH patients had faster functional improvement, especially in motor function</w:t>
            </w:r>
          </w:p>
        </w:tc>
        <w:tc>
          <w:tcPr>
            <w:tcW w:w="1440" w:type="dxa"/>
            <w:tcBorders>
              <w:top w:val="nil"/>
              <w:left w:val="single" w:sz="4" w:space="0" w:color="auto"/>
              <w:bottom w:val="nil"/>
              <w:right w:val="single" w:sz="4" w:space="0" w:color="auto"/>
            </w:tcBorders>
            <w:shd w:val="clear" w:color="auto" w:fill="auto"/>
            <w:noWrap/>
            <w:vAlign w:val="center"/>
            <w:hideMark/>
          </w:tcPr>
          <w:p w14:paraId="7F43388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Case-match</w:t>
            </w:r>
          </w:p>
        </w:tc>
        <w:tc>
          <w:tcPr>
            <w:tcW w:w="1701" w:type="dxa"/>
            <w:tcBorders>
              <w:top w:val="nil"/>
              <w:left w:val="nil"/>
              <w:bottom w:val="nil"/>
              <w:right w:val="single" w:sz="4" w:space="0" w:color="auto"/>
            </w:tcBorders>
            <w:shd w:val="clear" w:color="auto" w:fill="auto"/>
            <w:noWrap/>
            <w:vAlign w:val="center"/>
            <w:hideMark/>
          </w:tcPr>
          <w:p w14:paraId="50DBC17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50 (25,25)</w:t>
            </w:r>
          </w:p>
        </w:tc>
        <w:tc>
          <w:tcPr>
            <w:tcW w:w="1701" w:type="dxa"/>
            <w:tcBorders>
              <w:top w:val="nil"/>
              <w:left w:val="nil"/>
              <w:bottom w:val="nil"/>
              <w:right w:val="single" w:sz="4" w:space="0" w:color="auto"/>
            </w:tcBorders>
            <w:shd w:val="clear" w:color="auto" w:fill="auto"/>
            <w:noWrap/>
            <w:vAlign w:val="center"/>
            <w:hideMark/>
          </w:tcPr>
          <w:p w14:paraId="199913C0"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Yes</w:t>
            </w:r>
          </w:p>
        </w:tc>
        <w:tc>
          <w:tcPr>
            <w:tcW w:w="4279" w:type="dxa"/>
            <w:tcBorders>
              <w:top w:val="nil"/>
              <w:left w:val="nil"/>
              <w:bottom w:val="nil"/>
              <w:right w:val="nil"/>
            </w:tcBorders>
            <w:shd w:val="clear" w:color="auto" w:fill="auto"/>
            <w:noWrap/>
            <w:vAlign w:val="center"/>
            <w:hideMark/>
          </w:tcPr>
          <w:p w14:paraId="20975E5B"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FIM</w:t>
            </w:r>
          </w:p>
        </w:tc>
      </w:tr>
      <w:tr w:rsidR="007411A8" w:rsidRPr="00807F0D" w14:paraId="4049A549" w14:textId="77777777" w:rsidTr="00AD3171">
        <w:trPr>
          <w:trHeight w:val="722"/>
        </w:trPr>
        <w:tc>
          <w:tcPr>
            <w:tcW w:w="1582" w:type="dxa"/>
            <w:tcBorders>
              <w:top w:val="nil"/>
              <w:left w:val="nil"/>
              <w:bottom w:val="nil"/>
              <w:right w:val="single" w:sz="4" w:space="0" w:color="auto"/>
            </w:tcBorders>
            <w:shd w:val="clear" w:color="auto" w:fill="auto"/>
            <w:vAlign w:val="center"/>
            <w:hideMark/>
          </w:tcPr>
          <w:p w14:paraId="571F9525" w14:textId="5E776640"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 xml:space="preserve">Bhalla et al. </w:t>
            </w:r>
            <w:r w:rsidR="005F4A29">
              <w:rPr>
                <w:rFonts w:ascii="Times New Roman" w:eastAsia="Times New Roman" w:hAnsi="Times New Roman" w:cs="Times New Roman"/>
                <w:color w:val="000000"/>
                <w:sz w:val="20"/>
                <w:szCs w:val="20"/>
              </w:rPr>
              <w:fldChar w:fldCharType="begin" w:fldLock="1"/>
            </w:r>
            <w:r w:rsidR="005F4A29">
              <w:rPr>
                <w:rFonts w:ascii="Times New Roman" w:eastAsia="Times New Roman" w:hAnsi="Times New Roman" w:cs="Times New Roman"/>
                <w:color w:val="000000"/>
                <w:sz w:val="20"/>
                <w:szCs w:val="20"/>
              </w:rPr>
              <w:instrText>ADDIN CSL_CITATION {"citationItems":[{"id":"ITEM-1","itemData":{"DOI":"10.1161/STROKEAHA.113.001263","ISSN":"00392499","abstract":"BACKGROUND AND PURPOSE: Few population-based studies describing functional outcome between ischemic stroke and intracerebral hemorrhage (ICH) in the short- and long-term are available. Knowledge of the natural history and factors associated with poor outcome is important in providing prognostic information and resource allocation.\\n\\nMETHODS: Data were collected within the population-based South London Stroke Register between 1995 and 2011. Baseline data were collection of sociodemographic factors, case mix, risk factors before stroke, and acute stroke processes, with outcomes at 7 days, 3 months, 1 year, 5 years, and 10 years after stroke. Logistic regression was used to determine factors associated with poor outcome (dead and dependency: Barthel index&lt;15).\\n\\nRESULTS: Age and incontinence were associated with poor outcome at 3 months, 1 year, 5 years, and 10 years in ICH, whereas age, incontinence, failed swallow, atrial fibrillation, and diabetes mellitus were associated with poor outcome in ischemic stroke. ICH was more likely to have poorer outcomes at 3 months (odds ratio, 2.2; 95% confidence interval [CI], 1.8-2.8) and 1 year (odds ratio, 2.1; 95% CI, 1.7-2.6) but not at 5 years (odds ratio, 1.1; 95% CI, 0.8-1.4) or 10 years (odd ratio, 0.8; 95% CI, 0.57-1.22); however, the improvement of functional outcome from day 7 to 3 months was significantly greater for ICH (regression coefficient: 1.8; 95% CI, 1.1-2.6; P&lt;0.0001).\\n\\nCONCLUSIONS: ICH has poorer outcomes up to 5 years after stroke. The improvement of functional outcome up to 3 months was significantly greater with ICH. Identification of factors associated with poor outcome may be used for clinical predictions.","author":[{"dropping-particle":"","family":"Bhalla","given":"Ajay","non-dropping-particle":"","parse-names":false,"suffix":""},{"dropping-particle":"","family":"Wang","given":"Yanzhong","non-dropping-particle":"","parse-names":false,"suffix":""},{"dropping-particle":"","family":"Rudd","given":"Anthony","non-dropping-particle":"","parse-names":false,"suffix":""},{"dropping-particle":"","family":"Wolfe","given":"Charles D.A.","non-dropping-particle":"","parse-names":false,"suffix":""}],"container-title":"Stroke","id":"ITEM-1","issue":"8","issued":{"date-parts":[["2013"]]},"page":"2174-2181","title":"Differences in outcome and predictors between ischemic and intracerebral hemorrhage: The South London Stroke Register","type":"article-journal","volume":"44"},"uris":["http://www.mendeley.com/documents/?uuid=b5fd2dd2-c123-4296-a8e1-aef7d5dc28a7"]}],"mendeley":{"formattedCitation":"&lt;sup&gt;6&lt;/sup&gt;","plainTextFormattedCitation":"6","previouslyFormattedCitation":"&lt;sup&gt;6&lt;/sup&gt;"},"properties":{"noteIndex":0},"schema":"https://github.com/citation-style-language/schema/raw/master/csl-citation.json"}</w:instrText>
            </w:r>
            <w:r w:rsidR="005F4A29">
              <w:rPr>
                <w:rFonts w:ascii="Times New Roman" w:eastAsia="Times New Roman" w:hAnsi="Times New Roman" w:cs="Times New Roman"/>
                <w:color w:val="000000"/>
                <w:sz w:val="20"/>
                <w:szCs w:val="20"/>
              </w:rPr>
              <w:fldChar w:fldCharType="separate"/>
            </w:r>
            <w:r w:rsidR="005F4A29" w:rsidRPr="005F4A29">
              <w:rPr>
                <w:rFonts w:ascii="Times New Roman" w:eastAsia="Times New Roman" w:hAnsi="Times New Roman" w:cs="Times New Roman"/>
                <w:noProof/>
                <w:color w:val="000000"/>
                <w:sz w:val="20"/>
                <w:szCs w:val="20"/>
                <w:vertAlign w:val="superscript"/>
              </w:rPr>
              <w:t>6</w:t>
            </w:r>
            <w:r w:rsidR="005F4A29">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71A997A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2013</w:t>
            </w:r>
          </w:p>
        </w:tc>
        <w:tc>
          <w:tcPr>
            <w:tcW w:w="1369" w:type="dxa"/>
            <w:tcBorders>
              <w:top w:val="nil"/>
              <w:left w:val="nil"/>
              <w:bottom w:val="nil"/>
              <w:right w:val="nil"/>
            </w:tcBorders>
            <w:shd w:val="clear" w:color="auto" w:fill="auto"/>
            <w:vAlign w:val="center"/>
            <w:hideMark/>
          </w:tcPr>
          <w:p w14:paraId="122C2BD4"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Westerner (United Kingdom)</w:t>
            </w:r>
          </w:p>
        </w:tc>
        <w:tc>
          <w:tcPr>
            <w:tcW w:w="5245" w:type="dxa"/>
            <w:tcBorders>
              <w:top w:val="nil"/>
              <w:left w:val="nil"/>
              <w:bottom w:val="nil"/>
              <w:right w:val="nil"/>
            </w:tcBorders>
            <w:shd w:val="clear" w:color="auto" w:fill="auto"/>
            <w:vAlign w:val="center"/>
            <w:hideMark/>
          </w:tcPr>
          <w:p w14:paraId="439A1A30" w14:textId="77777777" w:rsidR="007411A8" w:rsidRPr="00807F0D" w:rsidRDefault="007411A8" w:rsidP="003022F5">
            <w:pPr>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ICH patients had </w:t>
            </w:r>
            <w:r w:rsidRPr="00807F0D">
              <w:rPr>
                <w:rFonts w:ascii="Times New Roman" w:eastAsia="Times New Roman" w:hAnsi="Times New Roman" w:cs="Times New Roman"/>
                <w:color w:val="000000"/>
                <w:sz w:val="20"/>
                <w:szCs w:val="20"/>
              </w:rPr>
              <w:t>greater functional improvement within the first 3 months after stroke</w:t>
            </w:r>
            <w:r>
              <w:rPr>
                <w:rFonts w:ascii="Times New Roman" w:eastAsia="Times New Roman" w:hAnsi="Times New Roman" w:cs="Times New Roman"/>
                <w:color w:val="000000"/>
                <w:sz w:val="20"/>
                <w:szCs w:val="20"/>
              </w:rPr>
              <w:t>, but had poorer outcome for up to 5 years</w:t>
            </w:r>
          </w:p>
        </w:tc>
        <w:tc>
          <w:tcPr>
            <w:tcW w:w="1440" w:type="dxa"/>
            <w:tcBorders>
              <w:top w:val="nil"/>
              <w:left w:val="single" w:sz="4" w:space="0" w:color="auto"/>
              <w:bottom w:val="nil"/>
              <w:right w:val="single" w:sz="4" w:space="0" w:color="auto"/>
            </w:tcBorders>
            <w:shd w:val="clear" w:color="auto" w:fill="auto"/>
            <w:noWrap/>
            <w:vAlign w:val="center"/>
            <w:hideMark/>
          </w:tcPr>
          <w:p w14:paraId="09EB89CB"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Retrospective</w:t>
            </w:r>
          </w:p>
        </w:tc>
        <w:tc>
          <w:tcPr>
            <w:tcW w:w="1701" w:type="dxa"/>
            <w:tcBorders>
              <w:top w:val="nil"/>
              <w:left w:val="nil"/>
              <w:bottom w:val="nil"/>
              <w:right w:val="single" w:sz="4" w:space="0" w:color="auto"/>
            </w:tcBorders>
            <w:shd w:val="clear" w:color="auto" w:fill="auto"/>
            <w:noWrap/>
            <w:vAlign w:val="center"/>
            <w:hideMark/>
          </w:tcPr>
          <w:p w14:paraId="2C11E8DE"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3730 (3177,553)</w:t>
            </w:r>
          </w:p>
        </w:tc>
        <w:tc>
          <w:tcPr>
            <w:tcW w:w="1701" w:type="dxa"/>
            <w:tcBorders>
              <w:top w:val="nil"/>
              <w:left w:val="nil"/>
              <w:bottom w:val="nil"/>
              <w:right w:val="single" w:sz="4" w:space="0" w:color="auto"/>
            </w:tcBorders>
            <w:shd w:val="clear" w:color="auto" w:fill="auto"/>
            <w:noWrap/>
            <w:vAlign w:val="center"/>
            <w:hideMark/>
          </w:tcPr>
          <w:p w14:paraId="461F685C"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Not mentioned</w:t>
            </w:r>
          </w:p>
        </w:tc>
        <w:tc>
          <w:tcPr>
            <w:tcW w:w="4279" w:type="dxa"/>
            <w:tcBorders>
              <w:top w:val="nil"/>
              <w:left w:val="nil"/>
              <w:bottom w:val="nil"/>
              <w:right w:val="nil"/>
            </w:tcBorders>
            <w:shd w:val="clear" w:color="auto" w:fill="auto"/>
            <w:noWrap/>
            <w:vAlign w:val="center"/>
            <w:hideMark/>
          </w:tcPr>
          <w:p w14:paraId="3DF377D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BI</w:t>
            </w:r>
          </w:p>
        </w:tc>
      </w:tr>
      <w:tr w:rsidR="007411A8" w:rsidRPr="00807F0D" w14:paraId="6B2B8E41" w14:textId="77777777" w:rsidTr="00AD3171">
        <w:trPr>
          <w:trHeight w:val="407"/>
        </w:trPr>
        <w:tc>
          <w:tcPr>
            <w:tcW w:w="1582" w:type="dxa"/>
            <w:tcBorders>
              <w:top w:val="nil"/>
              <w:left w:val="nil"/>
              <w:bottom w:val="nil"/>
              <w:right w:val="single" w:sz="4" w:space="0" w:color="auto"/>
            </w:tcBorders>
            <w:shd w:val="clear" w:color="auto" w:fill="auto"/>
            <w:vAlign w:val="center"/>
            <w:hideMark/>
          </w:tcPr>
          <w:p w14:paraId="6456B91C" w14:textId="2351D64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rPr>
              <w:t xml:space="preserve">Chiu et al. </w:t>
            </w:r>
            <w:r w:rsidR="005F4A29">
              <w:rPr>
                <w:rFonts w:ascii="Times New Roman" w:eastAsia="Times New Roman" w:hAnsi="Times New Roman" w:cs="Times New Roman"/>
                <w:color w:val="000000"/>
                <w:sz w:val="20"/>
                <w:szCs w:val="20"/>
              </w:rPr>
              <w:fldChar w:fldCharType="begin" w:fldLock="1"/>
            </w:r>
            <w:r w:rsidR="002D4061">
              <w:rPr>
                <w:rFonts w:ascii="Times New Roman" w:eastAsia="Times New Roman" w:hAnsi="Times New Roman" w:cs="Times New Roman"/>
                <w:color w:val="000000"/>
                <w:sz w:val="20"/>
                <w:szCs w:val="20"/>
              </w:rPr>
              <w:instrText>ADDIN CSL_CITATION {"citationItems":[{"id":"ITEM-1","itemData":{"DOI":"10.1016/j.jstrokecerebrovasdis.2009.06.002","ISSN":"10523057","abstract":"Background: Intracerebral hemorrhage (ICH) is associated with a greater average initial stroke severity, higher mortality, and poorer long-term neurologic outcomes than ischemic stroke. The purpose of this study was to determine whether the poorer prognosis of ICH is independent of initial stroke severity. Methods: We analyzed data from the Glycine Antagonist in Neuroprotection (GAIN) Americas trial, in which 1604 non-obtunded patients with acute stroke were treated within 6 hours of symptom onset irrespective of hemorrhagic (N = 237) versus ischemic (N = 1367) subtype. Multiple logistic regression analysis was performed to evaluate predictors of mortality and neurologic outcome (modified Rankin scale [mRS] score of 0-1 v 2-6 at 3 months) adjusting for baseline National Institutes of Health Stroke Scale score, stroke risk factors, clinical and demographic characteristics, and gavestinel treatment group. Multiple linear regression techniques were used to assess the impact of various predictors on the full mRS score at 3 months. Results: ICH significantly increased the odds of a poor neurologic outcome (odds ratio 1.94, 95% confidence interval 1.23-3.06) and was independently associated with a mean 0.25-point increase in the 3-month mRS score (P = .04). ICH had no effect on mortality compared with ischemic stroke (odds ratio 1.01, 95% confidence interval .68-1.49) after adjusting for initial stroke severity (National Institutes of Health Stroke Scale score) and other baseline characteristics. Conclusions: Among conscious stroke patients, ICH is an independent predictor of poor neurologic outcome, nearly doubling the odds of long-term disability. However, ICH is not associated with higher mortality compared with ischemic stroke aft</w:instrText>
            </w:r>
            <w:r w:rsidR="002D4061">
              <w:rPr>
                <w:rFonts w:ascii="Times New Roman" w:eastAsia="Times New Roman" w:hAnsi="Times New Roman" w:cs="Times New Roman"/>
                <w:color w:val="000000"/>
                <w:sz w:val="20"/>
                <w:szCs w:val="20"/>
                <w:lang w:eastAsia="zh-TW"/>
              </w:rPr>
              <w:instrText>er adjusting for initial stroke severity and other baseline characteristics. © 2010 National Stroke Association.","author":[{"dropping-particle":"","family":"Chiu","given":"David","non-dropping-particle":"","parse-names":false,"suffix":""},{"dropping-particle":"","family":"Peterson","given":"Leif","non-dropping-particle":"","parse-names":false,"suffix":""},{"dropping-particle":"","family":"Elkind","given":"Mitchell S.V.","non-dropping-particle":"","parse-names":false,"suffix":""},{"dropping-particle":"","family":"Rosand","given":"Jonathan","non-dropping-particle":"","parse-names":false,"suffix":""},{"dropping-particle":"","family":"Gerber","given":"Linda M.","non-dropping-particle":"","parse-names":false,"suffix":""},{"dropping-particle":"","family":"Silverstein","given":"Marc D.","non-dropping-particle":"","parse-names":false,"suffix":""}],"container-title":"Journal of Stroke and Cerebrovascular Diseases","id":"ITEM-1","issue":"3","issued":{"date-parts":[["2010"]]},"page":"225-229","publisher":"National Stroke Association","title":"Comparison of Outcomes after Intracerebral Hemorrhage and Ischemic Stroke","type":"article-journal","volume":"19"},"uris":["http://www.mendeley.com/documents/?uuid=c315c73d-35cb-437c-9f12-0e659e0de672"]}],"mendeley":{"formattedCitation":"&lt;sup&gt;7&lt;/sup&gt;","plainTextFormattedCitation":"7","previouslyFormattedCitation":"&lt;sup&gt;7&lt;/sup&gt;"},"properties":{"noteIndex":0},"schema":"https://github.com/citation-style-language/schema/raw/master/csl-citation.json"}</w:instrText>
            </w:r>
            <w:r w:rsidR="005F4A29">
              <w:rPr>
                <w:rFonts w:ascii="Times New Roman" w:eastAsia="Times New Roman" w:hAnsi="Times New Roman" w:cs="Times New Roman"/>
                <w:color w:val="000000"/>
                <w:sz w:val="20"/>
                <w:szCs w:val="20"/>
              </w:rPr>
              <w:fldChar w:fldCharType="separate"/>
            </w:r>
            <w:r w:rsidR="005F4A29" w:rsidRPr="005F4A29">
              <w:rPr>
                <w:rFonts w:ascii="Times New Roman" w:eastAsia="Times New Roman" w:hAnsi="Times New Roman" w:cs="Times New Roman"/>
                <w:noProof/>
                <w:color w:val="000000"/>
                <w:sz w:val="20"/>
                <w:szCs w:val="20"/>
                <w:vertAlign w:val="superscript"/>
                <w:lang w:eastAsia="zh-TW"/>
              </w:rPr>
              <w:t>7</w:t>
            </w:r>
            <w:r w:rsidR="005F4A29">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6E084DF9"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2010</w:t>
            </w:r>
          </w:p>
        </w:tc>
        <w:tc>
          <w:tcPr>
            <w:tcW w:w="1369" w:type="dxa"/>
            <w:tcBorders>
              <w:top w:val="nil"/>
              <w:left w:val="nil"/>
              <w:bottom w:val="nil"/>
              <w:right w:val="nil"/>
            </w:tcBorders>
            <w:shd w:val="clear" w:color="auto" w:fill="auto"/>
            <w:vAlign w:val="center"/>
            <w:hideMark/>
          </w:tcPr>
          <w:p w14:paraId="4FA42B63"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Westerner (United states)</w:t>
            </w:r>
          </w:p>
        </w:tc>
        <w:tc>
          <w:tcPr>
            <w:tcW w:w="5245" w:type="dxa"/>
            <w:tcBorders>
              <w:top w:val="nil"/>
              <w:left w:val="nil"/>
              <w:bottom w:val="nil"/>
              <w:right w:val="nil"/>
            </w:tcBorders>
            <w:shd w:val="clear" w:color="auto" w:fill="auto"/>
            <w:vAlign w:val="center"/>
            <w:hideMark/>
          </w:tcPr>
          <w:p w14:paraId="68215E63"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 xml:space="preserve">Among conscious stroke patients, ICH was associated with a mean 0.25-point increase in 3-month </w:t>
            </w:r>
            <w:proofErr w:type="spellStart"/>
            <w:r w:rsidRPr="00807F0D">
              <w:rPr>
                <w:rFonts w:ascii="Times New Roman" w:eastAsia="Times New Roman" w:hAnsi="Times New Roman" w:cs="Times New Roman"/>
                <w:color w:val="000000"/>
                <w:sz w:val="20"/>
                <w:szCs w:val="20"/>
                <w:lang w:eastAsia="zh-TW"/>
              </w:rPr>
              <w:t>mRS</w:t>
            </w:r>
            <w:proofErr w:type="spellEnd"/>
            <w:r w:rsidRPr="00807F0D">
              <w:rPr>
                <w:rFonts w:ascii="Times New Roman" w:eastAsia="Times New Roman" w:hAnsi="Times New Roman" w:cs="Times New Roman"/>
                <w:color w:val="000000"/>
                <w:sz w:val="20"/>
                <w:szCs w:val="20"/>
                <w:lang w:eastAsia="zh-TW"/>
              </w:rPr>
              <w:t xml:space="preserve"> score</w:t>
            </w:r>
          </w:p>
        </w:tc>
        <w:tc>
          <w:tcPr>
            <w:tcW w:w="1440" w:type="dxa"/>
            <w:tcBorders>
              <w:top w:val="nil"/>
              <w:left w:val="single" w:sz="4" w:space="0" w:color="auto"/>
              <w:bottom w:val="nil"/>
              <w:right w:val="single" w:sz="4" w:space="0" w:color="auto"/>
            </w:tcBorders>
            <w:shd w:val="clear" w:color="auto" w:fill="auto"/>
            <w:noWrap/>
            <w:vAlign w:val="center"/>
            <w:hideMark/>
          </w:tcPr>
          <w:p w14:paraId="632EEB9B"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Retrospective</w:t>
            </w:r>
          </w:p>
        </w:tc>
        <w:tc>
          <w:tcPr>
            <w:tcW w:w="1701" w:type="dxa"/>
            <w:tcBorders>
              <w:top w:val="nil"/>
              <w:left w:val="nil"/>
              <w:bottom w:val="nil"/>
              <w:right w:val="single" w:sz="4" w:space="0" w:color="auto"/>
            </w:tcBorders>
            <w:shd w:val="clear" w:color="auto" w:fill="auto"/>
            <w:noWrap/>
            <w:vAlign w:val="center"/>
            <w:hideMark/>
          </w:tcPr>
          <w:p w14:paraId="1A118BE0"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1604 (1367, 237)</w:t>
            </w:r>
          </w:p>
        </w:tc>
        <w:tc>
          <w:tcPr>
            <w:tcW w:w="1701" w:type="dxa"/>
            <w:tcBorders>
              <w:top w:val="nil"/>
              <w:left w:val="nil"/>
              <w:bottom w:val="nil"/>
              <w:right w:val="single" w:sz="4" w:space="0" w:color="auto"/>
            </w:tcBorders>
            <w:shd w:val="clear" w:color="auto" w:fill="auto"/>
            <w:noWrap/>
            <w:vAlign w:val="center"/>
            <w:hideMark/>
          </w:tcPr>
          <w:p w14:paraId="2E2FDFCD" w14:textId="77777777" w:rsidR="007411A8" w:rsidRPr="00807F0D" w:rsidRDefault="007411A8" w:rsidP="003022F5">
            <w:pPr>
              <w:rPr>
                <w:rFonts w:ascii="Times New Roman" w:eastAsia="Times New Roman" w:hAnsi="Times New Roman" w:cs="Times New Roman"/>
                <w:color w:val="000000"/>
                <w:sz w:val="20"/>
                <w:szCs w:val="20"/>
                <w:lang w:eastAsia="zh-TW"/>
              </w:rPr>
            </w:pPr>
            <w:r w:rsidRPr="00807F0D">
              <w:rPr>
                <w:rFonts w:ascii="Times New Roman" w:eastAsia="Times New Roman" w:hAnsi="Times New Roman" w:cs="Times New Roman"/>
                <w:color w:val="000000"/>
                <w:sz w:val="20"/>
                <w:szCs w:val="20"/>
                <w:lang w:eastAsia="zh-TW"/>
              </w:rPr>
              <w:t>Not mentioned</w:t>
            </w:r>
          </w:p>
        </w:tc>
        <w:tc>
          <w:tcPr>
            <w:tcW w:w="4279" w:type="dxa"/>
            <w:tcBorders>
              <w:top w:val="nil"/>
              <w:left w:val="nil"/>
              <w:bottom w:val="nil"/>
              <w:right w:val="nil"/>
            </w:tcBorders>
            <w:shd w:val="clear" w:color="auto" w:fill="auto"/>
            <w:noWrap/>
            <w:vAlign w:val="center"/>
            <w:hideMark/>
          </w:tcPr>
          <w:p w14:paraId="7DA983A0" w14:textId="77777777" w:rsidR="007411A8" w:rsidRPr="00807F0D" w:rsidRDefault="007411A8" w:rsidP="003022F5">
            <w:pPr>
              <w:rPr>
                <w:rFonts w:ascii="Times New Roman" w:eastAsia="Times New Roman" w:hAnsi="Times New Roman" w:cs="Times New Roman"/>
                <w:color w:val="000000"/>
                <w:sz w:val="20"/>
                <w:szCs w:val="20"/>
                <w:lang w:eastAsia="zh-TW"/>
              </w:rPr>
            </w:pPr>
            <w:proofErr w:type="spellStart"/>
            <w:r w:rsidRPr="00807F0D">
              <w:rPr>
                <w:rFonts w:ascii="Times New Roman" w:eastAsia="Times New Roman" w:hAnsi="Times New Roman" w:cs="Times New Roman"/>
                <w:color w:val="000000"/>
                <w:sz w:val="20"/>
                <w:szCs w:val="20"/>
                <w:lang w:eastAsia="zh-TW"/>
              </w:rPr>
              <w:t>mRS</w:t>
            </w:r>
            <w:proofErr w:type="spellEnd"/>
          </w:p>
        </w:tc>
      </w:tr>
      <w:tr w:rsidR="007411A8" w:rsidRPr="00807F0D" w14:paraId="378DB9A1" w14:textId="77777777" w:rsidTr="00AD3171">
        <w:trPr>
          <w:trHeight w:val="627"/>
        </w:trPr>
        <w:tc>
          <w:tcPr>
            <w:tcW w:w="1582" w:type="dxa"/>
            <w:tcBorders>
              <w:top w:val="nil"/>
              <w:left w:val="nil"/>
              <w:bottom w:val="nil"/>
              <w:right w:val="single" w:sz="4" w:space="0" w:color="auto"/>
            </w:tcBorders>
            <w:shd w:val="clear" w:color="auto" w:fill="auto"/>
            <w:vAlign w:val="center"/>
            <w:hideMark/>
          </w:tcPr>
          <w:p w14:paraId="00FD3AA5" w14:textId="30492BD8" w:rsidR="007411A8" w:rsidRPr="00807F0D" w:rsidRDefault="007411A8" w:rsidP="003022F5">
            <w:pPr>
              <w:rPr>
                <w:rFonts w:ascii="Times New Roman" w:eastAsia="Times New Roman" w:hAnsi="Times New Roman" w:cs="Times New Roman"/>
                <w:color w:val="000000"/>
                <w:sz w:val="20"/>
                <w:szCs w:val="20"/>
              </w:rPr>
            </w:pPr>
            <w:proofErr w:type="spellStart"/>
            <w:r w:rsidRPr="00807F0D">
              <w:rPr>
                <w:rFonts w:ascii="Times New Roman" w:eastAsia="Times New Roman" w:hAnsi="Times New Roman" w:cs="Times New Roman"/>
                <w:color w:val="000000"/>
                <w:sz w:val="20"/>
                <w:szCs w:val="20"/>
                <w:lang w:eastAsia="zh-TW"/>
              </w:rPr>
              <w:t>Jørgensen</w:t>
            </w:r>
            <w:proofErr w:type="spellEnd"/>
            <w:r w:rsidRPr="00807F0D">
              <w:rPr>
                <w:rFonts w:ascii="Times New Roman" w:eastAsia="Times New Roman" w:hAnsi="Times New Roman" w:cs="Times New Roman"/>
                <w:color w:val="000000"/>
                <w:sz w:val="20"/>
                <w:szCs w:val="20"/>
                <w:lang w:eastAsia="zh-TW"/>
              </w:rPr>
              <w:t xml:space="preserve"> et al. </w:t>
            </w:r>
            <w:r w:rsidR="002D4061">
              <w:rPr>
                <w:rFonts w:ascii="Times New Roman" w:eastAsia="Times New Roman" w:hAnsi="Times New Roman" w:cs="Times New Roman"/>
                <w:color w:val="000000"/>
                <w:sz w:val="20"/>
                <w:szCs w:val="20"/>
              </w:rPr>
              <w:fldChar w:fldCharType="begin" w:fldLock="1"/>
            </w:r>
            <w:r w:rsidR="002D4061">
              <w:rPr>
                <w:rFonts w:ascii="Times New Roman" w:eastAsia="Times New Roman" w:hAnsi="Times New Roman" w:cs="Times New Roman"/>
                <w:color w:val="000000"/>
                <w:sz w:val="20"/>
                <w:szCs w:val="20"/>
                <w:lang w:eastAsia="zh-TW"/>
              </w:rPr>
              <w:instrText>ADDIN CSL_CITATION {"citationItems":[{"id":"ITEM-1","itemData":{"DOI":"10.1002/ana.410380110","abstract":"The purpose of this study was to compare stroke severity, risk factors, and prognosis in patients with intracerebral hemorrhage versus infarction. We prospectively studied 1,000 unselected patients with acute stroke of a verified type in the Copenhagen Stoke Study. Neurological deficits and functional disabilities were evaluated weekly from the time of acute admission throughout the rehabilitation period. Eighty-eight (9%) had intracerebral hemorrhage. The relative frequency of intracerebral hemorrhage rose exponentially with increasing stroke severity. In multivariate analyses, stroke type had no influence on mortality, neurological outcome, functional outcome, or the time course of recovery. Initial stroke severity was the all-important prognostic factor. The relative importance of hypertension and blood pressure on admission was not greater for intracerebral hemorrhage than for infarction. No preponderance was found between type of stroke and sex, age, and smoking. Diabetes, ischemic heart disease, and elevated serum total cholesterol level all favored cerebral infarction as opposed to intracerebral hemorrhage. We conclude that the type of stroke per se has no influence on stroke prognosis in general; the extent of the injury is decisive. The poorer prognosis in patients with intracerebral hemorrhage is due to the increase in frequency of intracerebral hemorrhage with increasing stroke severity. The likelihood of cerebral infarction occurring as opposed to intracerebral hemorrhage seems increased fivefold in stroke patients with diabetes. Hypertension and blood pressure on admission were not predictors of stroke type.","author":[{"dropping-particle":"","family":"HS.","given":"Jørgensen","non-dropping-particle":"","parse-names":false,"suffix":""},{"dropping-particle":"","family":"H.","given":"Nakayama","non-dropping-particle":"","parse-names":false,"suffix":""},{"dropping-particle":"","family":"HO.","given":"Raaschou","non-dropping-particle":"","parse-names":false,"suffix":""},{"dropping-particle":"","family":"TS.","given":"Olsen","non-dropping-particle":"","parse-names":false,"suffix":""}],"container-title":"Annals of neurology","id":"ITEM-1","issue":"1 PG  - 45-50","issued":{"date-parts":[["1995"]]},"page":"45-50","title":"Intracerebral hemorrhage versus infarction: stroke severity, risk factors, and prognosis.","type":"article-journal","volume":"38"},"uris":["http://www.mendeley.com/documents/?uuid=6e6b987d-fa5f-40ff-b4e8-5daefdfff178"]}],"mendeley":{"formattedCitation":"&lt;sup&gt;8&lt;/sup&gt;","plainTextFormattedCitation":"8","previouslyFormattedCitation":"&lt;sup&gt;8&lt;/sup&gt;"},"properties":{"noteIndex":0},"schema":"https://github.com/citation-style-language/schema/raw/master/csl-citation.json"}</w:instrText>
            </w:r>
            <w:r w:rsidR="002D4061">
              <w:rPr>
                <w:rFonts w:ascii="Times New Roman" w:eastAsia="Times New Roman" w:hAnsi="Times New Roman" w:cs="Times New Roman"/>
                <w:color w:val="000000"/>
                <w:sz w:val="20"/>
                <w:szCs w:val="20"/>
              </w:rPr>
              <w:fldChar w:fldCharType="separate"/>
            </w:r>
            <w:r w:rsidR="002D4061" w:rsidRPr="002D4061">
              <w:rPr>
                <w:rFonts w:ascii="Times New Roman" w:eastAsia="Times New Roman" w:hAnsi="Times New Roman" w:cs="Times New Roman"/>
                <w:noProof/>
                <w:color w:val="000000"/>
                <w:sz w:val="20"/>
                <w:szCs w:val="20"/>
                <w:vertAlign w:val="superscript"/>
              </w:rPr>
              <w:t>8</w:t>
            </w:r>
            <w:r w:rsidR="002D4061">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0DBF7621"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1995</w:t>
            </w:r>
          </w:p>
        </w:tc>
        <w:tc>
          <w:tcPr>
            <w:tcW w:w="1369" w:type="dxa"/>
            <w:tcBorders>
              <w:top w:val="nil"/>
              <w:left w:val="nil"/>
              <w:bottom w:val="nil"/>
              <w:right w:val="nil"/>
            </w:tcBorders>
            <w:shd w:val="clear" w:color="auto" w:fill="auto"/>
            <w:vAlign w:val="center"/>
            <w:hideMark/>
          </w:tcPr>
          <w:p w14:paraId="05238D96"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Westerner (Denmark)</w:t>
            </w:r>
          </w:p>
        </w:tc>
        <w:tc>
          <w:tcPr>
            <w:tcW w:w="5245" w:type="dxa"/>
            <w:tcBorders>
              <w:top w:val="nil"/>
              <w:left w:val="nil"/>
              <w:bottom w:val="nil"/>
              <w:right w:val="single" w:sz="4" w:space="0" w:color="auto"/>
            </w:tcBorders>
            <w:shd w:val="clear" w:color="auto" w:fill="auto"/>
            <w:vAlign w:val="center"/>
            <w:hideMark/>
          </w:tcPr>
          <w:p w14:paraId="3FFB57F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Increased stroke severity in ICH patients was responsible for their poorer prognosis</w:t>
            </w:r>
          </w:p>
        </w:tc>
        <w:tc>
          <w:tcPr>
            <w:tcW w:w="1440" w:type="dxa"/>
            <w:tcBorders>
              <w:top w:val="nil"/>
              <w:left w:val="nil"/>
              <w:bottom w:val="nil"/>
              <w:right w:val="single" w:sz="4" w:space="0" w:color="auto"/>
            </w:tcBorders>
            <w:shd w:val="clear" w:color="auto" w:fill="auto"/>
            <w:noWrap/>
            <w:vAlign w:val="center"/>
            <w:hideMark/>
          </w:tcPr>
          <w:p w14:paraId="2869B3B2"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Prospective</w:t>
            </w:r>
          </w:p>
        </w:tc>
        <w:tc>
          <w:tcPr>
            <w:tcW w:w="1701" w:type="dxa"/>
            <w:tcBorders>
              <w:top w:val="nil"/>
              <w:left w:val="nil"/>
              <w:bottom w:val="nil"/>
              <w:right w:val="single" w:sz="4" w:space="0" w:color="auto"/>
            </w:tcBorders>
            <w:shd w:val="clear" w:color="auto" w:fill="auto"/>
            <w:noWrap/>
            <w:vAlign w:val="center"/>
            <w:hideMark/>
          </w:tcPr>
          <w:p w14:paraId="7A1F8E79"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1000 (912, 88)</w:t>
            </w:r>
          </w:p>
        </w:tc>
        <w:tc>
          <w:tcPr>
            <w:tcW w:w="1701" w:type="dxa"/>
            <w:tcBorders>
              <w:top w:val="nil"/>
              <w:left w:val="nil"/>
              <w:bottom w:val="nil"/>
              <w:right w:val="single" w:sz="4" w:space="0" w:color="auto"/>
            </w:tcBorders>
            <w:shd w:val="clear" w:color="auto" w:fill="auto"/>
            <w:noWrap/>
            <w:vAlign w:val="center"/>
            <w:hideMark/>
          </w:tcPr>
          <w:p w14:paraId="27A9BDDB"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Not mentioned</w:t>
            </w:r>
          </w:p>
        </w:tc>
        <w:tc>
          <w:tcPr>
            <w:tcW w:w="4279" w:type="dxa"/>
            <w:tcBorders>
              <w:top w:val="nil"/>
              <w:left w:val="nil"/>
              <w:bottom w:val="nil"/>
              <w:right w:val="nil"/>
            </w:tcBorders>
            <w:shd w:val="clear" w:color="auto" w:fill="auto"/>
            <w:noWrap/>
            <w:vAlign w:val="center"/>
            <w:hideMark/>
          </w:tcPr>
          <w:p w14:paraId="35E544D0"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BI</w:t>
            </w:r>
          </w:p>
        </w:tc>
      </w:tr>
      <w:tr w:rsidR="007411A8" w:rsidRPr="00807F0D" w14:paraId="53A76965" w14:textId="77777777" w:rsidTr="00AD3171">
        <w:trPr>
          <w:trHeight w:val="86"/>
        </w:trPr>
        <w:tc>
          <w:tcPr>
            <w:tcW w:w="1582" w:type="dxa"/>
            <w:tcBorders>
              <w:top w:val="nil"/>
              <w:left w:val="nil"/>
              <w:bottom w:val="nil"/>
              <w:right w:val="single" w:sz="4" w:space="0" w:color="auto"/>
            </w:tcBorders>
            <w:shd w:val="clear" w:color="auto" w:fill="auto"/>
            <w:vAlign w:val="center"/>
            <w:hideMark/>
          </w:tcPr>
          <w:p w14:paraId="531715B3" w14:textId="7A64B9F5"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Franke et al</w:t>
            </w:r>
            <w:r>
              <w:rPr>
                <w:rFonts w:ascii="Times New Roman" w:eastAsia="Times New Roman" w:hAnsi="Times New Roman" w:cs="Times New Roman"/>
                <w:color w:val="000000"/>
                <w:sz w:val="20"/>
                <w:szCs w:val="20"/>
              </w:rPr>
              <w:t>.</w:t>
            </w:r>
            <w:r w:rsidRPr="00807F0D">
              <w:rPr>
                <w:rFonts w:ascii="Times New Roman" w:eastAsia="Times New Roman" w:hAnsi="Times New Roman" w:cs="Times New Roman"/>
                <w:color w:val="000000"/>
                <w:sz w:val="20"/>
                <w:szCs w:val="20"/>
              </w:rPr>
              <w:t xml:space="preserve"> </w:t>
            </w:r>
            <w:r w:rsidR="002D4061">
              <w:rPr>
                <w:rFonts w:ascii="Times New Roman" w:eastAsia="Times New Roman" w:hAnsi="Times New Roman" w:cs="Times New Roman"/>
                <w:color w:val="000000"/>
                <w:sz w:val="20"/>
                <w:szCs w:val="20"/>
              </w:rPr>
              <w:fldChar w:fldCharType="begin" w:fldLock="1"/>
            </w:r>
            <w:r w:rsidR="002D4061">
              <w:rPr>
                <w:rFonts w:ascii="Times New Roman" w:eastAsia="Times New Roman" w:hAnsi="Times New Roman" w:cs="Times New Roman"/>
                <w:color w:val="000000"/>
                <w:sz w:val="20"/>
                <w:szCs w:val="20"/>
              </w:rPr>
              <w:instrText>ADDIN CSL_CITATION {"citationItems":[{"id":"ITEM-1","itemData":{"DOI":"10.1136/jnnp.55.8.653","ISSN":"00223050","abstract":"In a prospective study, the prognostic value of clinical characteristics in 157 consecutive patients with spontaneous supratentorial intracerebral haemorrhage were examined by means of multivariate analysis. Two days after the event 37 (24%) patients had died. Factors independently contributing to the prediction of two day mortality were pineal gland displacement on CT of 3 mm or more (p &lt; 0.001), blood glucose level on admission of 8.0 mmol/l or more (p = 0.01), eye and motor score on the Glasgow Coma Scale of eight out of 10 or less (p = 0.022) and haematoma volume of 40 cm3 or more (p = 0.037). Between the third day and one year after the event another 46 of the 120 two day survivors had died; the independent prognostic indicators for death during that period were: age 70 years or more (p &lt; 0.001) and severe handicap (Rankin grade five) on the third day (p &lt; 0.001). Functional independence (Rankin grade two or less) at one year was most common not only with the converse features of age less than 70 years (p &lt; 0.01) and Rankin grade four or less on the third day (p = 0.002), but also with an eye and motor score on the Glasgow Coma Scale of nine or 10 on the third day (p &lt; 0.001). The 120 patients with intracerebral haemorrhage who were still alive two days after the event were matched with 120 patients with cerebral infarction, according to age, level of consciousness on the third day after stroke (Glasgow Coma Scale) and handicap (Rankin grade). Survival and handicap after one year did not differ between these two groups. The conclusion drawn is that it is not the cause (intracerebral haemorrhage or cerebral infarction) but the extent of the brain lesion that determines the outcome in patients who survive the first two days.","author":[{"dropping-particle":"","family":"Franke","given":"C. L.","non-dropping-particle":"","parse-names":false,"suffix":""},{"dropping-particle":"","family":"Swielen","given":"J. C.","non-dropping-particle":"Van","parse-names":false,"suffix":""},{"dropping-particle":"","family":"Algra","given":"A.","non-dropping-particle":"","parse-names":false,"suffix":""},{"dropping-particle":"","family":"Gijn","given":"J.","non-dropping-particle":"Van","parse-names":false,"suffix":""}],"container-title":"Journal of Neurology Neurosurgery and Psychiatry","id":"ITEM-1","issued":{"date-parts":[["1992"]]},"title":"Prognostic factors in patients with intracerebral haematoma","type":"article-journal"},"uris":["http://www.mendeley.com/documents/?uuid=79bfb34c-955a-4676-bb99-bc1cefc5df5e"]}],"mendeley":{"formattedCitation":"&lt;sup&gt;9&lt;/sup&gt;","plainTextFormattedCitation":"9","previouslyFormattedCitation":"&lt;sup&gt;9&lt;/sup&gt;"},"properties":{"noteIndex":0},"schema":"https://github.com/citation-style-language/schema/raw/master/csl-citation.json"}</w:instrText>
            </w:r>
            <w:r w:rsidR="002D4061">
              <w:rPr>
                <w:rFonts w:ascii="Times New Roman" w:eastAsia="Times New Roman" w:hAnsi="Times New Roman" w:cs="Times New Roman"/>
                <w:color w:val="000000"/>
                <w:sz w:val="20"/>
                <w:szCs w:val="20"/>
              </w:rPr>
              <w:fldChar w:fldCharType="separate"/>
            </w:r>
            <w:r w:rsidR="002D4061" w:rsidRPr="002D4061">
              <w:rPr>
                <w:rFonts w:ascii="Times New Roman" w:eastAsia="Times New Roman" w:hAnsi="Times New Roman" w:cs="Times New Roman"/>
                <w:noProof/>
                <w:color w:val="000000"/>
                <w:sz w:val="20"/>
                <w:szCs w:val="20"/>
                <w:vertAlign w:val="superscript"/>
              </w:rPr>
              <w:t>9</w:t>
            </w:r>
            <w:r w:rsidR="002D4061">
              <w:rPr>
                <w:rFonts w:ascii="Times New Roman" w:eastAsia="Times New Roman" w:hAnsi="Times New Roman" w:cs="Times New Roman"/>
                <w:color w:val="000000"/>
                <w:sz w:val="20"/>
                <w:szCs w:val="20"/>
              </w:rPr>
              <w:fldChar w:fldCharType="end"/>
            </w:r>
          </w:p>
        </w:tc>
        <w:tc>
          <w:tcPr>
            <w:tcW w:w="735" w:type="dxa"/>
            <w:tcBorders>
              <w:top w:val="nil"/>
              <w:left w:val="single" w:sz="4" w:space="0" w:color="auto"/>
              <w:bottom w:val="nil"/>
              <w:right w:val="nil"/>
            </w:tcBorders>
            <w:shd w:val="clear" w:color="auto" w:fill="auto"/>
            <w:noWrap/>
            <w:vAlign w:val="center"/>
            <w:hideMark/>
          </w:tcPr>
          <w:p w14:paraId="37A8676B"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1992</w:t>
            </w:r>
          </w:p>
        </w:tc>
        <w:tc>
          <w:tcPr>
            <w:tcW w:w="1369" w:type="dxa"/>
            <w:tcBorders>
              <w:top w:val="nil"/>
              <w:left w:val="nil"/>
              <w:bottom w:val="nil"/>
              <w:right w:val="nil"/>
            </w:tcBorders>
            <w:shd w:val="clear" w:color="auto" w:fill="auto"/>
            <w:vAlign w:val="center"/>
            <w:hideMark/>
          </w:tcPr>
          <w:p w14:paraId="52944338"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Westerner (Netherlands)</w:t>
            </w:r>
          </w:p>
        </w:tc>
        <w:tc>
          <w:tcPr>
            <w:tcW w:w="5245" w:type="dxa"/>
            <w:tcBorders>
              <w:top w:val="nil"/>
              <w:left w:val="nil"/>
              <w:bottom w:val="nil"/>
              <w:right w:val="nil"/>
            </w:tcBorders>
            <w:shd w:val="clear" w:color="auto" w:fill="auto"/>
            <w:vAlign w:val="center"/>
            <w:hideMark/>
          </w:tcPr>
          <w:p w14:paraId="1CE3A2E6"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 xml:space="preserve">Similar functional outcome after the acute stage </w:t>
            </w:r>
          </w:p>
        </w:tc>
        <w:tc>
          <w:tcPr>
            <w:tcW w:w="1440" w:type="dxa"/>
            <w:tcBorders>
              <w:top w:val="nil"/>
              <w:left w:val="single" w:sz="4" w:space="0" w:color="auto"/>
              <w:bottom w:val="nil"/>
              <w:right w:val="single" w:sz="4" w:space="0" w:color="auto"/>
            </w:tcBorders>
            <w:shd w:val="clear" w:color="auto" w:fill="auto"/>
            <w:noWrap/>
            <w:vAlign w:val="center"/>
            <w:hideMark/>
          </w:tcPr>
          <w:p w14:paraId="63ED0614"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Case-match</w:t>
            </w:r>
          </w:p>
        </w:tc>
        <w:tc>
          <w:tcPr>
            <w:tcW w:w="1701" w:type="dxa"/>
            <w:tcBorders>
              <w:top w:val="nil"/>
              <w:left w:val="nil"/>
              <w:bottom w:val="nil"/>
              <w:right w:val="single" w:sz="4" w:space="0" w:color="auto"/>
            </w:tcBorders>
            <w:shd w:val="clear" w:color="auto" w:fill="auto"/>
            <w:noWrap/>
            <w:vAlign w:val="center"/>
            <w:hideMark/>
          </w:tcPr>
          <w:p w14:paraId="170F13C5"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240 (120,120)</w:t>
            </w:r>
          </w:p>
        </w:tc>
        <w:tc>
          <w:tcPr>
            <w:tcW w:w="1701" w:type="dxa"/>
            <w:tcBorders>
              <w:top w:val="nil"/>
              <w:left w:val="nil"/>
              <w:bottom w:val="nil"/>
              <w:right w:val="single" w:sz="4" w:space="0" w:color="auto"/>
            </w:tcBorders>
            <w:shd w:val="clear" w:color="auto" w:fill="auto"/>
            <w:noWrap/>
            <w:vAlign w:val="center"/>
            <w:hideMark/>
          </w:tcPr>
          <w:p w14:paraId="387632A0" w14:textId="77777777" w:rsidR="007411A8" w:rsidRPr="00807F0D" w:rsidRDefault="007411A8" w:rsidP="003022F5">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Not mentioned</w:t>
            </w:r>
          </w:p>
        </w:tc>
        <w:tc>
          <w:tcPr>
            <w:tcW w:w="4279" w:type="dxa"/>
            <w:tcBorders>
              <w:top w:val="nil"/>
              <w:left w:val="nil"/>
              <w:bottom w:val="nil"/>
              <w:right w:val="nil"/>
            </w:tcBorders>
            <w:shd w:val="clear" w:color="auto" w:fill="auto"/>
            <w:noWrap/>
            <w:vAlign w:val="center"/>
            <w:hideMark/>
          </w:tcPr>
          <w:p w14:paraId="2980F799" w14:textId="77777777" w:rsidR="007411A8" w:rsidRPr="00807F0D" w:rsidRDefault="007411A8" w:rsidP="003022F5">
            <w:pPr>
              <w:rPr>
                <w:rFonts w:ascii="Times New Roman" w:eastAsia="Times New Roman" w:hAnsi="Times New Roman" w:cs="Times New Roman"/>
                <w:color w:val="000000"/>
                <w:sz w:val="20"/>
                <w:szCs w:val="20"/>
              </w:rPr>
            </w:pPr>
            <w:proofErr w:type="spellStart"/>
            <w:r w:rsidRPr="00807F0D">
              <w:rPr>
                <w:rFonts w:ascii="Times New Roman" w:eastAsia="Times New Roman" w:hAnsi="Times New Roman" w:cs="Times New Roman"/>
                <w:color w:val="000000"/>
                <w:sz w:val="20"/>
                <w:szCs w:val="20"/>
              </w:rPr>
              <w:t>mRS</w:t>
            </w:r>
            <w:proofErr w:type="spellEnd"/>
          </w:p>
        </w:tc>
      </w:tr>
      <w:tr w:rsidR="007411A8" w:rsidRPr="00807F0D" w14:paraId="3A598831" w14:textId="77777777" w:rsidTr="00AD3171">
        <w:trPr>
          <w:trHeight w:val="55"/>
        </w:trPr>
        <w:tc>
          <w:tcPr>
            <w:tcW w:w="18052" w:type="dxa"/>
            <w:gridSpan w:val="8"/>
            <w:tcBorders>
              <w:top w:val="single" w:sz="4" w:space="0" w:color="auto"/>
              <w:left w:val="nil"/>
              <w:bottom w:val="nil"/>
              <w:right w:val="nil"/>
            </w:tcBorders>
            <w:shd w:val="clear" w:color="auto" w:fill="auto"/>
            <w:vAlign w:val="center"/>
            <w:hideMark/>
          </w:tcPr>
          <w:p w14:paraId="5883261A" w14:textId="58391897" w:rsidR="007411A8" w:rsidRPr="00807F0D" w:rsidRDefault="007411A8" w:rsidP="00AD3171">
            <w:pPr>
              <w:rPr>
                <w:rFonts w:ascii="Times New Roman" w:eastAsia="Times New Roman" w:hAnsi="Times New Roman" w:cs="Times New Roman"/>
                <w:color w:val="000000"/>
                <w:sz w:val="20"/>
                <w:szCs w:val="20"/>
              </w:rPr>
            </w:pPr>
            <w:r w:rsidRPr="00807F0D">
              <w:rPr>
                <w:rFonts w:ascii="Times New Roman" w:eastAsia="Times New Roman" w:hAnsi="Times New Roman" w:cs="Times New Roman"/>
                <w:color w:val="000000"/>
                <w:sz w:val="20"/>
                <w:szCs w:val="20"/>
              </w:rPr>
              <w:t>BI, Barthel Index;</w:t>
            </w:r>
            <w:r>
              <w:rPr>
                <w:rFonts w:ascii="Times New Roman" w:eastAsia="Times New Roman" w:hAnsi="Times New Roman" w:cs="Times New Roman"/>
                <w:color w:val="000000"/>
                <w:sz w:val="20"/>
                <w:szCs w:val="20"/>
              </w:rPr>
              <w:t xml:space="preserve"> </w:t>
            </w:r>
            <w:r w:rsidRPr="00807F0D">
              <w:rPr>
                <w:rFonts w:ascii="Times New Roman" w:eastAsia="Times New Roman" w:hAnsi="Times New Roman" w:cs="Times New Roman"/>
                <w:color w:val="000000"/>
                <w:sz w:val="20"/>
                <w:szCs w:val="20"/>
              </w:rPr>
              <w:t xml:space="preserve">CNS, Canadian Neurological Scale; FIM, Functional Independence Measure; </w:t>
            </w:r>
            <w:r>
              <w:rPr>
                <w:rFonts w:ascii="Times New Roman" w:eastAsia="Times New Roman" w:hAnsi="Times New Roman" w:cs="Times New Roman"/>
                <w:color w:val="000000"/>
                <w:sz w:val="20"/>
                <w:szCs w:val="20"/>
              </w:rPr>
              <w:t xml:space="preserve">ICH, intracerebral hemorrhage; IS, ischemic stroke; </w:t>
            </w:r>
            <w:r w:rsidRPr="00807F0D">
              <w:rPr>
                <w:rFonts w:ascii="Times New Roman" w:eastAsia="Times New Roman" w:hAnsi="Times New Roman" w:cs="Times New Roman"/>
                <w:color w:val="000000"/>
                <w:sz w:val="20"/>
                <w:szCs w:val="20"/>
              </w:rPr>
              <w:t>MPAI-4, Mayo Portland Adaptability</w:t>
            </w:r>
            <w:r>
              <w:rPr>
                <w:rFonts w:ascii="Times New Roman" w:eastAsia="Times New Roman" w:hAnsi="Times New Roman" w:cs="Times New Roman"/>
                <w:color w:val="000000"/>
                <w:sz w:val="20"/>
                <w:szCs w:val="20"/>
              </w:rPr>
              <w:t xml:space="preserve">; </w:t>
            </w:r>
            <w:proofErr w:type="spellStart"/>
            <w:r w:rsidRPr="00807F0D">
              <w:rPr>
                <w:rFonts w:ascii="Times New Roman" w:eastAsia="Times New Roman" w:hAnsi="Times New Roman" w:cs="Times New Roman"/>
                <w:color w:val="000000"/>
                <w:sz w:val="20"/>
                <w:szCs w:val="20"/>
              </w:rPr>
              <w:t>mRS</w:t>
            </w:r>
            <w:proofErr w:type="spellEnd"/>
            <w:r w:rsidRPr="00807F0D">
              <w:rPr>
                <w:rFonts w:ascii="Times New Roman" w:eastAsia="Times New Roman" w:hAnsi="Times New Roman" w:cs="Times New Roman"/>
                <w:color w:val="000000"/>
                <w:sz w:val="20"/>
                <w:szCs w:val="20"/>
              </w:rPr>
              <w:t xml:space="preserve">, modified Rankin Scale; Inventory-4; </w:t>
            </w:r>
            <w:r>
              <w:rPr>
                <w:rFonts w:ascii="Times New Roman" w:eastAsia="Times New Roman" w:hAnsi="Times New Roman" w:cs="Times New Roman"/>
                <w:color w:val="000000"/>
                <w:sz w:val="20"/>
                <w:szCs w:val="20"/>
              </w:rPr>
              <w:t xml:space="preserve">PAC-CVD, Post-Acute Care Cerebrovascular Disease; QoL, quality of life; </w:t>
            </w:r>
            <w:r w:rsidRPr="00807F0D">
              <w:rPr>
                <w:rFonts w:ascii="Times New Roman" w:eastAsia="Times New Roman" w:hAnsi="Times New Roman" w:cs="Times New Roman"/>
                <w:color w:val="000000"/>
                <w:sz w:val="20"/>
                <w:szCs w:val="20"/>
              </w:rPr>
              <w:t xml:space="preserve">RMI, </w:t>
            </w:r>
            <w:proofErr w:type="spellStart"/>
            <w:r w:rsidRPr="00807F0D">
              <w:rPr>
                <w:rFonts w:ascii="Times New Roman" w:eastAsia="Times New Roman" w:hAnsi="Times New Roman" w:cs="Times New Roman"/>
                <w:color w:val="000000"/>
                <w:sz w:val="20"/>
                <w:szCs w:val="20"/>
              </w:rPr>
              <w:t>Rivermead</w:t>
            </w:r>
            <w:proofErr w:type="spellEnd"/>
            <w:r w:rsidRPr="00807F0D">
              <w:rPr>
                <w:rFonts w:ascii="Times New Roman" w:eastAsia="Times New Roman" w:hAnsi="Times New Roman" w:cs="Times New Roman"/>
                <w:color w:val="000000"/>
                <w:sz w:val="20"/>
                <w:szCs w:val="20"/>
              </w:rPr>
              <w:t xml:space="preserve"> Mobility Index.</w:t>
            </w:r>
          </w:p>
        </w:tc>
      </w:tr>
    </w:tbl>
    <w:p w14:paraId="2C91F37E" w14:textId="1F1AB1FB" w:rsidR="003B78BA" w:rsidRDefault="003B78BA" w:rsidP="00E82485">
      <w:pPr>
        <w:snapToGrid w:val="0"/>
        <w:spacing w:line="480" w:lineRule="auto"/>
        <w:jc w:val="both"/>
        <w:rPr>
          <w:rFonts w:ascii="Times New Roman" w:eastAsia="PMingLiU" w:hAnsi="Times New Roman" w:cs="Times New Roman"/>
          <w:sz w:val="20"/>
          <w:szCs w:val="20"/>
        </w:rPr>
      </w:pPr>
    </w:p>
    <w:p w14:paraId="5E2ABB41" w14:textId="77777777" w:rsidR="003B78BA" w:rsidRDefault="003B78BA">
      <w:pPr>
        <w:rPr>
          <w:rFonts w:ascii="Times New Roman" w:eastAsia="PMingLiU" w:hAnsi="Times New Roman" w:cs="Times New Roman"/>
          <w:sz w:val="20"/>
          <w:szCs w:val="20"/>
        </w:rPr>
      </w:pPr>
      <w:r>
        <w:rPr>
          <w:rFonts w:ascii="Times New Roman" w:eastAsia="PMingLiU" w:hAnsi="Times New Roman" w:cs="Times New Roman"/>
          <w:sz w:val="20"/>
          <w:szCs w:val="20"/>
        </w:rPr>
        <w:br w:type="page"/>
      </w:r>
    </w:p>
    <w:p w14:paraId="053EEFCF" w14:textId="30FF25B6" w:rsidR="002D4061" w:rsidRPr="00850ACE" w:rsidRDefault="003B78BA" w:rsidP="00850ACE">
      <w:pPr>
        <w:snapToGrid w:val="0"/>
        <w:spacing w:line="480" w:lineRule="auto"/>
        <w:jc w:val="center"/>
        <w:rPr>
          <w:rFonts w:ascii="Times New Roman" w:hAnsi="Times New Roman" w:cs="Times New Roman"/>
          <w:b/>
          <w:bCs/>
        </w:rPr>
      </w:pPr>
      <w:r w:rsidRPr="00850ACE">
        <w:rPr>
          <w:rFonts w:ascii="Times New Roman" w:eastAsia="PMingLiU" w:hAnsi="Times New Roman" w:cs="Times New Roman"/>
          <w:b/>
          <w:bCs/>
        </w:rPr>
        <w:lastRenderedPageBreak/>
        <w:t>Reference</w:t>
      </w:r>
    </w:p>
    <w:p w14:paraId="5A8278CB" w14:textId="77777777"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1. </w:t>
      </w:r>
      <w:r w:rsidRPr="00850ACE">
        <w:rPr>
          <w:rFonts w:ascii="Times New Roman" w:hAnsi="Times New Roman" w:cs="Times New Roman"/>
          <w:sz w:val="20"/>
          <w:szCs w:val="20"/>
        </w:rPr>
        <w:tab/>
        <w:t xml:space="preserve">Hsu Y, Chen G, Chen P, Lin S. </w:t>
      </w:r>
      <w:proofErr w:type="spellStart"/>
      <w:r w:rsidRPr="00850ACE">
        <w:rPr>
          <w:rFonts w:ascii="Times New Roman" w:hAnsi="Times New Roman" w:cs="Times New Roman"/>
          <w:sz w:val="20"/>
          <w:szCs w:val="20"/>
        </w:rPr>
        <w:t>Postacute</w:t>
      </w:r>
      <w:proofErr w:type="spellEnd"/>
      <w:r w:rsidRPr="00850ACE">
        <w:rPr>
          <w:rFonts w:ascii="Times New Roman" w:hAnsi="Times New Roman" w:cs="Times New Roman"/>
          <w:sz w:val="20"/>
          <w:szCs w:val="20"/>
        </w:rPr>
        <w:t xml:space="preserve"> care model of stroke in one hospital. Tzu Chi Med. J. 31:260–5. </w:t>
      </w:r>
    </w:p>
    <w:p w14:paraId="5A60DE1C" w14:textId="33C4D4A3"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2. </w:t>
      </w:r>
      <w:r w:rsidRPr="00850ACE">
        <w:rPr>
          <w:rFonts w:ascii="Times New Roman" w:hAnsi="Times New Roman" w:cs="Times New Roman"/>
          <w:sz w:val="20"/>
          <w:szCs w:val="20"/>
        </w:rPr>
        <w:tab/>
      </w:r>
      <w:proofErr w:type="spellStart"/>
      <w:r w:rsidRPr="00850ACE">
        <w:rPr>
          <w:rFonts w:ascii="Times New Roman" w:hAnsi="Times New Roman" w:cs="Times New Roman"/>
          <w:sz w:val="20"/>
          <w:szCs w:val="20"/>
        </w:rPr>
        <w:t>Paolucci</w:t>
      </w:r>
      <w:proofErr w:type="spellEnd"/>
      <w:r w:rsidRPr="00850ACE">
        <w:rPr>
          <w:rFonts w:ascii="Times New Roman" w:hAnsi="Times New Roman" w:cs="Times New Roman"/>
          <w:sz w:val="20"/>
          <w:szCs w:val="20"/>
        </w:rPr>
        <w:t xml:space="preserve"> S, Antonucci G, Grasso MG, </w:t>
      </w:r>
      <w:proofErr w:type="spellStart"/>
      <w:r w:rsidRPr="00850ACE">
        <w:rPr>
          <w:rFonts w:ascii="Times New Roman" w:hAnsi="Times New Roman" w:cs="Times New Roman"/>
          <w:sz w:val="20"/>
          <w:szCs w:val="20"/>
        </w:rPr>
        <w:t>Bragoni</w:t>
      </w:r>
      <w:proofErr w:type="spellEnd"/>
      <w:r w:rsidRPr="00850ACE">
        <w:rPr>
          <w:rFonts w:ascii="Times New Roman" w:hAnsi="Times New Roman" w:cs="Times New Roman"/>
          <w:sz w:val="20"/>
          <w:szCs w:val="20"/>
        </w:rPr>
        <w:t xml:space="preserve"> M, </w:t>
      </w:r>
      <w:proofErr w:type="spellStart"/>
      <w:r w:rsidRPr="00850ACE">
        <w:rPr>
          <w:rFonts w:ascii="Times New Roman" w:hAnsi="Times New Roman" w:cs="Times New Roman"/>
          <w:sz w:val="20"/>
          <w:szCs w:val="20"/>
        </w:rPr>
        <w:t>Coiro</w:t>
      </w:r>
      <w:proofErr w:type="spellEnd"/>
      <w:r w:rsidRPr="00850ACE">
        <w:rPr>
          <w:rFonts w:ascii="Times New Roman" w:hAnsi="Times New Roman" w:cs="Times New Roman"/>
          <w:sz w:val="20"/>
          <w:szCs w:val="20"/>
        </w:rPr>
        <w:t xml:space="preserve"> P, De Angelis D, et al. Functional Outcome of Ischemic and Hemorrhagic Stroke Patients after Inpatient Rehabilitation: A Matched Comparison. Stroke. 2003</w:t>
      </w:r>
      <w:r w:rsidR="00850ACE">
        <w:rPr>
          <w:rFonts w:ascii="Times New Roman" w:hAnsi="Times New Roman" w:cs="Times New Roman"/>
          <w:sz w:val="20"/>
          <w:szCs w:val="20"/>
        </w:rPr>
        <w:t>.</w:t>
      </w:r>
    </w:p>
    <w:p w14:paraId="5135B442" w14:textId="20C7FA0E"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3. </w:t>
      </w:r>
      <w:r w:rsidRPr="00850ACE">
        <w:rPr>
          <w:rFonts w:ascii="Times New Roman" w:hAnsi="Times New Roman" w:cs="Times New Roman"/>
          <w:sz w:val="20"/>
          <w:szCs w:val="20"/>
        </w:rPr>
        <w:tab/>
      </w:r>
      <w:proofErr w:type="spellStart"/>
      <w:r w:rsidRPr="00850ACE">
        <w:rPr>
          <w:rFonts w:ascii="Times New Roman" w:hAnsi="Times New Roman" w:cs="Times New Roman"/>
          <w:sz w:val="20"/>
          <w:szCs w:val="20"/>
        </w:rPr>
        <w:t>Perna</w:t>
      </w:r>
      <w:proofErr w:type="spellEnd"/>
      <w:r w:rsidRPr="00850ACE">
        <w:rPr>
          <w:rFonts w:ascii="Times New Roman" w:hAnsi="Times New Roman" w:cs="Times New Roman"/>
          <w:sz w:val="20"/>
          <w:szCs w:val="20"/>
        </w:rPr>
        <w:t xml:space="preserve"> R, Temple J. Rehabilitation Outcomes: Ischemic versus Hemorrhagic Strokes. </w:t>
      </w:r>
      <w:proofErr w:type="spellStart"/>
      <w:r w:rsidRPr="00850ACE">
        <w:rPr>
          <w:rFonts w:ascii="Times New Roman" w:hAnsi="Times New Roman" w:cs="Times New Roman"/>
          <w:sz w:val="20"/>
          <w:szCs w:val="20"/>
        </w:rPr>
        <w:t>Behav</w:t>
      </w:r>
      <w:proofErr w:type="spellEnd"/>
      <w:r w:rsidRPr="00850ACE">
        <w:rPr>
          <w:rFonts w:ascii="Times New Roman" w:hAnsi="Times New Roman" w:cs="Times New Roman"/>
          <w:sz w:val="20"/>
          <w:szCs w:val="20"/>
        </w:rPr>
        <w:t>. Neurol. 2015</w:t>
      </w:r>
      <w:r w:rsidR="00850ACE">
        <w:rPr>
          <w:rFonts w:ascii="Times New Roman" w:hAnsi="Times New Roman" w:cs="Times New Roman"/>
          <w:sz w:val="20"/>
          <w:szCs w:val="20"/>
        </w:rPr>
        <w:t>.</w:t>
      </w:r>
    </w:p>
    <w:p w14:paraId="14512AE3" w14:textId="0B622954"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4. </w:t>
      </w:r>
      <w:r w:rsidRPr="00850ACE">
        <w:rPr>
          <w:rFonts w:ascii="Times New Roman" w:hAnsi="Times New Roman" w:cs="Times New Roman"/>
          <w:sz w:val="20"/>
          <w:szCs w:val="20"/>
        </w:rPr>
        <w:tab/>
        <w:t xml:space="preserve">Kelly PJ, </w:t>
      </w:r>
      <w:proofErr w:type="spellStart"/>
      <w:r w:rsidRPr="00850ACE">
        <w:rPr>
          <w:rFonts w:ascii="Times New Roman" w:hAnsi="Times New Roman" w:cs="Times New Roman"/>
          <w:sz w:val="20"/>
          <w:szCs w:val="20"/>
        </w:rPr>
        <w:t>Furie</w:t>
      </w:r>
      <w:proofErr w:type="spellEnd"/>
      <w:r w:rsidRPr="00850ACE">
        <w:rPr>
          <w:rFonts w:ascii="Times New Roman" w:hAnsi="Times New Roman" w:cs="Times New Roman"/>
          <w:sz w:val="20"/>
          <w:szCs w:val="20"/>
        </w:rPr>
        <w:t xml:space="preserve"> KL, Shafqat S, Rallis N, Chang Y, Stein J. Functional recovery following rehabilitation after hemorrhagic and ischemic stroke. Arch. Phys. Med. </w:t>
      </w:r>
      <w:proofErr w:type="spellStart"/>
      <w:r w:rsidRPr="00850ACE">
        <w:rPr>
          <w:rFonts w:ascii="Times New Roman" w:hAnsi="Times New Roman" w:cs="Times New Roman"/>
          <w:sz w:val="20"/>
          <w:szCs w:val="20"/>
        </w:rPr>
        <w:t>Rehabil</w:t>
      </w:r>
      <w:proofErr w:type="spellEnd"/>
      <w:r w:rsidRPr="00850ACE">
        <w:rPr>
          <w:rFonts w:ascii="Times New Roman" w:hAnsi="Times New Roman" w:cs="Times New Roman"/>
          <w:sz w:val="20"/>
          <w:szCs w:val="20"/>
        </w:rPr>
        <w:t>. 2003</w:t>
      </w:r>
      <w:r w:rsidR="00850ACE">
        <w:rPr>
          <w:rFonts w:ascii="Times New Roman" w:hAnsi="Times New Roman" w:cs="Times New Roman"/>
          <w:sz w:val="20"/>
          <w:szCs w:val="20"/>
        </w:rPr>
        <w:t>.</w:t>
      </w:r>
    </w:p>
    <w:p w14:paraId="08E6F0F4" w14:textId="34B4CAC1"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5. </w:t>
      </w:r>
      <w:r w:rsidRPr="00850ACE">
        <w:rPr>
          <w:rFonts w:ascii="Times New Roman" w:hAnsi="Times New Roman" w:cs="Times New Roman"/>
          <w:sz w:val="20"/>
          <w:szCs w:val="20"/>
        </w:rPr>
        <w:tab/>
        <w:t xml:space="preserve">Chae J, </w:t>
      </w:r>
      <w:proofErr w:type="spellStart"/>
      <w:r w:rsidRPr="00850ACE">
        <w:rPr>
          <w:rFonts w:ascii="Times New Roman" w:hAnsi="Times New Roman" w:cs="Times New Roman"/>
          <w:sz w:val="20"/>
          <w:szCs w:val="20"/>
        </w:rPr>
        <w:t>Zorowitz</w:t>
      </w:r>
      <w:proofErr w:type="spellEnd"/>
      <w:r w:rsidRPr="00850ACE">
        <w:rPr>
          <w:rFonts w:ascii="Times New Roman" w:hAnsi="Times New Roman" w:cs="Times New Roman"/>
          <w:sz w:val="20"/>
          <w:szCs w:val="20"/>
        </w:rPr>
        <w:t xml:space="preserve"> RD, Johnston M V. FUNCTIONAL OUTCOME OF HEMORRHAGIC AND NONHEMORRHAGIC STROKE PATIENTS AFTER IN-PATIENT REHABILITATION. Am. J. Phys. Med. </w:t>
      </w:r>
      <w:proofErr w:type="spellStart"/>
      <w:r w:rsidRPr="00850ACE">
        <w:rPr>
          <w:rFonts w:ascii="Times New Roman" w:hAnsi="Times New Roman" w:cs="Times New Roman"/>
          <w:sz w:val="20"/>
          <w:szCs w:val="20"/>
        </w:rPr>
        <w:t>Rehabil</w:t>
      </w:r>
      <w:proofErr w:type="spellEnd"/>
      <w:r w:rsidRPr="00850ACE">
        <w:rPr>
          <w:rFonts w:ascii="Times New Roman" w:hAnsi="Times New Roman" w:cs="Times New Roman"/>
          <w:sz w:val="20"/>
          <w:szCs w:val="20"/>
        </w:rPr>
        <w:t>. 1996</w:t>
      </w:r>
      <w:r w:rsidR="00850ACE">
        <w:rPr>
          <w:rFonts w:ascii="Times New Roman" w:hAnsi="Times New Roman" w:cs="Times New Roman"/>
          <w:sz w:val="20"/>
          <w:szCs w:val="20"/>
        </w:rPr>
        <w:t>.</w:t>
      </w:r>
    </w:p>
    <w:p w14:paraId="1EB673BE" w14:textId="77777777"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6. </w:t>
      </w:r>
      <w:r w:rsidRPr="00850ACE">
        <w:rPr>
          <w:rFonts w:ascii="Times New Roman" w:hAnsi="Times New Roman" w:cs="Times New Roman"/>
          <w:sz w:val="20"/>
          <w:szCs w:val="20"/>
        </w:rPr>
        <w:tab/>
        <w:t xml:space="preserve">Bhalla A, Wang Y, Rudd A, Wolfe CDA. Differences in outcome and predictors between ischemic and intracerebral hemorrhage: The South London Stroke Register. Stroke. </w:t>
      </w:r>
      <w:proofErr w:type="gramStart"/>
      <w:r w:rsidRPr="00850ACE">
        <w:rPr>
          <w:rFonts w:ascii="Times New Roman" w:hAnsi="Times New Roman" w:cs="Times New Roman"/>
          <w:sz w:val="20"/>
          <w:szCs w:val="20"/>
        </w:rPr>
        <w:t>2013;44:2174</w:t>
      </w:r>
      <w:proofErr w:type="gramEnd"/>
      <w:r w:rsidRPr="00850ACE">
        <w:rPr>
          <w:rFonts w:ascii="Times New Roman" w:hAnsi="Times New Roman" w:cs="Times New Roman"/>
          <w:sz w:val="20"/>
          <w:szCs w:val="20"/>
        </w:rPr>
        <w:t xml:space="preserve">–81. </w:t>
      </w:r>
    </w:p>
    <w:p w14:paraId="58831537" w14:textId="77777777"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7. </w:t>
      </w:r>
      <w:r w:rsidRPr="00850ACE">
        <w:rPr>
          <w:rFonts w:ascii="Times New Roman" w:hAnsi="Times New Roman" w:cs="Times New Roman"/>
          <w:sz w:val="20"/>
          <w:szCs w:val="20"/>
        </w:rPr>
        <w:tab/>
        <w:t xml:space="preserve">Chiu D, Peterson L, Elkind MSV, </w:t>
      </w:r>
      <w:proofErr w:type="spellStart"/>
      <w:r w:rsidRPr="00850ACE">
        <w:rPr>
          <w:rFonts w:ascii="Times New Roman" w:hAnsi="Times New Roman" w:cs="Times New Roman"/>
          <w:sz w:val="20"/>
          <w:szCs w:val="20"/>
        </w:rPr>
        <w:t>Rosand</w:t>
      </w:r>
      <w:proofErr w:type="spellEnd"/>
      <w:r w:rsidRPr="00850ACE">
        <w:rPr>
          <w:rFonts w:ascii="Times New Roman" w:hAnsi="Times New Roman" w:cs="Times New Roman"/>
          <w:sz w:val="20"/>
          <w:szCs w:val="20"/>
        </w:rPr>
        <w:t xml:space="preserve"> J, Gerber LM, Silverstein MD. Comparison of Outcomes after Intracerebral Hemorrhage and Ischemic Stroke. J. Stroke </w:t>
      </w:r>
      <w:proofErr w:type="spellStart"/>
      <w:r w:rsidRPr="00850ACE">
        <w:rPr>
          <w:rFonts w:ascii="Times New Roman" w:hAnsi="Times New Roman" w:cs="Times New Roman"/>
          <w:sz w:val="20"/>
          <w:szCs w:val="20"/>
        </w:rPr>
        <w:t>Cerebrovasc</w:t>
      </w:r>
      <w:proofErr w:type="spellEnd"/>
      <w:r w:rsidRPr="00850ACE">
        <w:rPr>
          <w:rFonts w:ascii="Times New Roman" w:hAnsi="Times New Roman" w:cs="Times New Roman"/>
          <w:sz w:val="20"/>
          <w:szCs w:val="20"/>
        </w:rPr>
        <w:t xml:space="preserve">. Dis. [Internet]. </w:t>
      </w:r>
      <w:proofErr w:type="gramStart"/>
      <w:r w:rsidRPr="00850ACE">
        <w:rPr>
          <w:rFonts w:ascii="Times New Roman" w:hAnsi="Times New Roman" w:cs="Times New Roman"/>
          <w:sz w:val="20"/>
          <w:szCs w:val="20"/>
        </w:rPr>
        <w:t>2010;19:225</w:t>
      </w:r>
      <w:proofErr w:type="gramEnd"/>
      <w:r w:rsidRPr="00850ACE">
        <w:rPr>
          <w:rFonts w:ascii="Times New Roman" w:hAnsi="Times New Roman" w:cs="Times New Roman"/>
          <w:sz w:val="20"/>
          <w:szCs w:val="20"/>
        </w:rPr>
        <w:t>–9. Available from: http://dx.doi.org/10.1016/j.jstrokecerebrovasdis.2009.06.002</w:t>
      </w:r>
    </w:p>
    <w:p w14:paraId="37D1CCFA" w14:textId="3DDE8B3E" w:rsidR="002D4061" w:rsidRPr="00850ACE" w:rsidRDefault="002D4061">
      <w:pPr>
        <w:widowControl w:val="0"/>
        <w:autoSpaceDE w:val="0"/>
        <w:autoSpaceDN w:val="0"/>
        <w:adjustRightInd w:val="0"/>
        <w:spacing w:after="140" w:line="288" w:lineRule="auto"/>
        <w:ind w:left="640" w:hanging="640"/>
        <w:rPr>
          <w:rFonts w:ascii="Times New Roman" w:hAnsi="Times New Roman" w:cs="Times New Roman"/>
          <w:sz w:val="20"/>
          <w:szCs w:val="20"/>
        </w:rPr>
      </w:pPr>
      <w:r w:rsidRPr="00850ACE">
        <w:rPr>
          <w:rFonts w:ascii="Times New Roman" w:hAnsi="Times New Roman" w:cs="Times New Roman"/>
          <w:sz w:val="20"/>
          <w:szCs w:val="20"/>
        </w:rPr>
        <w:t xml:space="preserve">8. </w:t>
      </w:r>
      <w:r w:rsidRPr="00850ACE">
        <w:rPr>
          <w:rFonts w:ascii="Times New Roman" w:hAnsi="Times New Roman" w:cs="Times New Roman"/>
          <w:sz w:val="20"/>
          <w:szCs w:val="20"/>
        </w:rPr>
        <w:tab/>
        <w:t xml:space="preserve">HS. J, H. N, HO. R, TS. O. Intracerebral hemorrhage versus infarction: stroke severity, risk factors, and prognosis. Ann. Neurol. [Internet]. </w:t>
      </w:r>
      <w:proofErr w:type="gramStart"/>
      <w:r w:rsidRPr="00850ACE">
        <w:rPr>
          <w:rFonts w:ascii="Times New Roman" w:hAnsi="Times New Roman" w:cs="Times New Roman"/>
          <w:sz w:val="20"/>
          <w:szCs w:val="20"/>
        </w:rPr>
        <w:t>1995;38:45</w:t>
      </w:r>
      <w:proofErr w:type="gramEnd"/>
      <w:r w:rsidRPr="00850ACE">
        <w:rPr>
          <w:rFonts w:ascii="Times New Roman" w:hAnsi="Times New Roman" w:cs="Times New Roman"/>
          <w:sz w:val="20"/>
          <w:szCs w:val="20"/>
        </w:rPr>
        <w:t>–50.</w:t>
      </w:r>
    </w:p>
    <w:p w14:paraId="06B15F2D" w14:textId="5264A69C" w:rsidR="002D4061" w:rsidRPr="00850ACE" w:rsidRDefault="002D4061">
      <w:pPr>
        <w:widowControl w:val="0"/>
        <w:autoSpaceDE w:val="0"/>
        <w:autoSpaceDN w:val="0"/>
        <w:adjustRightInd w:val="0"/>
        <w:spacing w:after="140" w:line="288" w:lineRule="auto"/>
        <w:ind w:left="640" w:hanging="640"/>
        <w:rPr>
          <w:sz w:val="20"/>
          <w:szCs w:val="20"/>
        </w:rPr>
      </w:pPr>
      <w:r w:rsidRPr="00850ACE">
        <w:rPr>
          <w:rFonts w:ascii="Times New Roman" w:hAnsi="Times New Roman" w:cs="Times New Roman"/>
          <w:sz w:val="20"/>
          <w:szCs w:val="20"/>
        </w:rPr>
        <w:t xml:space="preserve">9. </w:t>
      </w:r>
      <w:r w:rsidRPr="00850ACE">
        <w:rPr>
          <w:rFonts w:ascii="Times New Roman" w:hAnsi="Times New Roman" w:cs="Times New Roman"/>
          <w:sz w:val="20"/>
          <w:szCs w:val="20"/>
        </w:rPr>
        <w:tab/>
        <w:t xml:space="preserve">Franke CL, Van </w:t>
      </w:r>
      <w:proofErr w:type="spellStart"/>
      <w:r w:rsidRPr="00850ACE">
        <w:rPr>
          <w:rFonts w:ascii="Times New Roman" w:hAnsi="Times New Roman" w:cs="Times New Roman"/>
          <w:sz w:val="20"/>
          <w:szCs w:val="20"/>
        </w:rPr>
        <w:t>Swielen</w:t>
      </w:r>
      <w:proofErr w:type="spellEnd"/>
      <w:r w:rsidRPr="00850ACE">
        <w:rPr>
          <w:rFonts w:ascii="Times New Roman" w:hAnsi="Times New Roman" w:cs="Times New Roman"/>
          <w:sz w:val="20"/>
          <w:szCs w:val="20"/>
        </w:rPr>
        <w:t xml:space="preserve"> JC, </w:t>
      </w:r>
      <w:proofErr w:type="spellStart"/>
      <w:r w:rsidRPr="00850ACE">
        <w:rPr>
          <w:rFonts w:ascii="Times New Roman" w:hAnsi="Times New Roman" w:cs="Times New Roman"/>
          <w:sz w:val="20"/>
          <w:szCs w:val="20"/>
        </w:rPr>
        <w:t>Algra</w:t>
      </w:r>
      <w:proofErr w:type="spellEnd"/>
      <w:r w:rsidRPr="00850ACE">
        <w:rPr>
          <w:rFonts w:ascii="Times New Roman" w:hAnsi="Times New Roman" w:cs="Times New Roman"/>
          <w:sz w:val="20"/>
          <w:szCs w:val="20"/>
        </w:rPr>
        <w:t xml:space="preserve"> A, Van </w:t>
      </w:r>
      <w:proofErr w:type="spellStart"/>
      <w:r w:rsidRPr="00850ACE">
        <w:rPr>
          <w:rFonts w:ascii="Times New Roman" w:hAnsi="Times New Roman" w:cs="Times New Roman"/>
          <w:sz w:val="20"/>
          <w:szCs w:val="20"/>
        </w:rPr>
        <w:t>Gijn</w:t>
      </w:r>
      <w:proofErr w:type="spellEnd"/>
      <w:r w:rsidRPr="00850ACE">
        <w:rPr>
          <w:rFonts w:ascii="Times New Roman" w:hAnsi="Times New Roman" w:cs="Times New Roman"/>
          <w:sz w:val="20"/>
          <w:szCs w:val="20"/>
        </w:rPr>
        <w:t xml:space="preserve"> J. Prognostic factors in patients with intracerebral </w:t>
      </w:r>
      <w:proofErr w:type="spellStart"/>
      <w:r w:rsidRPr="00850ACE">
        <w:rPr>
          <w:rFonts w:ascii="Times New Roman" w:hAnsi="Times New Roman" w:cs="Times New Roman"/>
          <w:sz w:val="20"/>
          <w:szCs w:val="20"/>
        </w:rPr>
        <w:t>haematoma</w:t>
      </w:r>
      <w:proofErr w:type="spellEnd"/>
      <w:r w:rsidRPr="00850ACE">
        <w:rPr>
          <w:rFonts w:ascii="Times New Roman" w:hAnsi="Times New Roman" w:cs="Times New Roman"/>
          <w:sz w:val="20"/>
          <w:szCs w:val="20"/>
        </w:rPr>
        <w:t xml:space="preserve">. J. Neurol. </w:t>
      </w:r>
      <w:proofErr w:type="spellStart"/>
      <w:r w:rsidRPr="00850ACE">
        <w:rPr>
          <w:rFonts w:ascii="Times New Roman" w:hAnsi="Times New Roman" w:cs="Times New Roman"/>
          <w:sz w:val="20"/>
          <w:szCs w:val="20"/>
        </w:rPr>
        <w:t>Neurosurg</w:t>
      </w:r>
      <w:proofErr w:type="spellEnd"/>
      <w:r w:rsidRPr="00850ACE">
        <w:rPr>
          <w:rFonts w:ascii="Times New Roman" w:hAnsi="Times New Roman" w:cs="Times New Roman"/>
          <w:sz w:val="20"/>
          <w:szCs w:val="20"/>
        </w:rPr>
        <w:t>. Psychiatry. 1992</w:t>
      </w:r>
      <w:r w:rsidR="00850ACE">
        <w:rPr>
          <w:rFonts w:ascii="Times New Roman" w:hAnsi="Times New Roman" w:cs="Times New Roman"/>
          <w:sz w:val="20"/>
          <w:szCs w:val="20"/>
        </w:rPr>
        <w:t>.</w:t>
      </w:r>
    </w:p>
    <w:p w14:paraId="27A8586C" w14:textId="5D9CF858" w:rsidR="003B78BA" w:rsidRPr="003241D2" w:rsidRDefault="003B78BA" w:rsidP="003241D2">
      <w:pPr>
        <w:snapToGrid w:val="0"/>
        <w:spacing w:line="480" w:lineRule="auto"/>
        <w:jc w:val="both"/>
        <w:rPr>
          <w:rFonts w:ascii="Times New Roman" w:eastAsia="PMingLiU" w:hAnsi="Times New Roman" w:cs="Times New Roman"/>
          <w:sz w:val="20"/>
          <w:szCs w:val="20"/>
        </w:rPr>
      </w:pPr>
    </w:p>
    <w:sectPr w:rsidR="003B78BA" w:rsidRPr="003241D2" w:rsidSect="00AD3171">
      <w:footerReference w:type="default" r:id="rId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E9E14" w14:textId="77777777" w:rsidR="004B13FB" w:rsidRDefault="004B13FB">
      <w:r>
        <w:separator/>
      </w:r>
    </w:p>
  </w:endnote>
  <w:endnote w:type="continuationSeparator" w:id="0">
    <w:p w14:paraId="4EEFB0CB" w14:textId="77777777" w:rsidR="004B13FB" w:rsidRDefault="004B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225376"/>
      <w:docPartObj>
        <w:docPartGallery w:val="Page Numbers (Bottom of Page)"/>
        <w:docPartUnique/>
      </w:docPartObj>
    </w:sdtPr>
    <w:sdtEndPr>
      <w:rPr>
        <w:noProof/>
      </w:rPr>
    </w:sdtEndPr>
    <w:sdtContent>
      <w:p w14:paraId="64D5310D" w14:textId="77777777" w:rsidR="00E432B7" w:rsidRDefault="0096443A">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1C7B13D" w14:textId="77777777" w:rsidR="00E432B7" w:rsidRDefault="00AD3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D0F6D" w14:textId="77777777" w:rsidR="004B13FB" w:rsidRDefault="004B13FB">
      <w:r>
        <w:separator/>
      </w:r>
    </w:p>
  </w:footnote>
  <w:footnote w:type="continuationSeparator" w:id="0">
    <w:p w14:paraId="0B1E905B" w14:textId="77777777" w:rsidR="004B13FB" w:rsidRDefault="004B1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443F05"/>
    <w:multiLevelType w:val="hybridMultilevel"/>
    <w:tmpl w:val="ACDC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10"/>
    <w:rsid w:val="0001274B"/>
    <w:rsid w:val="00082BFD"/>
    <w:rsid w:val="00086830"/>
    <w:rsid w:val="00146273"/>
    <w:rsid w:val="00156D17"/>
    <w:rsid w:val="001F6DF8"/>
    <w:rsid w:val="00211487"/>
    <w:rsid w:val="00233C83"/>
    <w:rsid w:val="00242ADD"/>
    <w:rsid w:val="002A5344"/>
    <w:rsid w:val="002C4642"/>
    <w:rsid w:val="002D4061"/>
    <w:rsid w:val="002F4959"/>
    <w:rsid w:val="0030750C"/>
    <w:rsid w:val="003241D2"/>
    <w:rsid w:val="003B0CED"/>
    <w:rsid w:val="003B78BA"/>
    <w:rsid w:val="003C64D8"/>
    <w:rsid w:val="003E1801"/>
    <w:rsid w:val="0040246B"/>
    <w:rsid w:val="004028B0"/>
    <w:rsid w:val="00412328"/>
    <w:rsid w:val="0042106A"/>
    <w:rsid w:val="004323D1"/>
    <w:rsid w:val="00483CA7"/>
    <w:rsid w:val="0049548E"/>
    <w:rsid w:val="004B13FB"/>
    <w:rsid w:val="00504CF8"/>
    <w:rsid w:val="005159CC"/>
    <w:rsid w:val="00547137"/>
    <w:rsid w:val="00560692"/>
    <w:rsid w:val="00560F9A"/>
    <w:rsid w:val="005A5290"/>
    <w:rsid w:val="005F4A29"/>
    <w:rsid w:val="0063532A"/>
    <w:rsid w:val="00656007"/>
    <w:rsid w:val="006610DF"/>
    <w:rsid w:val="00684049"/>
    <w:rsid w:val="006B599E"/>
    <w:rsid w:val="006E0A4D"/>
    <w:rsid w:val="0070264F"/>
    <w:rsid w:val="007411A8"/>
    <w:rsid w:val="00756392"/>
    <w:rsid w:val="00761653"/>
    <w:rsid w:val="00811EEC"/>
    <w:rsid w:val="00824799"/>
    <w:rsid w:val="00827711"/>
    <w:rsid w:val="00832CC8"/>
    <w:rsid w:val="00850ACE"/>
    <w:rsid w:val="00881E65"/>
    <w:rsid w:val="008C42FB"/>
    <w:rsid w:val="008E2E5E"/>
    <w:rsid w:val="008F6513"/>
    <w:rsid w:val="00920181"/>
    <w:rsid w:val="00926A39"/>
    <w:rsid w:val="0096443A"/>
    <w:rsid w:val="009A285D"/>
    <w:rsid w:val="009D1A47"/>
    <w:rsid w:val="00A156FF"/>
    <w:rsid w:val="00A35DE7"/>
    <w:rsid w:val="00A4731D"/>
    <w:rsid w:val="00AD3171"/>
    <w:rsid w:val="00B136F9"/>
    <w:rsid w:val="00B75F5E"/>
    <w:rsid w:val="00B84510"/>
    <w:rsid w:val="00BB29FF"/>
    <w:rsid w:val="00BB5147"/>
    <w:rsid w:val="00BB6F98"/>
    <w:rsid w:val="00C53165"/>
    <w:rsid w:val="00C672EB"/>
    <w:rsid w:val="00C821DC"/>
    <w:rsid w:val="00CC313C"/>
    <w:rsid w:val="00CD4393"/>
    <w:rsid w:val="00D7519A"/>
    <w:rsid w:val="00D93B24"/>
    <w:rsid w:val="00DF0F0F"/>
    <w:rsid w:val="00E22C13"/>
    <w:rsid w:val="00E40549"/>
    <w:rsid w:val="00E82485"/>
    <w:rsid w:val="00F220D2"/>
    <w:rsid w:val="00F24067"/>
    <w:rsid w:val="00F51049"/>
    <w:rsid w:val="00F63055"/>
    <w:rsid w:val="00F7068B"/>
    <w:rsid w:val="00F7720B"/>
    <w:rsid w:val="00FB7814"/>
    <w:rsid w:val="00FC330D"/>
    <w:rsid w:val="00FF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8E749"/>
  <w15:chartTrackingRefBased/>
  <w15:docId w15:val="{EDE766B4-682C-2447-93DC-9395C12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20D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220D2"/>
    <w:rPr>
      <w:sz w:val="20"/>
      <w:szCs w:val="20"/>
      <w:lang w:val="en-US"/>
    </w:rPr>
  </w:style>
  <w:style w:type="character" w:styleId="Hyperlink">
    <w:name w:val="Hyperlink"/>
    <w:rsid w:val="00156D17"/>
    <w:rPr>
      <w:u w:val="single"/>
    </w:rPr>
  </w:style>
  <w:style w:type="paragraph" w:styleId="ListParagraph">
    <w:name w:val="List Paragraph"/>
    <w:basedOn w:val="Normal"/>
    <w:uiPriority w:val="34"/>
    <w:qFormat/>
    <w:rsid w:val="00402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191E-C856-A94F-A0C2-EEA3427D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展麟 朱</dc:creator>
  <cp:keywords/>
  <dc:description/>
  <cp:lastModifiedBy>Boon Lee</cp:lastModifiedBy>
  <cp:revision>2</cp:revision>
  <dcterms:created xsi:type="dcterms:W3CDTF">2020-08-05T23:17:00Z</dcterms:created>
  <dcterms:modified xsi:type="dcterms:W3CDTF">2020-08-05T23:17:00Z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9d18f1e9-5158-393b-8548-e6c427799ec2</vt:lpwstr>
  </property>
  <property fmtid="{D5CDD505-2E9C-101B-9397-08002B2CF9AE}" pid="4" name="Mendeley Citation Style_1">
    <vt:lpwstr>http://www.zotero.org/styles/archives-of-physical-medicine-and-rehabilitation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http://www.zotero.org/styles/archives-of-physical-medicine-and-rehabilitation</vt:lpwstr>
  </property>
  <property fmtid="{D5CDD505-2E9C-101B-9397-08002B2CF9AE}" pid="10" name="Mendeley Recent Style Name 2_1">
    <vt:lpwstr>Archives of Physical Medicine and Rehabilitation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http://www.zotero.org/styles/journal-of-neurology</vt:lpwstr>
  </property>
  <property fmtid="{D5CDD505-2E9C-101B-9397-08002B2CF9AE}" pid="18" name="Mendeley Recent Style Name 6_1">
    <vt:lpwstr>Journal of Neurology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