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6E6" w:rsidRDefault="008206E6" w:rsidP="008206E6">
      <w:pPr>
        <w:pStyle w:val="MDPI43tablefooter"/>
        <w:spacing w:after="240"/>
        <w:ind w:left="425" w:right="764"/>
        <w:jc w:val="left"/>
      </w:pPr>
      <w:r>
        <w:t>Table S1.- Comparison between</w:t>
      </w:r>
      <w:r w:rsidR="00127295">
        <w:t xml:space="preserve"> the</w:t>
      </w:r>
      <w:r>
        <w:t xml:space="preserve"> </w:t>
      </w:r>
      <w:r w:rsidR="002D3314">
        <w:t xml:space="preserve">control and CAD </w:t>
      </w:r>
      <w:r w:rsidR="00BB03AA">
        <w:t>patients</w:t>
      </w:r>
      <w:r w:rsidR="002D3314">
        <w:t>,</w:t>
      </w:r>
      <w:r w:rsidR="000855CC">
        <w:t xml:space="preserve"> and </w:t>
      </w:r>
      <w:r w:rsidR="00127295">
        <w:t>the</w:t>
      </w:r>
      <w:r w:rsidR="002D3314">
        <w:t xml:space="preserve"> control and CAD</w:t>
      </w:r>
      <w:r w:rsidR="00127295">
        <w:t xml:space="preserve"> </w:t>
      </w:r>
      <w:r w:rsidR="00FB3A42">
        <w:t>group</w:t>
      </w:r>
      <w:r w:rsidR="00127295">
        <w:t>s included in this study</w:t>
      </w:r>
    </w:p>
    <w:tbl>
      <w:tblPr>
        <w:tblpPr w:leftFromText="141" w:rightFromText="141" w:vertAnchor="page" w:horzAnchor="margin" w:tblpY="1891"/>
        <w:tblW w:w="12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985"/>
        <w:gridCol w:w="2126"/>
        <w:gridCol w:w="1045"/>
        <w:gridCol w:w="2216"/>
        <w:gridCol w:w="2126"/>
        <w:gridCol w:w="1011"/>
      </w:tblGrid>
      <w:tr w:rsidR="008206E6" w:rsidRPr="00E877FC" w:rsidTr="008206E6">
        <w:tc>
          <w:tcPr>
            <w:tcW w:w="22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b/>
                <w:i w:val="0"/>
              </w:rPr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06E6" w:rsidRPr="00910E65" w:rsidRDefault="00FB3A42" w:rsidP="008206E6">
            <w:pPr>
              <w:pStyle w:val="MDPI22heading2"/>
              <w:snapToGrid/>
              <w:spacing w:before="0" w:after="0" w:line="240" w:lineRule="auto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C</w:t>
            </w:r>
            <w:r w:rsidR="008206E6" w:rsidRPr="00910E65">
              <w:rPr>
                <w:b/>
                <w:i w:val="0"/>
              </w:rPr>
              <w:t>ontrol</w:t>
            </w:r>
            <w:r>
              <w:rPr>
                <w:b/>
                <w:i w:val="0"/>
              </w:rPr>
              <w:t xml:space="preserve"> </w:t>
            </w:r>
            <w:r w:rsidR="00CE51AE">
              <w:rPr>
                <w:b/>
                <w:i w:val="0"/>
              </w:rPr>
              <w:t>patients</w:t>
            </w:r>
            <w:r w:rsidR="00CE51AE" w:rsidRPr="00CE51AE">
              <w:rPr>
                <w:b/>
                <w:i w:val="0"/>
                <w:vertAlign w:val="superscript"/>
              </w:rPr>
              <w:t>a</w:t>
            </w:r>
          </w:p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 w:rsidRPr="00910E65">
              <w:rPr>
                <w:b/>
                <w:i w:val="0"/>
              </w:rPr>
              <w:t>(</w:t>
            </w:r>
            <w:r w:rsidRPr="00910E65">
              <w:rPr>
                <w:b/>
              </w:rPr>
              <w:t xml:space="preserve">n </w:t>
            </w:r>
            <w:r>
              <w:rPr>
                <w:b/>
                <w:i w:val="0"/>
              </w:rPr>
              <w:t xml:space="preserve">= </w:t>
            </w:r>
            <w:r w:rsidR="00225E03">
              <w:rPr>
                <w:b/>
                <w:i w:val="0"/>
              </w:rPr>
              <w:t>41</w:t>
            </w:r>
            <w:r w:rsidRPr="00910E65">
              <w:rPr>
                <w:b/>
                <w:i w:val="0"/>
              </w:rPr>
              <w:t>)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06E6" w:rsidRPr="00910E65" w:rsidRDefault="00FB3A42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C</w:t>
            </w:r>
            <w:r w:rsidR="008206E6">
              <w:rPr>
                <w:b/>
                <w:i w:val="0"/>
              </w:rPr>
              <w:t>ontrol</w:t>
            </w:r>
            <w:r>
              <w:rPr>
                <w:b/>
                <w:i w:val="0"/>
              </w:rPr>
              <w:t xml:space="preserve"> group</w:t>
            </w:r>
          </w:p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 w:rsidRPr="00910E65">
              <w:rPr>
                <w:b/>
                <w:i w:val="0"/>
              </w:rPr>
              <w:t>(</w:t>
            </w:r>
            <w:r w:rsidRPr="00910E65">
              <w:rPr>
                <w:b/>
              </w:rPr>
              <w:t xml:space="preserve">n </w:t>
            </w:r>
            <w:r>
              <w:rPr>
                <w:b/>
                <w:i w:val="0"/>
              </w:rPr>
              <w:t>= 23</w:t>
            </w:r>
            <w:r w:rsidRPr="00910E65">
              <w:rPr>
                <w:b/>
                <w:i w:val="0"/>
              </w:rPr>
              <w:t>)</w:t>
            </w:r>
          </w:p>
        </w:tc>
        <w:tc>
          <w:tcPr>
            <w:tcW w:w="1045" w:type="dxa"/>
            <w:tcBorders>
              <w:left w:val="nil"/>
              <w:bottom w:val="single" w:sz="4" w:space="0" w:color="auto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P</w:t>
            </w:r>
          </w:p>
        </w:tc>
        <w:tc>
          <w:tcPr>
            <w:tcW w:w="2216" w:type="dxa"/>
            <w:tcBorders>
              <w:left w:val="nil"/>
              <w:bottom w:val="single" w:sz="4" w:space="0" w:color="auto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 w:rsidRPr="00910E65">
              <w:rPr>
                <w:b/>
                <w:i w:val="0"/>
              </w:rPr>
              <w:t>CAD</w:t>
            </w:r>
            <w:r w:rsidR="00FB3A42">
              <w:rPr>
                <w:b/>
                <w:i w:val="0"/>
              </w:rPr>
              <w:t xml:space="preserve"> </w:t>
            </w:r>
            <w:r w:rsidR="00CE51AE">
              <w:rPr>
                <w:b/>
                <w:i w:val="0"/>
              </w:rPr>
              <w:t>patients</w:t>
            </w:r>
            <w:r w:rsidR="00CE51AE" w:rsidRPr="00CE51AE">
              <w:rPr>
                <w:b/>
                <w:i w:val="0"/>
                <w:vertAlign w:val="superscript"/>
              </w:rPr>
              <w:t>b</w:t>
            </w:r>
          </w:p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>
              <w:rPr>
                <w:b/>
              </w:rPr>
              <w:t>(</w:t>
            </w:r>
            <w:r w:rsidRPr="00910E65">
              <w:rPr>
                <w:b/>
              </w:rPr>
              <w:t xml:space="preserve">n </w:t>
            </w:r>
            <w:r>
              <w:rPr>
                <w:b/>
                <w:i w:val="0"/>
              </w:rPr>
              <w:t>= 4</w:t>
            </w:r>
            <w:r w:rsidRPr="00910E65">
              <w:rPr>
                <w:b/>
                <w:i w:val="0"/>
              </w:rPr>
              <w:t>3</w:t>
            </w:r>
            <w:r>
              <w:rPr>
                <w:b/>
                <w:i w:val="0"/>
              </w:rPr>
              <w:t>)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 w:rsidRPr="00910E65">
              <w:rPr>
                <w:b/>
                <w:i w:val="0"/>
              </w:rPr>
              <w:t>CAD</w:t>
            </w:r>
            <w:r w:rsidR="00FB3A42">
              <w:rPr>
                <w:b/>
                <w:i w:val="0"/>
              </w:rPr>
              <w:t xml:space="preserve"> group</w:t>
            </w:r>
          </w:p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 w:rsidRPr="00910E65">
              <w:rPr>
                <w:b/>
                <w:i w:val="0"/>
              </w:rPr>
              <w:t>(</w:t>
            </w:r>
            <w:r w:rsidRPr="00910E65">
              <w:rPr>
                <w:b/>
              </w:rPr>
              <w:t xml:space="preserve">n </w:t>
            </w:r>
            <w:r w:rsidRPr="00910E65">
              <w:rPr>
                <w:b/>
                <w:i w:val="0"/>
              </w:rPr>
              <w:t>= 16)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P</w:t>
            </w:r>
          </w:p>
        </w:tc>
      </w:tr>
      <w:tr w:rsidR="008206E6" w:rsidRPr="00135288" w:rsidTr="008206E6">
        <w:tc>
          <w:tcPr>
            <w:tcW w:w="2234" w:type="dxa"/>
            <w:tcBorders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Age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56.70 ± 1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89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54.96 ± 2.92</w:t>
            </w:r>
          </w:p>
        </w:tc>
        <w:tc>
          <w:tcPr>
            <w:tcW w:w="1045" w:type="dxa"/>
            <w:tcBorders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0.598</w:t>
            </w:r>
          </w:p>
        </w:tc>
        <w:tc>
          <w:tcPr>
            <w:tcW w:w="2216" w:type="dxa"/>
            <w:tcBorders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62.33 ± 0.96</w:t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63.56 ± 1.67</w:t>
            </w:r>
          </w:p>
        </w:tc>
        <w:tc>
          <w:tcPr>
            <w:tcW w:w="1011" w:type="dxa"/>
            <w:tcBorders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0.521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Gender (W/M)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041630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  <w:r w:rsidR="008206E6" w:rsidRPr="00910E65">
              <w:rPr>
                <w:i w:val="0"/>
              </w:rPr>
              <w:t>/</w:t>
            </w:r>
            <w:r>
              <w:rPr>
                <w:i w:val="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6/17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</w:t>
            </w:r>
            <w:r w:rsidR="002E56D0">
              <w:rPr>
                <w:i w:val="0"/>
              </w:rPr>
              <w:t>786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 xml:space="preserve"> 1/42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0/16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0.538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Statin use,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2E56D0">
              <w:rPr>
                <w:i w:val="0"/>
              </w:rPr>
              <w:t>6</w:t>
            </w:r>
            <w:r w:rsidRPr="00910E65">
              <w:rPr>
                <w:i w:val="0"/>
              </w:rPr>
              <w:t xml:space="preserve"> (</w:t>
            </w:r>
            <w:r>
              <w:rPr>
                <w:i w:val="0"/>
              </w:rPr>
              <w:t>3</w:t>
            </w:r>
            <w:r w:rsidR="002E56D0">
              <w:rPr>
                <w:i w:val="0"/>
              </w:rPr>
              <w:t>9</w:t>
            </w:r>
            <w:r w:rsidRPr="00910E65">
              <w:rPr>
                <w:i w:val="0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8 (35%)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0.7</w:t>
            </w:r>
            <w:r w:rsidR="002E56D0">
              <w:rPr>
                <w:i w:val="0"/>
              </w:rPr>
              <w:t>37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41 (95%)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14 (88%)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0.222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Fibrate,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Pr="00910E65">
              <w:rPr>
                <w:i w:val="0"/>
              </w:rPr>
              <w:t xml:space="preserve"> (</w:t>
            </w:r>
            <w:r>
              <w:rPr>
                <w:i w:val="0"/>
              </w:rPr>
              <w:t>2</w:t>
            </w:r>
            <w:r w:rsidRPr="00910E65">
              <w:rPr>
                <w:i w:val="0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0 (0%)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</w:t>
            </w:r>
            <w:r w:rsidR="00BB25A3">
              <w:rPr>
                <w:i w:val="0"/>
              </w:rPr>
              <w:t>450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3 (7%)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 (6%)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0.403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DM2,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2E56D0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  <w:r w:rsidR="008206E6">
              <w:rPr>
                <w:i w:val="0"/>
              </w:rPr>
              <w:t xml:space="preserve"> (</w:t>
            </w:r>
            <w:r>
              <w:rPr>
                <w:i w:val="0"/>
              </w:rPr>
              <w:t>17</w:t>
            </w:r>
            <w:r w:rsidR="008206E6" w:rsidRPr="00910E65">
              <w:rPr>
                <w:i w:val="0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4 (17%)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</w:t>
            </w:r>
            <w:r w:rsidR="002E56D0">
              <w:rPr>
                <w:i w:val="0"/>
              </w:rPr>
              <w:t>752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16 (37%)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6 (38%)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0.405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BMI (kg/m</w:t>
            </w:r>
            <w:r w:rsidRPr="00910E65">
              <w:rPr>
                <w:i w:val="0"/>
                <w:vertAlign w:val="superscript"/>
              </w:rPr>
              <w:t>2</w:t>
            </w:r>
            <w:r w:rsidRPr="00910E65">
              <w:rPr>
                <w:i w:val="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26.75</w:t>
            </w:r>
            <w:r w:rsidRPr="00910E65">
              <w:rPr>
                <w:i w:val="0"/>
              </w:rPr>
              <w:t xml:space="preserve"> ± 0.</w:t>
            </w:r>
            <w:r>
              <w:rPr>
                <w:i w:val="0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26.00 ± 0.64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0.380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26.92 ± 0.49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26.19 ± 0.77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0.458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SBP (mmHg)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119.02</w:t>
            </w:r>
            <w:r w:rsidRPr="00910E65">
              <w:rPr>
                <w:i w:val="0"/>
              </w:rPr>
              <w:t xml:space="preserve"> ± 2.</w:t>
            </w:r>
            <w:r>
              <w:rPr>
                <w:i w:val="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118.78 ± 2.76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0.934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126.82 ± 2.92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129.00 ± 4.51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0.636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DBP (mmHg)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 xml:space="preserve">70.00 (60.00 – 80.00)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BC732A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72.09 ± 2.28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0.787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70.00 (70.00 – 80.50)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BC732A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77.13 ± 3.11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0.752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Uric acid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7.0</w:t>
            </w:r>
            <w:r w:rsidRPr="00910E65">
              <w:rPr>
                <w:i w:val="0"/>
              </w:rPr>
              <w:t>9 ± 0.</w:t>
            </w:r>
            <w:r>
              <w:rPr>
                <w:i w:val="0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7.49 ± 0.29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0.224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6.37 ± 0.23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6.34 ± 0.42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0.910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Creatinine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0.98</w:t>
            </w:r>
            <w:r w:rsidRPr="00910E65">
              <w:rPr>
                <w:i w:val="0"/>
              </w:rPr>
              <w:t xml:space="preserve"> ± 0.0</w:t>
            </w:r>
            <w:r>
              <w:rPr>
                <w:i w:val="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0.95 ± 0.05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0.677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0.99 ± 0.03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1.01 ± 0.04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0.541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Magnesium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2.07</w:t>
            </w:r>
            <w:r w:rsidRPr="00910E65">
              <w:rPr>
                <w:i w:val="0"/>
              </w:rPr>
              <w:t xml:space="preserve"> ± 0.0</w:t>
            </w:r>
            <w:r>
              <w:rPr>
                <w:i w:val="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2.05 ± 0.04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0.784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2.09 ± 0.03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2.12 ± 0.05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0.505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Calcium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9.24 (8.97 – 9.49)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BC732A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9.20 ± 0.11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0.812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9.35 (9.00 – 9.59)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BC732A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9.20 ± 0.12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0.577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Phosphorous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3.9</w:t>
            </w:r>
            <w:r w:rsidRPr="00910E65">
              <w:rPr>
                <w:i w:val="0"/>
              </w:rPr>
              <w:t>1 ± 0.</w:t>
            </w:r>
            <w:r>
              <w:rPr>
                <w:i w:val="0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3.81 ± 0.14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0.540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3.76 ± 0.13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3.86 ± 0.18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0.661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Alkaline phosphatase (UL)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83.11 ± 3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87.17 ± 6.16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0.558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87.19 ± 4.02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85.68 ± 5.87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0.837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Glucose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90.16 ± 2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93.64 ± 5.77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0.881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90.30 ± 2.52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89.96 ± 4.20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0.947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Total cholesterol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137.24 ± 5</w:t>
            </w:r>
            <w:r w:rsidRPr="00910E65">
              <w:rPr>
                <w:i w:val="0"/>
              </w:rPr>
              <w:t>.7</w:t>
            </w:r>
            <w:r>
              <w:rPr>
                <w:i w:val="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130.04 ± 7.77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0.530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112.84 ± 3.47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118.66 ± 5.25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0.340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Triglycerides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111.11</w:t>
            </w:r>
            <w:r w:rsidRPr="00910E65">
              <w:rPr>
                <w:i w:val="0"/>
              </w:rPr>
              <w:t xml:space="preserve"> ± </w:t>
            </w:r>
            <w:r>
              <w:rPr>
                <w:i w:val="0"/>
              </w:rPr>
              <w:t>5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103.98 ± 7.07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0.557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108.88 ± 5.07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122.87 ± 8.60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0.137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LDL-cholesterol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82.13</w:t>
            </w:r>
            <w:r w:rsidRPr="00910E65">
              <w:rPr>
                <w:i w:val="0"/>
              </w:rPr>
              <w:t xml:space="preserve"> ± </w:t>
            </w:r>
            <w:r>
              <w:rPr>
                <w:i w:val="0"/>
              </w:rPr>
              <w:t>5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79.75 ± 6.80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0.995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60.03 ± 3.30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64.52 ± 5.01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0.610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HDL-cholesterol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33.30</w:t>
            </w:r>
            <w:r w:rsidRPr="00910E65">
              <w:rPr>
                <w:i w:val="0"/>
              </w:rPr>
              <w:t xml:space="preserve"> ± 1.</w:t>
            </w:r>
            <w:r>
              <w:rPr>
                <w:i w:val="0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29.49 ± 1.42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0.162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29.03 ± 1.08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29.58 ± 2.00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0.877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HDL-triglycerides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23.21</w:t>
            </w:r>
            <w:r w:rsidRPr="00910E65">
              <w:rPr>
                <w:i w:val="0"/>
              </w:rPr>
              <w:t xml:space="preserve"> ± </w:t>
            </w:r>
            <w:r>
              <w:rPr>
                <w:i w:val="0"/>
              </w:rPr>
              <w:t>1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24.06 ± 2.63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0.975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21.59 ± 1.67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23.36 ± 3.05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0.517</w:t>
            </w:r>
          </w:p>
        </w:tc>
      </w:tr>
      <w:tr w:rsidR="008206E6" w:rsidRPr="00135288" w:rsidTr="008206E6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HDL-phospholipids (mg/dL)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65.80 ± 2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60.88 ± 3.15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0.397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60.71 ± 2.12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64.78 ± 3.90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0.354</w:t>
            </w:r>
          </w:p>
        </w:tc>
      </w:tr>
      <w:tr w:rsidR="008206E6" w:rsidRPr="00135288" w:rsidTr="00434C19">
        <w:tc>
          <w:tcPr>
            <w:tcW w:w="22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 w:rsidRPr="00910E65">
              <w:rPr>
                <w:i w:val="0"/>
              </w:rPr>
              <w:t>EAT volume (mL)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118.44 ± 9</w:t>
            </w:r>
            <w:r w:rsidRPr="00910E65">
              <w:rPr>
                <w:i w:val="0"/>
              </w:rPr>
              <w:t>.</w:t>
            </w:r>
            <w:r>
              <w:rPr>
                <w:i w:val="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105.68 ± 14.24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0.369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141.44 ± 9.70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 w:rsidRPr="00910E65">
              <w:rPr>
                <w:i w:val="0"/>
              </w:rPr>
              <w:t>142.38 ± 18.04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</w:tcBorders>
          </w:tcPr>
          <w:p w:rsidR="008206E6" w:rsidRPr="00910E65" w:rsidRDefault="008206E6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0.992</w:t>
            </w:r>
          </w:p>
        </w:tc>
      </w:tr>
      <w:tr w:rsidR="00434C19" w:rsidRPr="00135288" w:rsidTr="008206E6">
        <w:tc>
          <w:tcPr>
            <w:tcW w:w="22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34C19" w:rsidRPr="00910E65" w:rsidRDefault="00434C19" w:rsidP="008206E6">
            <w:pPr>
              <w:pStyle w:val="MDPI22heading2"/>
              <w:snapToGrid/>
              <w:spacing w:before="0" w:after="0" w:line="240" w:lineRule="auto"/>
              <w:contextualSpacing/>
              <w:rPr>
                <w:i w:val="0"/>
              </w:rPr>
            </w:pPr>
            <w:r>
              <w:rPr>
                <w:i w:val="0"/>
              </w:rPr>
              <w:t>CAC score (AU)</w:t>
            </w:r>
            <w:r w:rsidR="00CE1EDC">
              <w:rPr>
                <w:i w:val="0"/>
              </w:rPr>
              <w:t>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4C19" w:rsidRDefault="00434C19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 xml:space="preserve">0.00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19" w:rsidRPr="00910E65" w:rsidRDefault="00434C19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0.00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19" w:rsidRDefault="00434C19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1.000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4C19" w:rsidRDefault="00434C19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412.30 (108.60 – 1060.00)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C19" w:rsidRPr="00910E65" w:rsidRDefault="00434C19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364.25 (119.40 – 1380.10)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4C19" w:rsidRDefault="00434C19" w:rsidP="008206E6">
            <w:pPr>
              <w:pStyle w:val="MDPI22heading2"/>
              <w:snapToGrid/>
              <w:spacing w:before="0" w:after="0" w:line="240" w:lineRule="auto"/>
              <w:contextualSpacing/>
              <w:jc w:val="center"/>
              <w:rPr>
                <w:i w:val="0"/>
              </w:rPr>
            </w:pPr>
            <w:r>
              <w:rPr>
                <w:i w:val="0"/>
              </w:rPr>
              <w:t>0.792</w:t>
            </w:r>
          </w:p>
        </w:tc>
      </w:tr>
    </w:tbl>
    <w:p w:rsidR="00303F6F" w:rsidRDefault="00F1405C" w:rsidP="008206E6">
      <w:pPr>
        <w:pStyle w:val="MDPI43tablefooter"/>
        <w:spacing w:after="240"/>
        <w:ind w:left="425" w:right="764"/>
        <w:jc w:val="center"/>
      </w:pPr>
      <w:r w:rsidRPr="00E50D7F">
        <w:lastRenderedPageBreak/>
        <w:t xml:space="preserve">Data are shown as mean ± </w:t>
      </w:r>
      <w:r>
        <w:t>standard error (</w:t>
      </w:r>
      <w:r w:rsidRPr="00E50D7F">
        <w:t>SE</w:t>
      </w:r>
      <w:r>
        <w:t>)</w:t>
      </w:r>
      <w:r w:rsidRPr="00E50D7F">
        <w:t xml:space="preserve">, </w:t>
      </w:r>
      <w:r>
        <w:t>as number of subjects (</w:t>
      </w:r>
      <w:r w:rsidRPr="00E50D7F">
        <w:t>percent</w:t>
      </w:r>
      <w:r>
        <w:t>age),</w:t>
      </w:r>
      <w:r w:rsidRPr="00E50D7F">
        <w:t xml:space="preserve"> </w:t>
      </w:r>
      <w:r>
        <w:t xml:space="preserve">or </w:t>
      </w:r>
      <w:r w:rsidRPr="00E50D7F">
        <w:t xml:space="preserve">as median (interquartile range). Student’s t, </w:t>
      </w:r>
      <w:r w:rsidR="00B53A4F">
        <w:t>χ2 test or U-Mann Whitney test</w:t>
      </w:r>
      <w:r w:rsidR="00B70B2B">
        <w:t xml:space="preserve">, </w:t>
      </w:r>
      <w:r w:rsidR="008A2910">
        <w:t>patients</w:t>
      </w:r>
      <w:r w:rsidR="00B70B2B">
        <w:t xml:space="preserve"> vs </w:t>
      </w:r>
      <w:r w:rsidR="008A2910">
        <w:t>group</w:t>
      </w:r>
      <w:r w:rsidRPr="00E50D7F">
        <w:t>. CAD: coronary artery disease, W: women, M: men, BMI: body mass index, DM2: type 2 diabetes mellitus, SBP: systolic blood pressure, DBP: diastolic blood pressure, HDL: high-density lipoprotein, LDL: low-density lipoprotein, EAT: epicardial adipose tissue, CA</w:t>
      </w:r>
      <w:r>
        <w:t xml:space="preserve">C: coronary artery calcium, AU: </w:t>
      </w:r>
      <w:proofErr w:type="spellStart"/>
      <w:r>
        <w:t>Agatston</w:t>
      </w:r>
      <w:proofErr w:type="spellEnd"/>
      <w:r>
        <w:t xml:space="preserve"> units</w:t>
      </w:r>
      <w:r w:rsidR="00FE2A5E">
        <w:t>. *n=4</w:t>
      </w:r>
      <w:r w:rsidR="009C4C9E">
        <w:t>1</w:t>
      </w:r>
      <w:r w:rsidR="00FE2A5E">
        <w:t xml:space="preserve"> in control</w:t>
      </w:r>
      <w:r w:rsidR="002D3314">
        <w:t xml:space="preserve"> </w:t>
      </w:r>
      <w:r w:rsidR="00CE51AE">
        <w:t>patients</w:t>
      </w:r>
      <w:r w:rsidR="00FE2A5E">
        <w:t>, n=35 in CAD</w:t>
      </w:r>
      <w:r w:rsidR="002D3314">
        <w:t xml:space="preserve"> </w:t>
      </w:r>
      <w:r w:rsidR="00CE51AE">
        <w:t>patients. a: aortic valve stenosis patients, b: coronary artery disease patients</w:t>
      </w:r>
    </w:p>
    <w:p w:rsidR="00B27B51" w:rsidRDefault="00B27B51" w:rsidP="00B27B51"/>
    <w:p w:rsidR="00B27B51" w:rsidRDefault="00B27B51" w:rsidP="00B27B51">
      <w:pPr>
        <w:sectPr w:rsidR="00B27B51" w:rsidSect="00EF6C67">
          <w:pgSz w:w="15840" w:h="12240" w:orient="landscape"/>
          <w:pgMar w:top="1276" w:right="1417" w:bottom="1276" w:left="1417" w:header="708" w:footer="708" w:gutter="0"/>
          <w:cols w:space="708"/>
          <w:docGrid w:linePitch="360"/>
        </w:sectPr>
      </w:pPr>
    </w:p>
    <w:p w:rsidR="00B27B51" w:rsidRPr="00745572" w:rsidRDefault="00B27B51" w:rsidP="00B27B51">
      <w:pPr>
        <w:pStyle w:val="MDPI41tablecaption"/>
        <w:ind w:left="-142" w:right="55"/>
        <w:jc w:val="center"/>
      </w:pPr>
      <w:r>
        <w:rPr>
          <w:b/>
        </w:rPr>
        <w:lastRenderedPageBreak/>
        <w:t>Table S2</w:t>
      </w:r>
      <w:r w:rsidRPr="00745572">
        <w:rPr>
          <w:b/>
        </w:rPr>
        <w:t>.-</w:t>
      </w:r>
      <w:r w:rsidRPr="00745572">
        <w:t xml:space="preserve"> Correlation analysis between CAC score and the gene expression level</w:t>
      </w:r>
    </w:p>
    <w:tbl>
      <w:tblPr>
        <w:tblStyle w:val="Tablaconcuadrcula"/>
        <w:tblW w:w="3827" w:type="dxa"/>
        <w:tblInd w:w="2127" w:type="dxa"/>
        <w:tblLook w:val="04A0" w:firstRow="1" w:lastRow="0" w:firstColumn="1" w:lastColumn="0" w:noHBand="0" w:noVBand="1"/>
      </w:tblPr>
      <w:tblGrid>
        <w:gridCol w:w="1276"/>
        <w:gridCol w:w="1559"/>
        <w:gridCol w:w="992"/>
      </w:tblGrid>
      <w:tr w:rsidR="00B27B51" w:rsidRPr="00B646EC" w:rsidTr="00B97F8D"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B27B51" w:rsidRDefault="00B27B51" w:rsidP="00B97F8D">
            <w:pPr>
              <w:spacing w:line="360" w:lineRule="auto"/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p</w:t>
            </w:r>
          </w:p>
        </w:tc>
      </w:tr>
      <w:tr w:rsidR="00B27B51" w:rsidRPr="00E202B5" w:rsidTr="00B97F8D"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B27B51" w:rsidRPr="00902963" w:rsidRDefault="00B27B51" w:rsidP="00B97F8D">
            <w:pPr>
              <w:spacing w:line="360" w:lineRule="auto"/>
              <w:rPr>
                <w:i/>
              </w:rPr>
            </w:pPr>
            <w:r w:rsidRPr="00902963">
              <w:rPr>
                <w:i/>
              </w:rPr>
              <w:t>OPN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-0.171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0.541</w:t>
            </w:r>
          </w:p>
        </w:tc>
      </w:tr>
      <w:tr w:rsidR="00B27B51" w:rsidRPr="00E202B5" w:rsidTr="00B97F8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7B51" w:rsidRPr="00902963" w:rsidRDefault="00B27B51" w:rsidP="00B97F8D">
            <w:pPr>
              <w:spacing w:line="360" w:lineRule="auto"/>
              <w:rPr>
                <w:i/>
              </w:rPr>
            </w:pPr>
            <w:r w:rsidRPr="00902963">
              <w:rPr>
                <w:i/>
              </w:rPr>
              <w:t>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-0.111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0.694</w:t>
            </w:r>
          </w:p>
        </w:tc>
      </w:tr>
      <w:tr w:rsidR="00B27B51" w:rsidRPr="00E202B5" w:rsidTr="00B97F8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7B51" w:rsidRPr="00902963" w:rsidRDefault="00B27B51" w:rsidP="00B97F8D">
            <w:pPr>
              <w:spacing w:line="360" w:lineRule="auto"/>
              <w:rPr>
                <w:i/>
              </w:rPr>
            </w:pPr>
            <w:r w:rsidRPr="00902963">
              <w:rPr>
                <w:i/>
              </w:rPr>
              <w:t>OPG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-0.429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0.111</w:t>
            </w:r>
          </w:p>
        </w:tc>
      </w:tr>
      <w:tr w:rsidR="00B27B51" w:rsidRPr="00E202B5" w:rsidTr="00B97F8D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7B51" w:rsidRPr="00902963" w:rsidRDefault="00B27B51" w:rsidP="00B97F8D">
            <w:pPr>
              <w:spacing w:line="360" w:lineRule="auto"/>
              <w:rPr>
                <w:i/>
              </w:rPr>
            </w:pPr>
            <w:r w:rsidRPr="00902963">
              <w:rPr>
                <w:i/>
              </w:rPr>
              <w:t>BMP-2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-0.224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0.405</w:t>
            </w:r>
          </w:p>
        </w:tc>
      </w:tr>
      <w:tr w:rsidR="00B27B51" w:rsidRPr="00E202B5" w:rsidTr="00B97F8D"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B27B51" w:rsidRPr="00902963" w:rsidRDefault="00B27B51" w:rsidP="00B97F8D">
            <w:pPr>
              <w:spacing w:line="360" w:lineRule="auto"/>
              <w:rPr>
                <w:i/>
              </w:rPr>
            </w:pPr>
            <w:r w:rsidRPr="00902963">
              <w:rPr>
                <w:i/>
              </w:rPr>
              <w:t>BMP-4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-0.103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B27B51" w:rsidRDefault="00B27B51" w:rsidP="00B97F8D">
            <w:pPr>
              <w:spacing w:line="360" w:lineRule="auto"/>
              <w:jc w:val="center"/>
            </w:pPr>
            <w:r>
              <w:t>0.704</w:t>
            </w:r>
          </w:p>
        </w:tc>
      </w:tr>
    </w:tbl>
    <w:p w:rsidR="00B27B51" w:rsidRPr="006C688B" w:rsidRDefault="00B27B51" w:rsidP="00B27B51">
      <w:pPr>
        <w:pStyle w:val="MDPI43tablefooter"/>
        <w:spacing w:after="240"/>
        <w:ind w:left="993" w:right="1183"/>
        <w:jc w:val="center"/>
      </w:pPr>
      <w:r w:rsidRPr="00B646EC">
        <w:t>Spearman correlation</w:t>
      </w:r>
      <w:r>
        <w:t xml:space="preserve">. n=16 CAD group. </w:t>
      </w:r>
      <w:r w:rsidRPr="00745572">
        <w:t>OPN</w:t>
      </w:r>
      <w:r w:rsidRPr="0037101A">
        <w:t xml:space="preserve">: </w:t>
      </w:r>
      <w:proofErr w:type="spellStart"/>
      <w:r w:rsidRPr="0037101A">
        <w:t>osteo</w:t>
      </w:r>
      <w:r w:rsidRPr="00AE1DFD">
        <w:t>pontin</w:t>
      </w:r>
      <w:proofErr w:type="spellEnd"/>
      <w:r w:rsidRPr="00AE1DFD">
        <w:t xml:space="preserve">, </w:t>
      </w:r>
      <w:r w:rsidRPr="00745572">
        <w:t>ON</w:t>
      </w:r>
      <w:r w:rsidRPr="00AE1DFD">
        <w:t xml:space="preserve">: </w:t>
      </w:r>
      <w:proofErr w:type="spellStart"/>
      <w:r w:rsidRPr="00AE1DFD">
        <w:t>osteonectin</w:t>
      </w:r>
      <w:proofErr w:type="spellEnd"/>
      <w:r w:rsidRPr="00AE1DFD">
        <w:t xml:space="preserve">, </w:t>
      </w:r>
      <w:r w:rsidRPr="00745572">
        <w:t>OPG</w:t>
      </w:r>
      <w:r w:rsidRPr="00F85A10">
        <w:t xml:space="preserve">: </w:t>
      </w:r>
      <w:proofErr w:type="spellStart"/>
      <w:r w:rsidRPr="00F85A10">
        <w:t>osteoprotegerin</w:t>
      </w:r>
      <w:proofErr w:type="spellEnd"/>
      <w:r w:rsidRPr="00F85A10">
        <w:t xml:space="preserve">, </w:t>
      </w:r>
      <w:r w:rsidRPr="00745572">
        <w:t>BMP</w:t>
      </w:r>
      <w:r w:rsidRPr="006C688B">
        <w:t>: bone morphogenetic protein</w:t>
      </w:r>
    </w:p>
    <w:p w:rsidR="006A3263" w:rsidRDefault="006A3263">
      <w:pPr>
        <w:spacing w:after="200" w:line="276" w:lineRule="auto"/>
        <w:jc w:val="left"/>
      </w:pPr>
      <w:r>
        <w:br w:type="page"/>
      </w:r>
    </w:p>
    <w:p w:rsidR="00B27B51" w:rsidRDefault="00B27B51" w:rsidP="00B27B51"/>
    <w:p w:rsidR="006A3263" w:rsidRDefault="006A3263" w:rsidP="00B27B51"/>
    <w:p w:rsidR="006A3263" w:rsidRDefault="006A3263" w:rsidP="00B62A35">
      <w:pPr>
        <w:ind w:left="1560"/>
      </w:pPr>
      <w:bookmarkStart w:id="0" w:name="_GoBack"/>
      <w:r>
        <w:rPr>
          <w:noProof/>
        </w:rPr>
        <w:drawing>
          <wp:inline distT="0" distB="0" distL="0" distR="0" wp14:anchorId="58BBF353" wp14:editId="3D7296C3">
            <wp:extent cx="3841710" cy="2804018"/>
            <wp:effectExtent l="0" t="0" r="0" b="317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871" cy="2863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6A3263" w:rsidRPr="00ED71CB" w:rsidRDefault="006A3263" w:rsidP="00B62A35">
      <w:pPr>
        <w:pStyle w:val="MDPI41tablecaption"/>
        <w:ind w:left="0" w:right="55"/>
        <w:jc w:val="center"/>
        <w:rPr>
          <w:b/>
          <w:sz w:val="21"/>
        </w:rPr>
      </w:pPr>
      <w:r w:rsidRPr="00ED71CB">
        <w:rPr>
          <w:b/>
          <w:sz w:val="21"/>
        </w:rPr>
        <w:t>Figure S1</w:t>
      </w:r>
      <w:r w:rsidRPr="00ED71CB">
        <w:rPr>
          <w:b/>
          <w:sz w:val="21"/>
        </w:rPr>
        <w:t>.</w:t>
      </w:r>
      <w:r w:rsidRPr="00ED71CB">
        <w:rPr>
          <w:sz w:val="21"/>
        </w:rPr>
        <w:t xml:space="preserve"> Correlation between EAT volume and OPG (n=39)</w:t>
      </w:r>
    </w:p>
    <w:p w:rsidR="006A3263" w:rsidRPr="00B62A35" w:rsidRDefault="006A3263" w:rsidP="00B62A35">
      <w:pPr>
        <w:pStyle w:val="MDPI41tablecaption"/>
        <w:ind w:left="-142" w:right="55"/>
        <w:jc w:val="center"/>
        <w:rPr>
          <w:b/>
        </w:rPr>
      </w:pPr>
    </w:p>
    <w:sectPr w:rsidR="006A3263" w:rsidRPr="00B62A35" w:rsidSect="00B27B51">
      <w:pgSz w:w="12240" w:h="15840"/>
      <w:pgMar w:top="1417" w:right="127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407" w:rsidRDefault="00212407" w:rsidP="008206E6">
      <w:pPr>
        <w:spacing w:line="240" w:lineRule="auto"/>
      </w:pPr>
      <w:r>
        <w:separator/>
      </w:r>
    </w:p>
  </w:endnote>
  <w:endnote w:type="continuationSeparator" w:id="0">
    <w:p w:rsidR="00212407" w:rsidRDefault="00212407" w:rsidP="00820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407" w:rsidRDefault="00212407" w:rsidP="008206E6">
      <w:pPr>
        <w:spacing w:line="240" w:lineRule="auto"/>
      </w:pPr>
      <w:r>
        <w:separator/>
      </w:r>
    </w:p>
  </w:footnote>
  <w:footnote w:type="continuationSeparator" w:id="0">
    <w:p w:rsidR="00212407" w:rsidRDefault="00212407" w:rsidP="008206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5C"/>
    <w:rsid w:val="00041630"/>
    <w:rsid w:val="00077066"/>
    <w:rsid w:val="000855CC"/>
    <w:rsid w:val="000C5A17"/>
    <w:rsid w:val="00115782"/>
    <w:rsid w:val="00127295"/>
    <w:rsid w:val="00160096"/>
    <w:rsid w:val="001E6F72"/>
    <w:rsid w:val="002046FD"/>
    <w:rsid w:val="00212407"/>
    <w:rsid w:val="00225E03"/>
    <w:rsid w:val="0023298D"/>
    <w:rsid w:val="002908BD"/>
    <w:rsid w:val="002D3314"/>
    <w:rsid w:val="002E56D0"/>
    <w:rsid w:val="00303F6F"/>
    <w:rsid w:val="00343518"/>
    <w:rsid w:val="003F7469"/>
    <w:rsid w:val="00421F08"/>
    <w:rsid w:val="00434C19"/>
    <w:rsid w:val="00441AE7"/>
    <w:rsid w:val="00475805"/>
    <w:rsid w:val="004D21B4"/>
    <w:rsid w:val="004F1B0A"/>
    <w:rsid w:val="00514C2A"/>
    <w:rsid w:val="005574C2"/>
    <w:rsid w:val="0069569C"/>
    <w:rsid w:val="006A3263"/>
    <w:rsid w:val="0075649C"/>
    <w:rsid w:val="00794503"/>
    <w:rsid w:val="007D169E"/>
    <w:rsid w:val="008206E6"/>
    <w:rsid w:val="008A2910"/>
    <w:rsid w:val="0090035D"/>
    <w:rsid w:val="009C4104"/>
    <w:rsid w:val="009C4C9E"/>
    <w:rsid w:val="00A6032A"/>
    <w:rsid w:val="00B27B51"/>
    <w:rsid w:val="00B53A4F"/>
    <w:rsid w:val="00B62A35"/>
    <w:rsid w:val="00B70B2B"/>
    <w:rsid w:val="00BB03AA"/>
    <w:rsid w:val="00BB25A3"/>
    <w:rsid w:val="00BC732A"/>
    <w:rsid w:val="00BD52AE"/>
    <w:rsid w:val="00CE1EDC"/>
    <w:rsid w:val="00CE51AE"/>
    <w:rsid w:val="00D16CE1"/>
    <w:rsid w:val="00D51113"/>
    <w:rsid w:val="00DC14B3"/>
    <w:rsid w:val="00ED71CB"/>
    <w:rsid w:val="00EF6C67"/>
    <w:rsid w:val="00F1405C"/>
    <w:rsid w:val="00F9026D"/>
    <w:rsid w:val="00FB3A42"/>
    <w:rsid w:val="00F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0E87FC"/>
  <w15:docId w15:val="{ACB2AB3D-9524-7340-867D-CED3820E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05C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22heading2">
    <w:name w:val="MDPI_2.2_heading2"/>
    <w:basedOn w:val="Normal"/>
    <w:qFormat/>
    <w:rsid w:val="00F1405C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43tablefooter">
    <w:name w:val="MDPI_4.3_table_footer"/>
    <w:basedOn w:val="Normal"/>
    <w:next w:val="Normal"/>
    <w:qFormat/>
    <w:rsid w:val="00F1405C"/>
    <w:pPr>
      <w:adjustRightInd w:val="0"/>
      <w:snapToGrid w:val="0"/>
      <w:spacing w:after="120" w:line="260" w:lineRule="atLeast"/>
    </w:pPr>
    <w:rPr>
      <w:rFonts w:ascii="Palatino Linotype" w:hAnsi="Palatino Linotype"/>
      <w:sz w:val="18"/>
      <w:szCs w:val="22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6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6E6"/>
    <w:rPr>
      <w:rFonts w:ascii="Segoe UI" w:eastAsia="Times New Roman" w:hAnsi="Segoe UI" w:cs="Segoe UI"/>
      <w:color w:val="000000"/>
      <w:sz w:val="18"/>
      <w:szCs w:val="18"/>
      <w:lang w:val="en-US" w:eastAsia="de-DE"/>
    </w:rPr>
  </w:style>
  <w:style w:type="paragraph" w:styleId="Encabezado">
    <w:name w:val="header"/>
    <w:basedOn w:val="Normal"/>
    <w:link w:val="EncabezadoCar"/>
    <w:uiPriority w:val="99"/>
    <w:unhideWhenUsed/>
    <w:rsid w:val="008206E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6E6"/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styleId="Piedepgina">
    <w:name w:val="footer"/>
    <w:basedOn w:val="Normal"/>
    <w:link w:val="PiedepginaCar"/>
    <w:uiPriority w:val="99"/>
    <w:unhideWhenUsed/>
    <w:rsid w:val="008206E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6E6"/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table" w:styleId="Tablaconcuadrcula">
    <w:name w:val="Table Grid"/>
    <w:basedOn w:val="Tablanormal"/>
    <w:uiPriority w:val="59"/>
    <w:rsid w:val="00B2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basedOn w:val="Normal"/>
    <w:qFormat/>
    <w:rsid w:val="00B27B51"/>
    <w:pPr>
      <w:adjustRightInd w:val="0"/>
      <w:snapToGrid w:val="0"/>
      <w:spacing w:before="240" w:after="120" w:line="260" w:lineRule="atLeast"/>
      <w:ind w:left="425" w:right="425"/>
    </w:pPr>
    <w:rPr>
      <w:rFonts w:ascii="Palatino Linotype" w:hAnsi="Palatino Linotype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Oscar Pérez</cp:lastModifiedBy>
  <cp:revision>5</cp:revision>
  <dcterms:created xsi:type="dcterms:W3CDTF">2020-05-12T20:46:00Z</dcterms:created>
  <dcterms:modified xsi:type="dcterms:W3CDTF">2020-05-13T03:50:00Z</dcterms:modified>
</cp:coreProperties>
</file>