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CFCF" w14:textId="54F849DE" w:rsidR="000E5390" w:rsidRPr="000E5390" w:rsidRDefault="00AD7498" w:rsidP="000E5390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Supplementary data</w:t>
      </w:r>
    </w:p>
    <w:p w14:paraId="2F7330C0" w14:textId="67E0C66A" w:rsidR="000E5390" w:rsidRPr="002757F0" w:rsidRDefault="002757F0" w:rsidP="000E539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bookmarkStart w:id="0" w:name="_Hlk27485294"/>
      <w:r w:rsidRPr="002757F0">
        <w:rPr>
          <w:rFonts w:ascii="Times New Roman" w:hAnsi="Times New Roman" w:cs="Times New Roman"/>
          <w:b/>
          <w:bCs/>
          <w:kern w:val="0"/>
          <w:sz w:val="32"/>
          <w:szCs w:val="32"/>
        </w:rPr>
        <w:t>RGD- and VEGF-mimetic peptide epitope-functionalized self-assembling peptide hydrogels promote dent</w:t>
      </w:r>
      <w:r w:rsidRPr="002757F0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in</w:t>
      </w:r>
      <w:r w:rsidRPr="002757F0">
        <w:rPr>
          <w:rFonts w:ascii="Times New Roman" w:hAnsi="Times New Roman" w:cs="Times New Roman"/>
          <w:b/>
          <w:bCs/>
          <w:kern w:val="0"/>
          <w:sz w:val="32"/>
          <w:szCs w:val="32"/>
        </w:rPr>
        <w:t>-pulp complex regeneration</w:t>
      </w:r>
      <w:bookmarkEnd w:id="0"/>
    </w:p>
    <w:p w14:paraId="40500176" w14:textId="328148B7" w:rsidR="000E5390" w:rsidRPr="005F6D55" w:rsidRDefault="000E5390" w:rsidP="000E5390">
      <w:pPr>
        <w:rPr>
          <w:rFonts w:ascii="Times New Roman" w:eastAsia="SimSun" w:hAnsi="Times New Roman" w:cs="Times New Roman"/>
          <w:i/>
          <w:iCs/>
          <w:sz w:val="40"/>
          <w:szCs w:val="40"/>
        </w:rPr>
      </w:pPr>
      <w:proofErr w:type="spellStart"/>
      <w:r w:rsidRPr="007313BC">
        <w:rPr>
          <w:rFonts w:ascii="Times New Roman" w:eastAsia="SimSun" w:hAnsi="Times New Roman" w:cs="Times New Roman"/>
          <w:i/>
          <w:iCs/>
          <w:szCs w:val="32"/>
        </w:rPr>
        <w:t>Kun</w:t>
      </w:r>
      <w:proofErr w:type="spellEnd"/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 Xia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>1, 2, #</w:t>
      </w:r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, </w:t>
      </w:r>
      <w:proofErr w:type="spellStart"/>
      <w:r w:rsidRPr="007313BC">
        <w:rPr>
          <w:rFonts w:ascii="Times New Roman" w:eastAsia="SimSun" w:hAnsi="Times New Roman" w:cs="Times New Roman"/>
          <w:i/>
          <w:iCs/>
          <w:szCs w:val="32"/>
        </w:rPr>
        <w:t>Zhuo</w:t>
      </w:r>
      <w:proofErr w:type="spellEnd"/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 Chen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>3,4, #</w:t>
      </w:r>
      <w:r w:rsidRPr="007313BC">
        <w:rPr>
          <w:rFonts w:ascii="Times New Roman" w:eastAsia="SimSun" w:hAnsi="Times New Roman" w:cs="Times New Roman"/>
          <w:i/>
          <w:iCs/>
          <w:szCs w:val="32"/>
        </w:rPr>
        <w:t>, Jie Chen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>1</w:t>
      </w:r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, </w:t>
      </w:r>
      <w:proofErr w:type="spellStart"/>
      <w:r w:rsidRPr="007313BC">
        <w:rPr>
          <w:rFonts w:ascii="Times New Roman" w:eastAsia="SimSun" w:hAnsi="Times New Roman" w:cs="Times New Roman"/>
          <w:i/>
          <w:iCs/>
          <w:szCs w:val="32"/>
        </w:rPr>
        <w:t>Huaxing</w:t>
      </w:r>
      <w:proofErr w:type="spellEnd"/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 Xu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>1</w:t>
      </w:r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, </w:t>
      </w:r>
      <w:proofErr w:type="spellStart"/>
      <w:r w:rsidRPr="007313BC">
        <w:rPr>
          <w:rFonts w:ascii="Times New Roman" w:eastAsia="SimSun" w:hAnsi="Times New Roman" w:cs="Times New Roman"/>
          <w:i/>
          <w:iCs/>
          <w:szCs w:val="32"/>
        </w:rPr>
        <w:t>Yunfei</w:t>
      </w:r>
      <w:proofErr w:type="spellEnd"/>
      <w:r w:rsidRPr="007313BC">
        <w:rPr>
          <w:rFonts w:ascii="Times New Roman" w:eastAsia="SimSun" w:hAnsi="Times New Roman" w:cs="Times New Roman"/>
          <w:i/>
          <w:iCs/>
          <w:szCs w:val="32"/>
        </w:rPr>
        <w:t xml:space="preserve"> Xu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>1</w:t>
      </w:r>
      <w:r w:rsidRPr="007313BC">
        <w:rPr>
          <w:rFonts w:ascii="Times New Roman" w:eastAsia="SimSun" w:hAnsi="Times New Roman" w:cs="Times New Roman"/>
          <w:i/>
          <w:iCs/>
          <w:szCs w:val="32"/>
        </w:rPr>
        <w:t>, Ting Yang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>1</w:t>
      </w:r>
      <w:r w:rsidRPr="007313BC">
        <w:rPr>
          <w:rFonts w:ascii="Times New Roman" w:eastAsia="SimSun" w:hAnsi="Times New Roman" w:cs="Times New Roman"/>
          <w:i/>
          <w:iCs/>
          <w:szCs w:val="32"/>
        </w:rPr>
        <w:t>, Qi Zhang</w:t>
      </w:r>
      <w:r w:rsidRPr="007313BC">
        <w:rPr>
          <w:rFonts w:ascii="Times New Roman" w:eastAsia="SimSun" w:hAnsi="Times New Roman" w:cs="Times New Roman"/>
          <w:i/>
          <w:iCs/>
          <w:szCs w:val="32"/>
          <w:vertAlign w:val="superscript"/>
        </w:rPr>
        <w:t xml:space="preserve">1, </w:t>
      </w:r>
      <w:r w:rsidRPr="007313BC">
        <w:rPr>
          <w:rFonts w:ascii="Times New Roman" w:eastAsia="SimSun" w:hAnsi="Times New Roman" w:cs="Times New Roman"/>
          <w:i/>
          <w:iCs/>
          <w:szCs w:val="21"/>
          <w:vertAlign w:val="superscript"/>
        </w:rPr>
        <w:t>*</w:t>
      </w:r>
    </w:p>
    <w:p w14:paraId="770FAD2B" w14:textId="7CF6512E" w:rsidR="000E5390" w:rsidRPr="000E5390" w:rsidRDefault="000E5390">
      <w:pPr>
        <w:rPr>
          <w:rFonts w:ascii="Times New Roman" w:hAnsi="Times New Roman" w:cs="Times New Roman"/>
          <w:sz w:val="24"/>
          <w:szCs w:val="28"/>
        </w:rPr>
      </w:pPr>
    </w:p>
    <w:p w14:paraId="7E6ED535" w14:textId="5117DDE2" w:rsidR="007313BC" w:rsidRDefault="007313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5EB703E" wp14:editId="77CEDC43">
            <wp:extent cx="5274310" cy="18662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2D3E" w14:textId="1FD746E4" w:rsidR="000E5390" w:rsidRPr="000E5390" w:rsidRDefault="000E53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Supplementary </w:t>
      </w:r>
      <w:r w:rsidRPr="005F5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 </w:t>
      </w:r>
      <w:r w:rsidR="00D20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F5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Characterization of DPSCs isolated from freshly extracted human third molars. (A</w:t>
      </w:r>
      <w:r>
        <w:rPr>
          <w:rFonts w:ascii="Times New Roman" w:hAnsi="Times New Roman" w:cs="Times New Roman"/>
          <w:color w:val="000000"/>
          <w:sz w:val="24"/>
          <w:szCs w:val="24"/>
        </w:rPr>
        <w:t>-D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) Expression of CD90, CD105,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CD34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and CD45 as analyzed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by flow cytometry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(E)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 fluorescence shows the positivity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vimentin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(F) F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luorescence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staining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shows </w:t>
      </w:r>
      <w:r>
        <w:rPr>
          <w:rFonts w:ascii="Times New Roman" w:hAnsi="Times New Roman" w:cs="Times New Roman"/>
          <w:color w:val="000000"/>
          <w:sz w:val="24"/>
          <w:szCs w:val="24"/>
        </w:rPr>
        <w:t>nega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tivity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CK14.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Osteogenic differentiation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resulting in 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–mineralized nodule formation as shown by Alizarin Red staining after 3 weeks of induction. (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E44D1">
        <w:rPr>
          <w:rFonts w:ascii="Times New Roman" w:hAnsi="Times New Roman" w:cs="Times New Roman"/>
          <w:color w:val="000000"/>
          <w:sz w:val="24"/>
          <w:szCs w:val="24"/>
        </w:rPr>
        <w:t>Adipogenic</w:t>
      </w:r>
      <w:proofErr w:type="spellEnd"/>
      <w:r w:rsidRPr="008E44D1">
        <w:rPr>
          <w:rFonts w:ascii="Times New Roman" w:hAnsi="Times New Roman" w:cs="Times New Roman"/>
          <w:color w:val="000000"/>
          <w:sz w:val="24"/>
          <w:szCs w:val="24"/>
        </w:rPr>
        <w:t xml:space="preserve"> differentiation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resulting in -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lipid droplet formation as shown by Oil Red O staining after 3 weeks of induction. (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142855">
        <w:rPr>
          <w:rFonts w:ascii="Times New Roman" w:hAnsi="Times New Roman" w:cs="Times New Roman"/>
          <w:color w:val="000000"/>
          <w:sz w:val="24"/>
          <w:szCs w:val="24"/>
        </w:rPr>
        <w:t>hondrogenic differentiation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resulting in -cartilage ball formation as shown by methylene blue staining after 3 weeks of induction</w:t>
      </w:r>
      <w:r w:rsidRPr="008E4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E5390" w:rsidRPr="000E5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0B"/>
    <w:rsid w:val="000E5390"/>
    <w:rsid w:val="001827B6"/>
    <w:rsid w:val="002757F0"/>
    <w:rsid w:val="007034FF"/>
    <w:rsid w:val="007313BC"/>
    <w:rsid w:val="008D6C0B"/>
    <w:rsid w:val="00AD7498"/>
    <w:rsid w:val="00BD55AA"/>
    <w:rsid w:val="00D20EBD"/>
    <w:rsid w:val="00E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7551"/>
  <w15:chartTrackingRefBased/>
  <w15:docId w15:val="{EE1F5F31-36AF-4F40-8085-566A777B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xia</dc:creator>
  <cp:keywords/>
  <dc:description/>
  <cp:lastModifiedBy>Mel Phimester</cp:lastModifiedBy>
  <cp:revision>2</cp:revision>
  <dcterms:created xsi:type="dcterms:W3CDTF">2020-07-24T05:48:00Z</dcterms:created>
  <dcterms:modified xsi:type="dcterms:W3CDTF">2020-07-24T05:48:00Z</dcterms:modified>
</cp:coreProperties>
</file>