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EA" w:rsidRDefault="00D331EA" w:rsidP="00D331EA">
      <w:pPr>
        <w:spacing w:line="360" w:lineRule="auto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5274310" cy="23323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Supplementary Fig 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31EA" w:rsidRDefault="00D331EA" w:rsidP="00D331EA">
      <w:pPr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>Supplementary Figure 1. The candidate targets of miR-145 that predicted by Targetscan software.</w:t>
      </w:r>
      <w:r>
        <w:rPr>
          <w:rFonts w:ascii="Times New Roman" w:hAnsi="Times New Roman"/>
          <w:sz w:val="24"/>
        </w:rPr>
        <w:t xml:space="preserve"> (A) A549 and H1299 cells were transfected with miR-NC or miR-145, and the mRNA abundance of PUM1, ADAM10, E2F6, ATM and HMGB3 was examined using qRT-PCR. </w:t>
      </w:r>
      <w:r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i/>
          <w:iCs/>
          <w:sz w:val="24"/>
        </w:rPr>
        <w:t>P</w:t>
      </w:r>
      <w:r>
        <w:rPr>
          <w:rFonts w:ascii="Times New Roman" w:hAnsi="Times New Roman"/>
          <w:bCs/>
          <w:sz w:val="24"/>
        </w:rPr>
        <w:t>&lt;0.05, **</w:t>
      </w:r>
      <w:r>
        <w:rPr>
          <w:rFonts w:ascii="Times New Roman" w:hAnsi="Times New Roman"/>
          <w:bCs/>
          <w:i/>
          <w:iCs/>
          <w:sz w:val="24"/>
        </w:rPr>
        <w:t>P</w:t>
      </w:r>
      <w:r>
        <w:rPr>
          <w:rFonts w:ascii="Times New Roman" w:hAnsi="Times New Roman"/>
          <w:bCs/>
          <w:sz w:val="24"/>
        </w:rPr>
        <w:t>&lt;0.01.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0D3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F13B9-711B-4151-8A83-FE5319C7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2020-06-22T10:28:00Z</dcterms:modified>
</cp:coreProperties>
</file>