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36C2" w14:textId="0CD5E5E3" w:rsidR="00A11E68" w:rsidRPr="00A931FE" w:rsidRDefault="00A11E68" w:rsidP="00A11E68">
      <w:pPr>
        <w:pStyle w:val="Heading1"/>
      </w:pPr>
      <w:r w:rsidRPr="00A931FE">
        <w:t>Supplementary materials</w:t>
      </w:r>
    </w:p>
    <w:p w14:paraId="79860137" w14:textId="77777777" w:rsidR="00211362" w:rsidRPr="00A931FE" w:rsidRDefault="00211362" w:rsidP="00211362">
      <w:pPr>
        <w:rPr>
          <w:rFonts w:cs="Arial"/>
          <w:b/>
          <w:bCs/>
          <w:sz w:val="24"/>
        </w:rPr>
      </w:pPr>
    </w:p>
    <w:p w14:paraId="24E98229" w14:textId="3DC522A0" w:rsidR="00211362" w:rsidRPr="00A931FE" w:rsidRDefault="00211362" w:rsidP="00211362">
      <w:pPr>
        <w:autoSpaceDE w:val="0"/>
        <w:autoSpaceDN w:val="0"/>
        <w:adjustRightInd w:val="0"/>
        <w:spacing w:line="360" w:lineRule="auto"/>
        <w:contextualSpacing/>
        <w:rPr>
          <w:rFonts w:eastAsiaTheme="minorHAnsi" w:cs="Arial"/>
          <w:color w:val="000000"/>
          <w:sz w:val="24"/>
        </w:rPr>
      </w:pPr>
      <w:r w:rsidRPr="00A931FE">
        <w:rPr>
          <w:rFonts w:eastAsiaTheme="minorHAnsi" w:cs="Arial"/>
          <w:b/>
          <w:bCs/>
          <w:color w:val="000000"/>
          <w:sz w:val="24"/>
        </w:rPr>
        <w:t xml:space="preserve">Supplementary </w:t>
      </w:r>
      <w:r w:rsidR="00FD5CAA" w:rsidRPr="00A931FE">
        <w:rPr>
          <w:rFonts w:eastAsiaTheme="minorHAnsi" w:cs="Arial"/>
          <w:b/>
          <w:bCs/>
          <w:color w:val="000000"/>
          <w:sz w:val="24"/>
        </w:rPr>
        <w:t>T</w:t>
      </w:r>
      <w:r w:rsidRPr="00A931FE">
        <w:rPr>
          <w:rFonts w:eastAsiaTheme="minorHAnsi" w:cs="Arial"/>
          <w:b/>
          <w:bCs/>
          <w:color w:val="000000"/>
          <w:sz w:val="24"/>
        </w:rPr>
        <w:t>able 1:</w:t>
      </w:r>
      <w:r w:rsidRPr="00A931FE">
        <w:rPr>
          <w:rFonts w:eastAsiaTheme="minorHAnsi" w:cs="Arial"/>
          <w:color w:val="000000"/>
          <w:sz w:val="24"/>
        </w:rPr>
        <w:t xml:space="preserve"> Default inputs for TEAE of grade 3 or higher from selinexor occurring in at least 5% of patients</w:t>
      </w:r>
      <w:r w:rsidRPr="00A931FE">
        <w:rPr>
          <w:rFonts w:eastAsiaTheme="minorHAnsi" w:cs="Arial"/>
          <w:color w:val="000000"/>
          <w:sz w:val="24"/>
        </w:rPr>
        <w:fldChar w:fldCharType="begin"/>
      </w:r>
      <w:r w:rsidR="00461973" w:rsidRPr="00A931FE">
        <w:rPr>
          <w:rFonts w:eastAsiaTheme="minorHAnsi" w:cs="Arial"/>
          <w:color w:val="000000"/>
          <w:sz w:val="24"/>
        </w:rPr>
        <w:instrText xml:space="preserve"> ADDIN ZOTERO_ITEM CSL_CITATION {"citationID":"u8B3Khq8","properties":{"formattedCitation":"\\super 1\\nosupersub{}","plainCitation":"1","noteIndex":0},"citationItems":[{"id":413,"uris":["http://zotero.org/users/6115034/items/VY6JKYQZ"],"uri":["http://zotero.org/users/6115034/items/VY6JKYQZ"],"itemData":{"id":413,"type":"article","title":"Karyopharm Therapeutics, Inc. KCP-330-012 CSR. Data on file. 2018b"}}],"schema":"https://github.com/citation-style-language/schema/raw/master/csl-citation.json"} </w:instrText>
      </w:r>
      <w:r w:rsidRPr="00A931FE">
        <w:rPr>
          <w:rFonts w:eastAsiaTheme="minorHAnsi" w:cs="Arial"/>
          <w:color w:val="000000"/>
          <w:sz w:val="24"/>
        </w:rPr>
        <w:fldChar w:fldCharType="separate"/>
      </w:r>
      <w:r w:rsidR="00461973" w:rsidRPr="00A931FE">
        <w:rPr>
          <w:rFonts w:cs="Arial"/>
          <w:sz w:val="24"/>
          <w:vertAlign w:val="superscript"/>
        </w:rPr>
        <w:t>1</w:t>
      </w:r>
      <w:r w:rsidRPr="00A931FE">
        <w:rPr>
          <w:rFonts w:eastAsiaTheme="minorHAnsi" w:cs="Arial"/>
          <w:color w:val="000000"/>
          <w:sz w:val="24"/>
        </w:rPr>
        <w:fldChar w:fldCharType="end"/>
      </w:r>
      <w:r w:rsidRPr="00A931FE">
        <w:rPr>
          <w:rFonts w:eastAsiaTheme="minorHAnsi" w:cs="Arial"/>
          <w:b/>
          <w:bCs/>
          <w:color w:val="000000"/>
          <w:sz w:val="24"/>
        </w:rPr>
        <w:t xml:space="preserve"> </w:t>
      </w: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3955"/>
        <w:gridCol w:w="2255"/>
        <w:gridCol w:w="2574"/>
      </w:tblGrid>
      <w:tr w:rsidR="00211362" w:rsidRPr="00A931FE" w14:paraId="11BEB023" w14:textId="77777777" w:rsidTr="00FA2B0B">
        <w:trPr>
          <w:trHeight w:val="222"/>
        </w:trPr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31704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 xml:space="preserve">TEAE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D02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TEAE, n (%)</w:t>
            </w:r>
          </w:p>
          <w:p w14:paraId="4C6CC1AF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(N=123</w:t>
            </w: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F3C08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 xml:space="preserve">Cost per </w:t>
            </w:r>
            <w:proofErr w:type="spellStart"/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TEAE</w:t>
            </w: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</w:tr>
      <w:tr w:rsidR="00211362" w:rsidRPr="00A931FE" w14:paraId="231EA41B" w14:textId="77777777" w:rsidTr="00FA2B0B">
        <w:trPr>
          <w:trHeight w:val="108"/>
        </w:trPr>
        <w:tc>
          <w:tcPr>
            <w:tcW w:w="8784" w:type="dxa"/>
            <w:gridSpan w:val="3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77EF27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Blood and lymphatic system disorders</w:t>
            </w:r>
          </w:p>
        </w:tc>
      </w:tr>
      <w:tr w:rsidR="00211362" w:rsidRPr="00A931FE" w14:paraId="23BFD58A" w14:textId="77777777" w:rsidTr="00FA2B0B">
        <w:trPr>
          <w:trHeight w:val="108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698A59BA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proofErr w:type="spellStart"/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Thrombocytopenia</w:t>
            </w:r>
            <w:r w:rsidRPr="00A931FE">
              <w:rPr>
                <w:rFonts w:eastAsiaTheme="minorHAnsi" w:cs="Arial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BA11E11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72 (58.5)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6F0B68C9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$0.79</w:t>
            </w:r>
          </w:p>
        </w:tc>
      </w:tr>
      <w:tr w:rsidR="00211362" w:rsidRPr="00A931FE" w14:paraId="48ADC85A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16FE5FA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Anemia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0CD66F4E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52 (42.3)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1978C1C1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$559.38</w:t>
            </w:r>
          </w:p>
        </w:tc>
      </w:tr>
      <w:tr w:rsidR="00211362" w:rsidRPr="00A931FE" w14:paraId="74101BFB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DEC0A39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Neutropenia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3510B44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27 (22.0)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072A1263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$15.84</w:t>
            </w:r>
          </w:p>
        </w:tc>
      </w:tr>
      <w:tr w:rsidR="00211362" w:rsidRPr="00A931FE" w14:paraId="0B868D05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90E58F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Leukopenia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26786522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15 (12.2)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73CC9BE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$15.84</w:t>
            </w:r>
          </w:p>
        </w:tc>
      </w:tr>
      <w:tr w:rsidR="00211362" w:rsidRPr="00A931FE" w14:paraId="4A81FBA5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3DCBC07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Lymphopenia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06262FC3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14 (11.4)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02030FCE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$23.76</w:t>
            </w:r>
          </w:p>
        </w:tc>
      </w:tr>
      <w:tr w:rsidR="00211362" w:rsidRPr="00A931FE" w14:paraId="490B83CB" w14:textId="77777777" w:rsidTr="00FA2B0B">
        <w:trPr>
          <w:trHeight w:val="99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9FD06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Gastrointestinal disorders</w:t>
            </w:r>
          </w:p>
        </w:tc>
      </w:tr>
      <w:tr w:rsidR="00211362" w:rsidRPr="00A931FE" w14:paraId="0A204FB2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9CBE460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Nausea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E052AB6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12 (9.8)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27448147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$611.82</w:t>
            </w:r>
          </w:p>
        </w:tc>
      </w:tr>
      <w:tr w:rsidR="00211362" w:rsidRPr="00A931FE" w14:paraId="76BAA714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49E1D68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Diarrhea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0DAEC09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9 (7.3)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399DD329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$823.56</w:t>
            </w:r>
          </w:p>
        </w:tc>
      </w:tr>
      <w:tr w:rsidR="00211362" w:rsidRPr="00A931FE" w14:paraId="6EF3EB83" w14:textId="77777777" w:rsidTr="00FA2B0B">
        <w:trPr>
          <w:trHeight w:val="99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A8ACA3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General disorders and administration site conditions</w:t>
            </w:r>
          </w:p>
        </w:tc>
      </w:tr>
      <w:tr w:rsidR="00211362" w:rsidRPr="00A931FE" w14:paraId="6E6A347A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E9EFC00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Fatigue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543645C5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24 (19.5)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411F7221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$74.16</w:t>
            </w:r>
          </w:p>
        </w:tc>
      </w:tr>
      <w:tr w:rsidR="00211362" w:rsidRPr="00A931FE" w14:paraId="0DE64815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B6C1A03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Asthenia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D2EE24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7 (5.7)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0AAC452B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$74.16</w:t>
            </w:r>
          </w:p>
        </w:tc>
      </w:tr>
      <w:tr w:rsidR="00211362" w:rsidRPr="00A931FE" w14:paraId="712FC142" w14:textId="77777777" w:rsidTr="00FA2B0B">
        <w:trPr>
          <w:trHeight w:val="99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680FB7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Infection and infestation</w:t>
            </w:r>
          </w:p>
        </w:tc>
      </w:tr>
      <w:tr w:rsidR="00211362" w:rsidRPr="00A931FE" w14:paraId="7DB3C5E7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01602C0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Pneumonia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77470AA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13 (10.6)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49131FB2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$9,077.30</w:t>
            </w:r>
          </w:p>
        </w:tc>
      </w:tr>
      <w:tr w:rsidR="00211362" w:rsidRPr="00A931FE" w14:paraId="3D360A08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74BC31BD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Sepsis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72CD258E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12 (9.8)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4326A934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$12,184.45</w:t>
            </w:r>
          </w:p>
        </w:tc>
      </w:tr>
      <w:tr w:rsidR="00211362" w:rsidRPr="00A931FE" w14:paraId="6D0FE742" w14:textId="77777777" w:rsidTr="00FA2B0B">
        <w:trPr>
          <w:trHeight w:val="99"/>
        </w:trPr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2B9C16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color w:val="000000"/>
                <w:sz w:val="20"/>
                <w:szCs w:val="20"/>
              </w:rPr>
              <w:t>Metabolism and nutrition disorders</w:t>
            </w:r>
          </w:p>
        </w:tc>
      </w:tr>
      <w:tr w:rsidR="00211362" w:rsidRPr="00A931FE" w14:paraId="0C7BEC21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627C511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Hyponatremia 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0EBFDAD8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25 (20.3)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713B56C0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$833.15</w:t>
            </w:r>
          </w:p>
        </w:tc>
      </w:tr>
      <w:tr w:rsidR="00211362" w:rsidRPr="00A931FE" w14:paraId="572B7DD6" w14:textId="77777777" w:rsidTr="00FA2B0B">
        <w:trPr>
          <w:trHeight w:val="99"/>
        </w:trPr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E6284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 xml:space="preserve">Hypokalemia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62217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7 (5.7)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6B8C6" w14:textId="77777777" w:rsidR="00211362" w:rsidRPr="00A931FE" w:rsidRDefault="00211362" w:rsidP="00FA2B0B">
            <w:pPr>
              <w:autoSpaceDE w:val="0"/>
              <w:autoSpaceDN w:val="0"/>
              <w:adjustRightInd w:val="0"/>
              <w:spacing w:before="40" w:after="40"/>
              <w:rPr>
                <w:rFonts w:eastAsiaTheme="minorHAnsi" w:cs="Arial"/>
                <w:color w:val="000000"/>
                <w:sz w:val="20"/>
                <w:szCs w:val="20"/>
              </w:rPr>
            </w:pPr>
            <w:r w:rsidRPr="00A931FE">
              <w:rPr>
                <w:rFonts w:eastAsiaTheme="minorHAnsi" w:cs="Arial"/>
                <w:color w:val="000000"/>
                <w:sz w:val="20"/>
                <w:szCs w:val="20"/>
              </w:rPr>
              <w:t>$794.27</w:t>
            </w:r>
          </w:p>
        </w:tc>
      </w:tr>
    </w:tbl>
    <w:p w14:paraId="3A8768F6" w14:textId="23092B18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A931FE">
        <w:rPr>
          <w:rFonts w:ascii="Arial" w:hAnsi="Arial" w:cs="Arial"/>
          <w:sz w:val="20"/>
          <w:szCs w:val="20"/>
        </w:rPr>
        <w:t>TEAEs reported from the STORM clinical study report were limited to those occurring in at least 5% of patients at grade 3 or higher, among TEAEs occurring in at least 2% of patients.</w:t>
      </w:r>
      <w:r w:rsidRPr="00A931FE">
        <w:rPr>
          <w:rFonts w:ascii="Arial" w:hAnsi="Arial" w:cs="Arial"/>
          <w:sz w:val="20"/>
          <w:szCs w:val="20"/>
        </w:rPr>
        <w:fldChar w:fldCharType="begin"/>
      </w:r>
      <w:r w:rsidR="00461973" w:rsidRPr="00A931FE">
        <w:rPr>
          <w:rFonts w:ascii="Arial" w:hAnsi="Arial" w:cs="Arial"/>
          <w:sz w:val="20"/>
          <w:szCs w:val="20"/>
        </w:rPr>
        <w:instrText xml:space="preserve"> ADDIN ZOTERO_ITEM CSL_CITATION {"citationID":"HXIHhkqw","properties":{"formattedCitation":"\\super 1\\nosupersub{}","plainCitation":"1","noteIndex":0},"citationItems":[{"id":413,"uris":["http://zotero.org/users/6115034/items/VY6JKYQZ"],"uri":["http://zotero.org/users/6115034/items/VY6JKYQZ"],"itemData":{"id":413,"type":"article","title":"Karyopharm Therapeutics, Inc. KCP-330-012 CSR. Data on file. 2018b"}}],"schema":"https://github.com/citation-style-language/schema/raw/master/csl-citation.json"} </w:instrText>
      </w:r>
      <w:r w:rsidRPr="00A931FE">
        <w:rPr>
          <w:rFonts w:ascii="Arial" w:hAnsi="Arial" w:cs="Arial"/>
          <w:sz w:val="20"/>
          <w:szCs w:val="20"/>
        </w:rPr>
        <w:fldChar w:fldCharType="separate"/>
      </w:r>
      <w:r w:rsidR="00461973" w:rsidRPr="00A931FE">
        <w:rPr>
          <w:rFonts w:ascii="Arial" w:hAnsi="Arial" w:cs="Arial"/>
          <w:sz w:val="20"/>
          <w:vertAlign w:val="superscript"/>
        </w:rPr>
        <w:t>1</w:t>
      </w:r>
      <w:r w:rsidRPr="00A931FE">
        <w:rPr>
          <w:rFonts w:ascii="Arial" w:hAnsi="Arial" w:cs="Arial"/>
          <w:sz w:val="20"/>
          <w:szCs w:val="20"/>
        </w:rPr>
        <w:fldChar w:fldCharType="end"/>
      </w:r>
      <w:r w:rsidRPr="00A931FE">
        <w:rPr>
          <w:rFonts w:ascii="Arial" w:hAnsi="Arial" w:cs="Arial"/>
          <w:sz w:val="20"/>
          <w:szCs w:val="20"/>
        </w:rPr>
        <w:t xml:space="preserve"> </w:t>
      </w:r>
    </w:p>
    <w:p w14:paraId="77D2869F" w14:textId="756E9EB8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  <w:vertAlign w:val="superscript"/>
        </w:rPr>
        <w:t xml:space="preserve">b </w:t>
      </w:r>
      <w:r w:rsidRPr="00A931FE">
        <w:rPr>
          <w:rFonts w:ascii="Arial" w:hAnsi="Arial" w:cs="Arial"/>
          <w:sz w:val="20"/>
          <w:szCs w:val="20"/>
        </w:rPr>
        <w:t xml:space="preserve">See </w:t>
      </w:r>
      <w:r w:rsidR="00FD5CAA" w:rsidRPr="00A931FE">
        <w:rPr>
          <w:rFonts w:ascii="Arial" w:hAnsi="Arial" w:cs="Arial"/>
          <w:sz w:val="20"/>
          <w:szCs w:val="20"/>
        </w:rPr>
        <w:t>S</w:t>
      </w:r>
      <w:r w:rsidRPr="00A931FE">
        <w:rPr>
          <w:rFonts w:ascii="Arial" w:hAnsi="Arial" w:cs="Arial"/>
          <w:sz w:val="20"/>
          <w:szCs w:val="20"/>
        </w:rPr>
        <w:t xml:space="preserve">upplementary </w:t>
      </w:r>
      <w:r w:rsidR="00FD5CAA" w:rsidRPr="00A931FE">
        <w:rPr>
          <w:rFonts w:ascii="Arial" w:hAnsi="Arial" w:cs="Arial"/>
          <w:sz w:val="20"/>
          <w:szCs w:val="20"/>
        </w:rPr>
        <w:t>T</w:t>
      </w:r>
      <w:r w:rsidRPr="00A931FE">
        <w:rPr>
          <w:rFonts w:ascii="Arial" w:hAnsi="Arial" w:cs="Arial"/>
          <w:sz w:val="20"/>
          <w:szCs w:val="20"/>
        </w:rPr>
        <w:t xml:space="preserve">able 2 for calculations. </w:t>
      </w:r>
    </w:p>
    <w:p w14:paraId="6283791F" w14:textId="77777777" w:rsidR="00211362" w:rsidRPr="00A931FE" w:rsidRDefault="00211362" w:rsidP="00211362">
      <w:pPr>
        <w:rPr>
          <w:rFonts w:cs="Arial"/>
          <w:sz w:val="20"/>
          <w:szCs w:val="20"/>
        </w:rPr>
      </w:pPr>
      <w:r w:rsidRPr="00A931FE">
        <w:rPr>
          <w:rFonts w:cs="Arial"/>
          <w:sz w:val="20"/>
          <w:szCs w:val="20"/>
          <w:vertAlign w:val="superscript"/>
        </w:rPr>
        <w:t xml:space="preserve">c </w:t>
      </w:r>
      <w:proofErr w:type="gramStart"/>
      <w:r w:rsidRPr="00A931FE">
        <w:rPr>
          <w:rFonts w:cs="Arial"/>
          <w:sz w:val="20"/>
          <w:szCs w:val="20"/>
        </w:rPr>
        <w:t>The</w:t>
      </w:r>
      <w:proofErr w:type="gramEnd"/>
      <w:r w:rsidRPr="00A931FE">
        <w:rPr>
          <w:rFonts w:cs="Arial"/>
          <w:sz w:val="20"/>
          <w:szCs w:val="20"/>
        </w:rPr>
        <w:t xml:space="preserve"> costs of romiplostim and eltrombopag were not included in the cost of treating thrombocytopenia at this time as these medications are not currently indicated for patients with myeloma with thrombocytopenia.</w:t>
      </w:r>
    </w:p>
    <w:p w14:paraId="68CA81BC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3BE00395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1BF62F64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4E84D503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58ECAB15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0A6C1A0D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70301AE5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0084A98C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7C691821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66CF93A3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445FBDF0" w14:textId="77777777" w:rsidR="00211362" w:rsidRPr="00A931FE" w:rsidRDefault="00211362" w:rsidP="00211362">
      <w:pPr>
        <w:rPr>
          <w:rFonts w:asciiTheme="minorHAnsi" w:hAnsiTheme="minorHAnsi" w:cstheme="minorHAnsi"/>
          <w:b/>
          <w:bCs/>
          <w:sz w:val="24"/>
        </w:rPr>
      </w:pPr>
    </w:p>
    <w:p w14:paraId="28068558" w14:textId="571F4A64" w:rsidR="00211362" w:rsidRPr="00A931FE" w:rsidRDefault="00211362" w:rsidP="00211362">
      <w:pPr>
        <w:spacing w:line="360" w:lineRule="auto"/>
        <w:contextualSpacing/>
        <w:rPr>
          <w:rFonts w:cs="Arial"/>
          <w:sz w:val="24"/>
        </w:rPr>
      </w:pPr>
      <w:r w:rsidRPr="00A931FE">
        <w:rPr>
          <w:rFonts w:cs="Arial"/>
          <w:b/>
          <w:bCs/>
          <w:sz w:val="24"/>
        </w:rPr>
        <w:lastRenderedPageBreak/>
        <w:t xml:space="preserve">Supplementary </w:t>
      </w:r>
      <w:r w:rsidR="00FD5CAA" w:rsidRPr="00A931FE">
        <w:rPr>
          <w:rFonts w:cs="Arial"/>
          <w:b/>
          <w:bCs/>
          <w:sz w:val="24"/>
        </w:rPr>
        <w:t>T</w:t>
      </w:r>
      <w:r w:rsidRPr="00A931FE">
        <w:rPr>
          <w:rFonts w:cs="Arial"/>
          <w:b/>
          <w:bCs/>
          <w:sz w:val="24"/>
        </w:rPr>
        <w:t xml:space="preserve">able 2: </w:t>
      </w:r>
      <w:r w:rsidRPr="00A931FE">
        <w:rPr>
          <w:rFonts w:cs="Arial"/>
          <w:sz w:val="24"/>
        </w:rPr>
        <w:t>Estimation of cost per TEAE of grade 3 or higher from selinexor</w:t>
      </w:r>
      <w:r w:rsidRPr="00A931FE">
        <w:rPr>
          <w:rFonts w:cs="Arial"/>
          <w:b/>
          <w:bCs/>
          <w:sz w:val="24"/>
        </w:rPr>
        <w:t xml:space="preserve"> </w:t>
      </w:r>
      <w:r w:rsidRPr="00A931FE">
        <w:rPr>
          <w:rFonts w:cs="Arial"/>
          <w:sz w:val="24"/>
        </w:rPr>
        <w:t>occurring in at least 5% of patients</w:t>
      </w:r>
      <w:r w:rsidRPr="00A931FE">
        <w:rPr>
          <w:rFonts w:cs="Arial"/>
          <w:sz w:val="24"/>
        </w:rPr>
        <w:fldChar w:fldCharType="begin"/>
      </w:r>
      <w:r w:rsidR="00461973" w:rsidRPr="00A931FE">
        <w:rPr>
          <w:rFonts w:cs="Arial"/>
          <w:sz w:val="24"/>
        </w:rPr>
        <w:instrText xml:space="preserve"> ADDIN ZOTERO_ITEM CSL_CITATION {"citationID":"2VBRsUma","properties":{"unsorted":true,"formattedCitation":"\\super 2\\uc0\\u8211{}4\\nosupersub{}","plainCitation":"2–4","noteIndex":0},"citationItems":[{"id":409,"uris":["http://zotero.org/users/6115034/items/EKQE5TAU"],"uri":["http://zotero.org/users/6115034/items/EKQE5TAU"],"itemData":{"id":409,"type":"article","title":"HCUPnet, Healthcare Cost and Utilization Project. Agency for Healthcare Research and Quality, Rockville, MD","URL":"https://hcupnet.ahrq.gov/","accessed":{"date-parts":[["2018",12,18]]}},"label":"page"},{"id":391,"uris":["http://zotero.org/users/6115034/items/CRQMCHBP"],"uri":["http://zotero.org/users/6115034/items/CRQMCHBP"],"itemData":{"id":391,"type":"article","title":"Bureau of Economic Analysis, 2018: Table 2.4.4U. Price Indexes for Personal Consumption Expenditures by Type of Product","issued":{"date-parts":[["2018",12,21]]}},"label":"page"},{"id":425,"uris":["http://zotero.org/users/6115034/items/TWGAP4Y9"],"uri":["http://zotero.org/users/6115034/items/TWGAP4Y9"],"itemData":{"id":425,"type":"article","publisher":"U.S. Department of Health and Human Services","title":"The 2011 National Blood Collection and Utilization Survey Report","URL":"https://www.hhs.gov/sites/default/files/ash/bloodsafety/2011-nbcus.pdf","accessed":{"date-parts":[["2019",2,1]]}},"label":"page"}],"schema":"https://github.com/citation-style-language/schema/raw/master/csl-citation.json"} </w:instrText>
      </w:r>
      <w:r w:rsidRPr="00A931FE">
        <w:rPr>
          <w:rFonts w:cs="Arial"/>
          <w:sz w:val="24"/>
        </w:rPr>
        <w:fldChar w:fldCharType="separate"/>
      </w:r>
      <w:r w:rsidR="00461973" w:rsidRPr="00A931FE">
        <w:rPr>
          <w:rFonts w:cs="Arial"/>
          <w:sz w:val="24"/>
          <w:vertAlign w:val="superscript"/>
        </w:rPr>
        <w:t>2–4</w:t>
      </w:r>
      <w:r w:rsidRPr="00A931FE">
        <w:rPr>
          <w:rFonts w:cs="Arial"/>
          <w:sz w:val="24"/>
        </w:rPr>
        <w:fldChar w:fldCharType="end"/>
      </w:r>
    </w:p>
    <w:p w14:paraId="1D363CB0" w14:textId="77777777" w:rsidR="00211362" w:rsidRPr="00A931FE" w:rsidRDefault="00211362" w:rsidP="00211362">
      <w:pPr>
        <w:spacing w:line="360" w:lineRule="auto"/>
        <w:contextualSpacing/>
        <w:rPr>
          <w:rFonts w:cs="Arial"/>
          <w:sz w:val="24"/>
        </w:rPr>
      </w:pP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4358"/>
        <w:gridCol w:w="1980"/>
      </w:tblGrid>
      <w:tr w:rsidR="00211362" w:rsidRPr="00A931FE" w14:paraId="190B885C" w14:textId="77777777" w:rsidTr="00FA2B0B">
        <w:trPr>
          <w:trHeight w:val="222"/>
        </w:trPr>
        <w:tc>
          <w:tcPr>
            <w:tcW w:w="1332" w:type="pct"/>
          </w:tcPr>
          <w:p w14:paraId="44C2FCDC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 xml:space="preserve">TEAE </w:t>
            </w:r>
          </w:p>
        </w:tc>
        <w:tc>
          <w:tcPr>
            <w:tcW w:w="2522" w:type="pct"/>
          </w:tcPr>
          <w:p w14:paraId="076B645C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Resources used for treatment and follow-up</w:t>
            </w:r>
          </w:p>
        </w:tc>
        <w:tc>
          <w:tcPr>
            <w:tcW w:w="1146" w:type="pct"/>
          </w:tcPr>
          <w:p w14:paraId="3DF5C822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Unit cost (cost per resource)</w:t>
            </w:r>
          </w:p>
        </w:tc>
      </w:tr>
      <w:tr w:rsidR="00211362" w:rsidRPr="00A931FE" w14:paraId="0ADF585F" w14:textId="77777777" w:rsidTr="00FA2B0B">
        <w:trPr>
          <w:trHeight w:val="108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A7AFA40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Blood and lymphatic system disorders</w:t>
            </w:r>
          </w:p>
        </w:tc>
      </w:tr>
      <w:tr w:rsidR="00211362" w:rsidRPr="00A931FE" w14:paraId="45674245" w14:textId="77777777" w:rsidTr="00FA2B0B">
        <w:trPr>
          <w:trHeight w:val="108"/>
        </w:trPr>
        <w:tc>
          <w:tcPr>
            <w:tcW w:w="1332" w:type="pct"/>
          </w:tcPr>
          <w:p w14:paraId="354DF64D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Thrombocytopenia</w:t>
            </w:r>
          </w:p>
        </w:tc>
        <w:tc>
          <w:tcPr>
            <w:tcW w:w="2522" w:type="pct"/>
          </w:tcPr>
          <w:p w14:paraId="0AEEADE2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complete blood count (10% of patients)</w:t>
            </w:r>
          </w:p>
        </w:tc>
        <w:tc>
          <w:tcPr>
            <w:tcW w:w="1146" w:type="pct"/>
          </w:tcPr>
          <w:p w14:paraId="01917CA4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$7.92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1215953A" w14:textId="77777777" w:rsidTr="00FA2B0B">
        <w:trPr>
          <w:trHeight w:val="99"/>
        </w:trPr>
        <w:tc>
          <w:tcPr>
            <w:tcW w:w="1332" w:type="pct"/>
          </w:tcPr>
          <w:p w14:paraId="25662EBB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Anemia</w:t>
            </w:r>
          </w:p>
        </w:tc>
        <w:tc>
          <w:tcPr>
            <w:tcW w:w="2522" w:type="pct"/>
          </w:tcPr>
          <w:p w14:paraId="5C1B7CD2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2 blood transfusions</w:t>
            </w:r>
          </w:p>
          <w:p w14:paraId="259069AB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2 bags of packed RBCs (1 per transfusion)</w:t>
            </w:r>
          </w:p>
          <w:p w14:paraId="303295BF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complete blood count</w:t>
            </w:r>
          </w:p>
        </w:tc>
        <w:tc>
          <w:tcPr>
            <w:tcW w:w="1146" w:type="pct"/>
          </w:tcPr>
          <w:p w14:paraId="1FA784F3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$36.00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78A41978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$239.73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b</w:t>
            </w:r>
          </w:p>
          <w:p w14:paraId="4A71FD77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$7.92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5384BB85" w14:textId="77777777" w:rsidTr="00FA2B0B">
        <w:trPr>
          <w:trHeight w:val="99"/>
        </w:trPr>
        <w:tc>
          <w:tcPr>
            <w:tcW w:w="1332" w:type="pct"/>
          </w:tcPr>
          <w:p w14:paraId="610A8120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Neutropenia</w:t>
            </w:r>
          </w:p>
        </w:tc>
        <w:tc>
          <w:tcPr>
            <w:tcW w:w="2522" w:type="pct"/>
          </w:tcPr>
          <w:p w14:paraId="6B088529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2 complete blood counts</w:t>
            </w:r>
          </w:p>
        </w:tc>
        <w:tc>
          <w:tcPr>
            <w:tcW w:w="1146" w:type="pct"/>
          </w:tcPr>
          <w:p w14:paraId="40E95C3F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$7.92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01A82A2B" w14:textId="77777777" w:rsidTr="00FA2B0B">
        <w:trPr>
          <w:trHeight w:val="99"/>
        </w:trPr>
        <w:tc>
          <w:tcPr>
            <w:tcW w:w="1332" w:type="pct"/>
          </w:tcPr>
          <w:p w14:paraId="261AC6F8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Leukopenia</w:t>
            </w:r>
          </w:p>
        </w:tc>
        <w:tc>
          <w:tcPr>
            <w:tcW w:w="2522" w:type="pct"/>
          </w:tcPr>
          <w:p w14:paraId="6C4FCFEA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2 complete blood counts</w:t>
            </w:r>
          </w:p>
        </w:tc>
        <w:tc>
          <w:tcPr>
            <w:tcW w:w="1146" w:type="pct"/>
          </w:tcPr>
          <w:p w14:paraId="4CE82A36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$7.92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144B4E9D" w14:textId="77777777" w:rsidTr="00FA2B0B">
        <w:trPr>
          <w:trHeight w:val="99"/>
        </w:trPr>
        <w:tc>
          <w:tcPr>
            <w:tcW w:w="1332" w:type="pct"/>
          </w:tcPr>
          <w:p w14:paraId="2B667137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Lymphopenia</w:t>
            </w:r>
          </w:p>
        </w:tc>
        <w:tc>
          <w:tcPr>
            <w:tcW w:w="2522" w:type="pct"/>
          </w:tcPr>
          <w:p w14:paraId="14120A4D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3 complete blood counts</w:t>
            </w:r>
          </w:p>
        </w:tc>
        <w:tc>
          <w:tcPr>
            <w:tcW w:w="1146" w:type="pct"/>
          </w:tcPr>
          <w:p w14:paraId="1321D73F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$7.92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130D22A5" w14:textId="77777777" w:rsidTr="00FA2B0B">
        <w:trPr>
          <w:trHeight w:val="9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8139A24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Gastrointestinal disorders</w:t>
            </w:r>
          </w:p>
        </w:tc>
      </w:tr>
      <w:tr w:rsidR="00211362" w:rsidRPr="00A931FE" w14:paraId="3FE533F0" w14:textId="77777777" w:rsidTr="00FA2B0B">
        <w:trPr>
          <w:trHeight w:val="99"/>
        </w:trPr>
        <w:tc>
          <w:tcPr>
            <w:tcW w:w="1332" w:type="pct"/>
          </w:tcPr>
          <w:p w14:paraId="79F6E1AD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Nausea</w:t>
            </w:r>
          </w:p>
        </w:tc>
        <w:tc>
          <w:tcPr>
            <w:tcW w:w="2522" w:type="pct"/>
          </w:tcPr>
          <w:p w14:paraId="0F3CA838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physician visit</w:t>
            </w:r>
          </w:p>
          <w:p w14:paraId="250E19AD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intravenous fluids at physician visit (90% of patients)</w:t>
            </w:r>
          </w:p>
          <w:p w14:paraId="28FBD791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nausea (10% of patients)</w:t>
            </w:r>
          </w:p>
        </w:tc>
        <w:tc>
          <w:tcPr>
            <w:tcW w:w="1146" w:type="pct"/>
          </w:tcPr>
          <w:p w14:paraId="6089A7B8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$74.16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1BF43A14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$47.52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0364CAE4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4CC83417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37833717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$4,949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</w:tc>
      </w:tr>
      <w:tr w:rsidR="00211362" w:rsidRPr="00A931FE" w14:paraId="279A1098" w14:textId="77777777" w:rsidTr="00FA2B0B">
        <w:trPr>
          <w:trHeight w:val="99"/>
        </w:trPr>
        <w:tc>
          <w:tcPr>
            <w:tcW w:w="1332" w:type="pct"/>
          </w:tcPr>
          <w:p w14:paraId="57065C12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Diarrhea</w:t>
            </w:r>
          </w:p>
        </w:tc>
        <w:tc>
          <w:tcPr>
            <w:tcW w:w="2522" w:type="pct"/>
          </w:tcPr>
          <w:p w14:paraId="2A070F3C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physician visit</w:t>
            </w:r>
          </w:p>
          <w:p w14:paraId="6BE02B77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intravenous fluids at physician visit (90% of patients)</w:t>
            </w:r>
          </w:p>
          <w:p w14:paraId="11F056B0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diarrhea (10% of patients)</w:t>
            </w:r>
          </w:p>
        </w:tc>
        <w:tc>
          <w:tcPr>
            <w:tcW w:w="1146" w:type="pct"/>
          </w:tcPr>
          <w:p w14:paraId="4C3A6B7D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$74.16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783A742C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$47.52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7587AD0C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7106A94E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$7,066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</w:tc>
      </w:tr>
      <w:tr w:rsidR="00211362" w:rsidRPr="00A931FE" w14:paraId="0587EB51" w14:textId="77777777" w:rsidTr="00FA2B0B">
        <w:trPr>
          <w:trHeight w:val="9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5C7B696A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General disorders and administration site conditions</w:t>
            </w:r>
          </w:p>
        </w:tc>
      </w:tr>
      <w:tr w:rsidR="00211362" w:rsidRPr="00A931FE" w14:paraId="711DFB6F" w14:textId="77777777" w:rsidTr="00FA2B0B">
        <w:trPr>
          <w:trHeight w:val="99"/>
        </w:trPr>
        <w:tc>
          <w:tcPr>
            <w:tcW w:w="1332" w:type="pct"/>
          </w:tcPr>
          <w:p w14:paraId="4A5B33CE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Fatigue</w:t>
            </w:r>
          </w:p>
        </w:tc>
        <w:tc>
          <w:tcPr>
            <w:tcW w:w="2522" w:type="pct"/>
          </w:tcPr>
          <w:p w14:paraId="27DF3436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1 physician visit</w:t>
            </w:r>
          </w:p>
        </w:tc>
        <w:tc>
          <w:tcPr>
            <w:tcW w:w="1146" w:type="pct"/>
          </w:tcPr>
          <w:p w14:paraId="38E2D54F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$74.16</w:t>
            </w:r>
            <w:r w:rsidRPr="00A931FE">
              <w:rPr>
                <w:rFonts w:eastAsiaTheme="minorHAnsi"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441D6266" w14:textId="77777777" w:rsidTr="00FA2B0B">
        <w:trPr>
          <w:trHeight w:val="99"/>
        </w:trPr>
        <w:tc>
          <w:tcPr>
            <w:tcW w:w="1332" w:type="pct"/>
          </w:tcPr>
          <w:p w14:paraId="2643B2F5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Asthenia</w:t>
            </w:r>
          </w:p>
        </w:tc>
        <w:tc>
          <w:tcPr>
            <w:tcW w:w="2522" w:type="pct"/>
          </w:tcPr>
          <w:p w14:paraId="0E352E8F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1 physician visit</w:t>
            </w:r>
          </w:p>
        </w:tc>
        <w:tc>
          <w:tcPr>
            <w:tcW w:w="1146" w:type="pct"/>
          </w:tcPr>
          <w:p w14:paraId="2947D75A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eastAsiaTheme="minorHAnsi" w:cs="Arial"/>
                <w:sz w:val="20"/>
                <w:szCs w:val="20"/>
              </w:rPr>
              <w:t>$74.16</w:t>
            </w:r>
            <w:r w:rsidRPr="00A931FE">
              <w:rPr>
                <w:rFonts w:eastAsiaTheme="minorHAnsi" w:cs="Arial"/>
                <w:sz w:val="20"/>
                <w:szCs w:val="20"/>
                <w:vertAlign w:val="superscript"/>
              </w:rPr>
              <w:t>a</w:t>
            </w:r>
          </w:p>
        </w:tc>
      </w:tr>
      <w:tr w:rsidR="00211362" w:rsidRPr="00A931FE" w14:paraId="6C6C4886" w14:textId="77777777" w:rsidTr="00FA2B0B">
        <w:trPr>
          <w:trHeight w:val="9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3654C091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Infection and infestation</w:t>
            </w:r>
          </w:p>
        </w:tc>
      </w:tr>
      <w:tr w:rsidR="00211362" w:rsidRPr="00A931FE" w14:paraId="254CA335" w14:textId="77777777" w:rsidTr="00FA2B0B">
        <w:trPr>
          <w:trHeight w:val="99"/>
        </w:trPr>
        <w:tc>
          <w:tcPr>
            <w:tcW w:w="1332" w:type="pct"/>
          </w:tcPr>
          <w:p w14:paraId="11273252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Pneumonia</w:t>
            </w:r>
          </w:p>
        </w:tc>
        <w:tc>
          <w:tcPr>
            <w:tcW w:w="2522" w:type="pct"/>
          </w:tcPr>
          <w:p w14:paraId="27C22E29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pneumonia</w:t>
            </w:r>
          </w:p>
        </w:tc>
        <w:tc>
          <w:tcPr>
            <w:tcW w:w="1146" w:type="pct"/>
          </w:tcPr>
          <w:p w14:paraId="5F71A17A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$9,077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</w:tc>
      </w:tr>
      <w:tr w:rsidR="00211362" w:rsidRPr="00A931FE" w14:paraId="1F792C40" w14:textId="77777777" w:rsidTr="00FA2B0B">
        <w:trPr>
          <w:trHeight w:val="99"/>
        </w:trPr>
        <w:tc>
          <w:tcPr>
            <w:tcW w:w="1332" w:type="pct"/>
          </w:tcPr>
          <w:p w14:paraId="081DF296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Sepsis</w:t>
            </w:r>
          </w:p>
        </w:tc>
        <w:tc>
          <w:tcPr>
            <w:tcW w:w="2522" w:type="pct"/>
          </w:tcPr>
          <w:p w14:paraId="7FF01F28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sepsis</w:t>
            </w:r>
          </w:p>
        </w:tc>
        <w:tc>
          <w:tcPr>
            <w:tcW w:w="1146" w:type="pct"/>
          </w:tcPr>
          <w:p w14:paraId="39E84A5A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$12,184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</w:tc>
      </w:tr>
      <w:tr w:rsidR="00211362" w:rsidRPr="00A931FE" w14:paraId="40DA3F5F" w14:textId="77777777" w:rsidTr="00FA2B0B">
        <w:trPr>
          <w:trHeight w:val="9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6A346A8" w14:textId="77777777" w:rsidR="00211362" w:rsidRPr="00A931FE" w:rsidRDefault="00211362" w:rsidP="00FA2B0B">
            <w:pPr>
              <w:rPr>
                <w:rFonts w:eastAsiaTheme="minorHAnsi" w:cs="Arial"/>
                <w:b/>
                <w:bCs/>
                <w:sz w:val="20"/>
                <w:szCs w:val="20"/>
              </w:rPr>
            </w:pPr>
            <w:r w:rsidRPr="00A931FE">
              <w:rPr>
                <w:rFonts w:eastAsiaTheme="minorHAnsi" w:cs="Arial"/>
                <w:b/>
                <w:bCs/>
                <w:sz w:val="20"/>
                <w:szCs w:val="20"/>
              </w:rPr>
              <w:t>Metabolism and nutrition disorders</w:t>
            </w:r>
          </w:p>
        </w:tc>
      </w:tr>
      <w:tr w:rsidR="00211362" w:rsidRPr="00A931FE" w14:paraId="4B3EFED0" w14:textId="77777777" w:rsidTr="00FA2B0B">
        <w:trPr>
          <w:trHeight w:val="99"/>
        </w:trPr>
        <w:tc>
          <w:tcPr>
            <w:tcW w:w="1332" w:type="pct"/>
            <w:tcBorders>
              <w:bottom w:val="single" w:sz="4" w:space="0" w:color="auto"/>
            </w:tcBorders>
          </w:tcPr>
          <w:p w14:paraId="0FBDFD07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Hyponatremia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06A09D09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physician visit</w:t>
            </w:r>
          </w:p>
          <w:p w14:paraId="5AB50B2E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additional physician visit (50% of patients)</w:t>
            </w:r>
          </w:p>
          <w:p w14:paraId="6E7AC44A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electrolyte panel</w:t>
            </w:r>
          </w:p>
          <w:p w14:paraId="76C95041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intravenous fluids (sodium) (50% of patients)</w:t>
            </w:r>
          </w:p>
          <w:p w14:paraId="2418B3BE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hyponatremia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62B449AD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$74.16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397B60E4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4D40EC02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$8.64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4EAAF91E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$47.52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1023DF6C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$6,895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</w:tc>
      </w:tr>
      <w:tr w:rsidR="00211362" w:rsidRPr="00A931FE" w14:paraId="2B41265C" w14:textId="77777777" w:rsidTr="00FA2B0B">
        <w:trPr>
          <w:trHeight w:val="99"/>
        </w:trPr>
        <w:tc>
          <w:tcPr>
            <w:tcW w:w="1332" w:type="pct"/>
            <w:tcBorders>
              <w:bottom w:val="single" w:sz="4" w:space="0" w:color="auto"/>
            </w:tcBorders>
          </w:tcPr>
          <w:p w14:paraId="4AC23D77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Hypokalemia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14:paraId="18BCD826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physician visit</w:t>
            </w:r>
          </w:p>
          <w:p w14:paraId="1FBCDC15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additional physician visit (50% of patients)</w:t>
            </w:r>
          </w:p>
          <w:p w14:paraId="2B53E6E6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electrolyte panel</w:t>
            </w:r>
          </w:p>
          <w:p w14:paraId="4CCDD427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intravenous fluids (potassium) (50% of patients)</w:t>
            </w:r>
          </w:p>
          <w:p w14:paraId="0F50CAC4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inpatient hospitalization for hypokalemia (10% of patients)</w:t>
            </w:r>
          </w:p>
          <w:p w14:paraId="297F7894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1 electrocardiogram (50% of patients)</w:t>
            </w:r>
          </w:p>
        </w:tc>
        <w:tc>
          <w:tcPr>
            <w:tcW w:w="1146" w:type="pct"/>
            <w:tcBorders>
              <w:bottom w:val="single" w:sz="4" w:space="0" w:color="auto"/>
            </w:tcBorders>
          </w:tcPr>
          <w:p w14:paraId="1A418229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$74.16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5E2B21CE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37BCBD8B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$8.64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5EC051F0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$47.52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  <w:p w14:paraId="1314593B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0EAFD546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$6,420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c</w:t>
            </w:r>
          </w:p>
          <w:p w14:paraId="0A9591AF" w14:textId="77777777" w:rsidR="00211362" w:rsidRPr="00A931FE" w:rsidRDefault="00211362" w:rsidP="00FA2B0B">
            <w:pPr>
              <w:rPr>
                <w:rFonts w:cs="Arial"/>
                <w:sz w:val="20"/>
                <w:szCs w:val="20"/>
              </w:rPr>
            </w:pPr>
          </w:p>
          <w:p w14:paraId="2702A358" w14:textId="77777777" w:rsidR="00211362" w:rsidRPr="00A931FE" w:rsidRDefault="00211362" w:rsidP="00FA2B0B">
            <w:pPr>
              <w:rPr>
                <w:rFonts w:eastAsiaTheme="minorHAnsi" w:cs="Arial"/>
                <w:sz w:val="20"/>
                <w:szCs w:val="20"/>
              </w:rPr>
            </w:pPr>
            <w:r w:rsidRPr="00A931FE">
              <w:rPr>
                <w:rFonts w:cs="Arial"/>
                <w:sz w:val="20"/>
                <w:szCs w:val="20"/>
              </w:rPr>
              <w:t>$17.28</w:t>
            </w:r>
            <w:r w:rsidRPr="00A931FE">
              <w:rPr>
                <w:rFonts w:cs="Arial"/>
                <w:sz w:val="20"/>
                <w:szCs w:val="20"/>
                <w:vertAlign w:val="superscript"/>
              </w:rPr>
              <w:t>a</w:t>
            </w:r>
          </w:p>
        </w:tc>
      </w:tr>
    </w:tbl>
    <w:p w14:paraId="7D696485" w14:textId="5F81F898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</w:rPr>
        <w:t>All costs inflated to 2018 values using PCE inflation index.</w:t>
      </w:r>
      <w:r w:rsidRPr="00A931FE">
        <w:rPr>
          <w:rFonts w:ascii="Arial" w:hAnsi="Arial" w:cs="Arial"/>
          <w:sz w:val="20"/>
          <w:szCs w:val="20"/>
        </w:rPr>
        <w:fldChar w:fldCharType="begin"/>
      </w:r>
      <w:r w:rsidR="00461973" w:rsidRPr="00A931FE">
        <w:rPr>
          <w:rFonts w:ascii="Arial" w:hAnsi="Arial" w:cs="Arial"/>
          <w:sz w:val="20"/>
          <w:szCs w:val="20"/>
        </w:rPr>
        <w:instrText xml:space="preserve"> ADDIN ZOTERO_ITEM CSL_CITATION {"citationID":"QYiHGQ6X","properties":{"formattedCitation":"\\super 3\\nosupersub{}","plainCitation":"3","noteIndex":0},"citationItems":[{"id":391,"uris":["http://zotero.org/users/6115034/items/CRQMCHBP"],"uri":["http://zotero.org/users/6115034/items/CRQMCHBP"],"itemData":{"id":391,"type":"article","title":"Bureau of Economic Analysis, 2018: Table 2.4.4U. Price Indexes for Personal Consumption Expenditures by Type of Product","issued":{"date-parts":[["2018",12,21]]}}}],"schema":"https://github.com/citation-style-language/schema/raw/master/csl-citation.json"} </w:instrText>
      </w:r>
      <w:r w:rsidRPr="00A931FE">
        <w:rPr>
          <w:rFonts w:ascii="Arial" w:hAnsi="Arial" w:cs="Arial"/>
          <w:sz w:val="20"/>
          <w:szCs w:val="20"/>
        </w:rPr>
        <w:fldChar w:fldCharType="separate"/>
      </w:r>
      <w:r w:rsidR="00461973" w:rsidRPr="00A931FE">
        <w:rPr>
          <w:rFonts w:ascii="Arial" w:hAnsi="Arial" w:cs="Arial"/>
          <w:sz w:val="20"/>
          <w:vertAlign w:val="superscript"/>
        </w:rPr>
        <w:t>3</w:t>
      </w:r>
      <w:r w:rsidRPr="00A931FE">
        <w:rPr>
          <w:rFonts w:ascii="Arial" w:hAnsi="Arial" w:cs="Arial"/>
          <w:sz w:val="20"/>
          <w:szCs w:val="20"/>
        </w:rPr>
        <w:fldChar w:fldCharType="end"/>
      </w:r>
      <w:r w:rsidRPr="00A931FE">
        <w:rPr>
          <w:rFonts w:ascii="Arial" w:hAnsi="Arial" w:cs="Arial"/>
          <w:sz w:val="20"/>
          <w:szCs w:val="20"/>
        </w:rPr>
        <w:t xml:space="preserve"> Unless otherwise noted, 100% of patients with the TEAE used each resource. </w:t>
      </w:r>
    </w:p>
    <w:p w14:paraId="4F423EFF" w14:textId="77777777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</w:rPr>
        <w:t>CPT=current procedural terminology; ICD=International Statistical Classification of Diseases; PCE=personal consumption expenditure; RBC=red blood cells; TEAE=treatment-emergent adverse event.</w:t>
      </w:r>
    </w:p>
    <w:p w14:paraId="3B77A011" w14:textId="5C31F5C8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A931FE">
        <w:rPr>
          <w:rFonts w:ascii="Arial" w:hAnsi="Arial" w:cs="Arial"/>
          <w:sz w:val="20"/>
          <w:szCs w:val="20"/>
        </w:rPr>
        <w:t>CPT codes: blood transfusion, 36430; electrolyte panel, 80051; complete blood count, 85027; electrocardiogram, 93000; intravenous infusion 31 minutes to 1 hour (hydration, sodium, or potassium), 96360; outpatient visit (15 minutes), 99213.</w:t>
      </w:r>
      <w:r w:rsidRPr="00A931FE">
        <w:rPr>
          <w:rFonts w:ascii="Arial" w:hAnsi="Arial" w:cs="Arial"/>
          <w:sz w:val="20"/>
          <w:szCs w:val="20"/>
        </w:rPr>
        <w:fldChar w:fldCharType="begin"/>
      </w:r>
      <w:r w:rsidR="00461973" w:rsidRPr="00A931FE">
        <w:rPr>
          <w:rFonts w:ascii="Arial" w:hAnsi="Arial" w:cs="Arial"/>
          <w:sz w:val="20"/>
          <w:szCs w:val="20"/>
        </w:rPr>
        <w:instrText xml:space="preserve"> ADDIN ZOTERO_ITEM CSL_CITATION {"citationID":"YNJvG7VK","properties":{"formattedCitation":"\\super 5\\nosupersub{}","plainCitation":"5","noteIndex":0},"citationItems":[{"id":397,"uris":["http://zotero.org/users/6115034/items/58GXIAXE"],"uri":["http://zotero.org/users/6115034/items/58GXIAXE"],"itemData":{"id":397,"type":"article","publisher":"Utah: OptumInsight, Inc.","title":"Essential RBRVS 2018: A comprehensive listing of RBRVS values for CPT and HCPCS codes.","issued":{"date-parts":[["2018"]]}}}],"schema":"https://github.com/citation-style-language/schema/raw/master/csl-citation.json"} </w:instrText>
      </w:r>
      <w:r w:rsidRPr="00A931FE">
        <w:rPr>
          <w:rFonts w:ascii="Arial" w:hAnsi="Arial" w:cs="Arial"/>
          <w:sz w:val="20"/>
          <w:szCs w:val="20"/>
        </w:rPr>
        <w:fldChar w:fldCharType="separate"/>
      </w:r>
      <w:r w:rsidR="00461973" w:rsidRPr="00A931FE">
        <w:rPr>
          <w:rFonts w:ascii="Arial" w:hAnsi="Arial" w:cs="Arial"/>
          <w:sz w:val="20"/>
          <w:vertAlign w:val="superscript"/>
        </w:rPr>
        <w:t>5</w:t>
      </w:r>
      <w:r w:rsidRPr="00A931FE">
        <w:rPr>
          <w:rFonts w:ascii="Arial" w:hAnsi="Arial" w:cs="Arial"/>
          <w:sz w:val="20"/>
          <w:szCs w:val="20"/>
        </w:rPr>
        <w:fldChar w:fldCharType="end"/>
      </w:r>
      <w:r w:rsidRPr="00A931FE">
        <w:rPr>
          <w:rFonts w:ascii="Arial" w:hAnsi="Arial" w:cs="Arial"/>
          <w:sz w:val="20"/>
          <w:szCs w:val="20"/>
        </w:rPr>
        <w:t xml:space="preserve"> </w:t>
      </w:r>
    </w:p>
    <w:p w14:paraId="7744876F" w14:textId="155F99A4" w:rsidR="00211362" w:rsidRPr="00A931FE" w:rsidRDefault="00211362" w:rsidP="00211362">
      <w:pPr>
        <w:pStyle w:val="Default"/>
        <w:rPr>
          <w:rFonts w:ascii="Arial" w:hAnsi="Arial" w:cs="Arial"/>
          <w:sz w:val="20"/>
          <w:szCs w:val="20"/>
        </w:rPr>
      </w:pPr>
      <w:r w:rsidRPr="00A931FE">
        <w:rPr>
          <w:rFonts w:ascii="Arial" w:hAnsi="Arial" w:cs="Arial"/>
          <w:sz w:val="20"/>
          <w:szCs w:val="20"/>
          <w:vertAlign w:val="superscript"/>
        </w:rPr>
        <w:lastRenderedPageBreak/>
        <w:t xml:space="preserve">b </w:t>
      </w:r>
      <w:r w:rsidRPr="00A931FE">
        <w:rPr>
          <w:rFonts w:ascii="Arial" w:hAnsi="Arial" w:cs="Arial"/>
          <w:sz w:val="20"/>
          <w:szCs w:val="20"/>
        </w:rPr>
        <w:t>2011 national blood collection and survey report by US Department of Health and Human Services.</w:t>
      </w:r>
      <w:r w:rsidRPr="00A931FE">
        <w:rPr>
          <w:rFonts w:ascii="Arial" w:hAnsi="Arial" w:cs="Arial"/>
          <w:sz w:val="20"/>
          <w:szCs w:val="20"/>
        </w:rPr>
        <w:fldChar w:fldCharType="begin"/>
      </w:r>
      <w:r w:rsidR="00461973" w:rsidRPr="00A931FE">
        <w:rPr>
          <w:rFonts w:ascii="Arial" w:hAnsi="Arial" w:cs="Arial"/>
          <w:sz w:val="20"/>
          <w:szCs w:val="20"/>
        </w:rPr>
        <w:instrText xml:space="preserve"> ADDIN ZOTERO_ITEM CSL_CITATION {"citationID":"G3fsQz45","properties":{"formattedCitation":"\\super 4\\nosupersub{}","plainCitation":"4","noteIndex":0},"citationItems":[{"id":425,"uris":["http://zotero.org/users/6115034/items/TWGAP4Y9"],"uri":["http://zotero.org/users/6115034/items/TWGAP4Y9"],"itemData":{"id":425,"type":"article","publisher":"U.S. Department of Health and Human Services","title":"The 2011 National Blood Collection and Utilization Survey Report","URL":"https://www.hhs.gov/sites/default/files/ash/bloodsafety/2011-nbcus.pdf","accessed":{"date-parts":[["2019",2,1]]}}}],"schema":"https://github.com/citation-style-language/schema/raw/master/csl-citation.json"} </w:instrText>
      </w:r>
      <w:r w:rsidRPr="00A931FE">
        <w:rPr>
          <w:rFonts w:ascii="Arial" w:hAnsi="Arial" w:cs="Arial"/>
          <w:sz w:val="20"/>
          <w:szCs w:val="20"/>
        </w:rPr>
        <w:fldChar w:fldCharType="separate"/>
      </w:r>
      <w:r w:rsidR="00461973" w:rsidRPr="00A931FE">
        <w:rPr>
          <w:rFonts w:ascii="Arial" w:hAnsi="Arial" w:cs="Arial"/>
          <w:sz w:val="20"/>
          <w:vertAlign w:val="superscript"/>
        </w:rPr>
        <w:t>4</w:t>
      </w:r>
      <w:r w:rsidRPr="00A931FE">
        <w:rPr>
          <w:rFonts w:ascii="Arial" w:hAnsi="Arial" w:cs="Arial"/>
          <w:sz w:val="20"/>
          <w:szCs w:val="20"/>
        </w:rPr>
        <w:fldChar w:fldCharType="end"/>
      </w:r>
      <w:r w:rsidRPr="00A931FE">
        <w:rPr>
          <w:rFonts w:ascii="Arial" w:hAnsi="Arial" w:cs="Arial"/>
          <w:sz w:val="20"/>
          <w:szCs w:val="20"/>
        </w:rPr>
        <w:t xml:space="preserve"> </w:t>
      </w:r>
    </w:p>
    <w:p w14:paraId="1B0CB6AC" w14:textId="5FAD5611" w:rsidR="00211362" w:rsidRPr="00A931FE" w:rsidRDefault="00211362" w:rsidP="00211362">
      <w:pPr>
        <w:rPr>
          <w:rFonts w:cs="Arial"/>
          <w:sz w:val="20"/>
          <w:szCs w:val="20"/>
        </w:rPr>
      </w:pPr>
      <w:r w:rsidRPr="00A931FE">
        <w:rPr>
          <w:rFonts w:cs="Arial"/>
          <w:sz w:val="20"/>
          <w:szCs w:val="20"/>
          <w:vertAlign w:val="superscript"/>
        </w:rPr>
        <w:t xml:space="preserve">c </w:t>
      </w:r>
      <w:r w:rsidRPr="00A931FE">
        <w:rPr>
          <w:rFonts w:cs="Arial"/>
          <w:sz w:val="20"/>
          <w:szCs w:val="20"/>
        </w:rPr>
        <w:t>ICD-9 codes: Nausea, 787.03; Diarrhea, 787.91; Pneumonia, 486; Sepsis, 995.91; Hyponatremia, 276.1; Hypokalemia, 276.8.</w:t>
      </w:r>
      <w:r w:rsidRPr="00A931FE">
        <w:rPr>
          <w:rFonts w:cs="Arial"/>
          <w:sz w:val="20"/>
          <w:szCs w:val="20"/>
        </w:rPr>
        <w:fldChar w:fldCharType="begin"/>
      </w:r>
      <w:r w:rsidR="00461973" w:rsidRPr="00A931FE">
        <w:rPr>
          <w:rFonts w:cs="Arial"/>
          <w:sz w:val="20"/>
          <w:szCs w:val="20"/>
        </w:rPr>
        <w:instrText xml:space="preserve"> ADDIN ZOTERO_ITEM CSL_CITATION {"citationID":"8eKnpXo1","properties":{"formattedCitation":"\\super 2\\nosupersub{}","plainCitation":"2","noteIndex":0},"citationItems":[{"id":409,"uris":["http://zotero.org/users/6115034/items/EKQE5TAU"],"uri":["http://zotero.org/users/6115034/items/EKQE5TAU"],"itemData":{"id":409,"type":"article","title":"HCUPnet, Healthcare Cost and Utilization Project. Agency for Healthcare Research and Quality, Rockville, MD","URL":"https://hcupnet.ahrq.gov/","accessed":{"date-parts":[["2018",12,18]]}}}],"schema":"https://github.com/citation-style-language/schema/raw/master/csl-citation.json"} </w:instrText>
      </w:r>
      <w:r w:rsidRPr="00A931FE">
        <w:rPr>
          <w:rFonts w:cs="Arial"/>
          <w:sz w:val="20"/>
          <w:szCs w:val="20"/>
        </w:rPr>
        <w:fldChar w:fldCharType="separate"/>
      </w:r>
      <w:r w:rsidR="00461973" w:rsidRPr="00A931FE">
        <w:rPr>
          <w:rFonts w:cs="Arial"/>
          <w:sz w:val="20"/>
          <w:vertAlign w:val="superscript"/>
        </w:rPr>
        <w:t>2</w:t>
      </w:r>
      <w:r w:rsidRPr="00A931FE">
        <w:rPr>
          <w:rFonts w:cs="Arial"/>
          <w:sz w:val="20"/>
          <w:szCs w:val="20"/>
        </w:rPr>
        <w:fldChar w:fldCharType="end"/>
      </w:r>
    </w:p>
    <w:p w14:paraId="51C89603" w14:textId="77777777" w:rsidR="00211362" w:rsidRPr="00A931FE" w:rsidRDefault="00211362" w:rsidP="00211362">
      <w:pPr>
        <w:autoSpaceDE w:val="0"/>
        <w:autoSpaceDN w:val="0"/>
        <w:adjustRightInd w:val="0"/>
        <w:spacing w:line="360" w:lineRule="auto"/>
        <w:contextualSpacing/>
        <w:rPr>
          <w:lang w:val="en-CA"/>
        </w:rPr>
      </w:pPr>
    </w:p>
    <w:p w14:paraId="0FDC18A7" w14:textId="77777777" w:rsidR="00A11E68" w:rsidRPr="00A931FE" w:rsidRDefault="00A11E68" w:rsidP="00A11E68">
      <w:pPr>
        <w:rPr>
          <w:rFonts w:asciiTheme="minorHAnsi" w:hAnsiTheme="minorHAnsi"/>
          <w:sz w:val="24"/>
        </w:rPr>
      </w:pPr>
    </w:p>
    <w:p w14:paraId="09AA81BC" w14:textId="77777777" w:rsidR="00A11E68" w:rsidRPr="00A931FE" w:rsidRDefault="00A11E68" w:rsidP="00A11E68">
      <w:pPr>
        <w:rPr>
          <w:rFonts w:asciiTheme="minorHAnsi" w:hAnsiTheme="minorHAnsi"/>
          <w:sz w:val="24"/>
        </w:rPr>
      </w:pPr>
    </w:p>
    <w:p w14:paraId="2DA789B6" w14:textId="50EFCFB6" w:rsidR="00D712E6" w:rsidRPr="00A931FE" w:rsidRDefault="00D712E6" w:rsidP="00D712E6">
      <w:pPr>
        <w:pStyle w:val="Default"/>
        <w:spacing w:line="360" w:lineRule="auto"/>
        <w:contextualSpacing/>
        <w:rPr>
          <w:rFonts w:ascii="Arial" w:hAnsi="Arial" w:cs="Arial"/>
        </w:rPr>
      </w:pPr>
      <w:r w:rsidRPr="00A931FE">
        <w:rPr>
          <w:rFonts w:ascii="Arial" w:hAnsi="Arial" w:cs="Arial"/>
          <w:b/>
          <w:bCs/>
        </w:rPr>
        <w:t xml:space="preserve">Supplementary </w:t>
      </w:r>
      <w:r w:rsidR="00FD5CAA" w:rsidRPr="00A931FE">
        <w:rPr>
          <w:rFonts w:ascii="Arial" w:hAnsi="Arial" w:cs="Arial"/>
          <w:b/>
          <w:bCs/>
        </w:rPr>
        <w:t>T</w:t>
      </w:r>
      <w:r w:rsidRPr="00A931FE">
        <w:rPr>
          <w:rFonts w:ascii="Arial" w:hAnsi="Arial" w:cs="Arial"/>
          <w:b/>
          <w:bCs/>
        </w:rPr>
        <w:t>able 3:</w:t>
      </w:r>
      <w:r w:rsidRPr="00A931FE">
        <w:rPr>
          <w:rFonts w:ascii="Arial" w:hAnsi="Arial" w:cs="Arial"/>
        </w:rPr>
        <w:t xml:space="preserve"> </w:t>
      </w:r>
      <w:bookmarkStart w:id="0" w:name="_Hlk36743994"/>
      <w:r w:rsidRPr="00A931FE">
        <w:rPr>
          <w:rFonts w:ascii="Arial" w:hAnsi="Arial" w:cs="Arial"/>
        </w:rPr>
        <w:t>One-way sensitivity analysis results for a private payer</w:t>
      </w:r>
      <w:bookmarkEnd w:id="0"/>
    </w:p>
    <w:tbl>
      <w:tblPr>
        <w:tblStyle w:val="TableGrid"/>
        <w:tblW w:w="8640" w:type="dxa"/>
        <w:tblLayout w:type="fixed"/>
        <w:tblLook w:val="04A0" w:firstRow="1" w:lastRow="0" w:firstColumn="1" w:lastColumn="0" w:noHBand="0" w:noVBand="1"/>
      </w:tblPr>
      <w:tblGrid>
        <w:gridCol w:w="1345"/>
        <w:gridCol w:w="1175"/>
        <w:gridCol w:w="1129"/>
        <w:gridCol w:w="1206"/>
        <w:gridCol w:w="1225"/>
        <w:gridCol w:w="1295"/>
        <w:gridCol w:w="1265"/>
      </w:tblGrid>
      <w:tr w:rsidR="00D712E6" w:rsidRPr="00A931FE" w14:paraId="37BB9A8B" w14:textId="77777777" w:rsidTr="00E93001">
        <w:tc>
          <w:tcPr>
            <w:tcW w:w="1345" w:type="dxa"/>
            <w:vMerge w:val="restart"/>
          </w:tcPr>
          <w:p w14:paraId="0F5ACEEE" w14:textId="77777777" w:rsidR="00D712E6" w:rsidRPr="00A931FE" w:rsidRDefault="00D712E6" w:rsidP="00EB2584">
            <w:pPr>
              <w:pStyle w:val="Default"/>
              <w:spacing w:before="12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Input parameter</w:t>
            </w:r>
          </w:p>
        </w:tc>
        <w:tc>
          <w:tcPr>
            <w:tcW w:w="1175" w:type="dxa"/>
            <w:vMerge w:val="restart"/>
          </w:tcPr>
          <w:p w14:paraId="29C142B3" w14:textId="77777777" w:rsidR="00D712E6" w:rsidRPr="00A931FE" w:rsidRDefault="00D712E6" w:rsidP="00EB2584">
            <w:pPr>
              <w:pStyle w:val="Default"/>
              <w:spacing w:before="12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Default estimate</w:t>
            </w:r>
          </w:p>
        </w:tc>
        <w:tc>
          <w:tcPr>
            <w:tcW w:w="1129" w:type="dxa"/>
            <w:vMerge w:val="restart"/>
          </w:tcPr>
          <w:p w14:paraId="76289661" w14:textId="77777777" w:rsidR="00D712E6" w:rsidRPr="00A931FE" w:rsidRDefault="00D712E6" w:rsidP="00EB2584">
            <w:pPr>
              <w:pStyle w:val="Default"/>
              <w:spacing w:before="12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Low value</w:t>
            </w:r>
          </w:p>
        </w:tc>
        <w:tc>
          <w:tcPr>
            <w:tcW w:w="1206" w:type="dxa"/>
            <w:vMerge w:val="restart"/>
          </w:tcPr>
          <w:p w14:paraId="0E1E00C6" w14:textId="77777777" w:rsidR="00D712E6" w:rsidRPr="00A931FE" w:rsidRDefault="00D712E6" w:rsidP="00EB2584">
            <w:pPr>
              <w:pStyle w:val="Default"/>
              <w:spacing w:before="12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High value</w:t>
            </w:r>
          </w:p>
        </w:tc>
        <w:tc>
          <w:tcPr>
            <w:tcW w:w="2520" w:type="dxa"/>
            <w:gridSpan w:val="2"/>
          </w:tcPr>
          <w:p w14:paraId="30107762" w14:textId="77777777" w:rsidR="00D712E6" w:rsidRPr="00A931FE" w:rsidRDefault="00D712E6" w:rsidP="00EB2584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Budget impact in the first year</w:t>
            </w:r>
          </w:p>
        </w:tc>
        <w:tc>
          <w:tcPr>
            <w:tcW w:w="1265" w:type="dxa"/>
            <w:vMerge w:val="restart"/>
          </w:tcPr>
          <w:p w14:paraId="02C0C113" w14:textId="77777777" w:rsidR="00D712E6" w:rsidRPr="00A931FE" w:rsidRDefault="00D712E6" w:rsidP="00EB2584">
            <w:pPr>
              <w:pStyle w:val="Default"/>
              <w:spacing w:before="12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Span</w:t>
            </w:r>
          </w:p>
        </w:tc>
      </w:tr>
      <w:tr w:rsidR="00D712E6" w:rsidRPr="00A931FE" w14:paraId="35C1959E" w14:textId="77777777" w:rsidTr="00E93001">
        <w:tc>
          <w:tcPr>
            <w:tcW w:w="1345" w:type="dxa"/>
            <w:vMerge/>
          </w:tcPr>
          <w:p w14:paraId="33249985" w14:textId="77777777" w:rsidR="00D712E6" w:rsidRPr="00A931FE" w:rsidRDefault="00D712E6" w:rsidP="00EB2584">
            <w:pPr>
              <w:pStyle w:val="Default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14:paraId="1E2257B0" w14:textId="77777777" w:rsidR="00D712E6" w:rsidRPr="00A931FE" w:rsidRDefault="00D712E6" w:rsidP="00EB2584">
            <w:pPr>
              <w:pStyle w:val="Default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14:paraId="268AC2A5" w14:textId="77777777" w:rsidR="00D712E6" w:rsidRPr="00A931FE" w:rsidRDefault="00D712E6" w:rsidP="00EB2584">
            <w:pPr>
              <w:pStyle w:val="Default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45A0743" w14:textId="77777777" w:rsidR="00D712E6" w:rsidRPr="00A931FE" w:rsidRDefault="00D712E6" w:rsidP="00EB2584">
            <w:pPr>
              <w:pStyle w:val="Default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</w:tcPr>
          <w:p w14:paraId="7CD56E93" w14:textId="77777777" w:rsidR="00D712E6" w:rsidRPr="00A931FE" w:rsidRDefault="00D712E6" w:rsidP="00EB2584">
            <w:pPr>
              <w:pStyle w:val="Default"/>
              <w:spacing w:before="40" w:after="4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Low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14:paraId="23000A6B" w14:textId="77777777" w:rsidR="00D712E6" w:rsidRPr="00A931FE" w:rsidRDefault="00D712E6" w:rsidP="00EB2584">
            <w:pPr>
              <w:pStyle w:val="Default"/>
              <w:spacing w:before="40" w:after="8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A931FE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High</w:t>
            </w:r>
          </w:p>
        </w:tc>
        <w:tc>
          <w:tcPr>
            <w:tcW w:w="1265" w:type="dxa"/>
            <w:vMerge/>
          </w:tcPr>
          <w:p w14:paraId="539C7F04" w14:textId="77777777" w:rsidR="00D712E6" w:rsidRPr="00A931FE" w:rsidRDefault="00D712E6" w:rsidP="00EB2584">
            <w:pPr>
              <w:pStyle w:val="Default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9A066F" w:rsidRPr="00A931FE" w14:paraId="0D687D6A" w14:textId="77777777" w:rsidTr="00E93001">
        <w:tc>
          <w:tcPr>
            <w:tcW w:w="1345" w:type="dxa"/>
          </w:tcPr>
          <w:p w14:paraId="5E95AE15" w14:textId="55EE43FD" w:rsidR="009A066F" w:rsidRPr="00A931FE" w:rsidRDefault="009A066F" w:rsidP="009A066F">
            <w:pPr>
              <w:pStyle w:val="Default"/>
              <w:spacing w:before="40" w:after="4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Uptake of selinexor in year 1 after market entry </w:t>
            </w:r>
          </w:p>
        </w:tc>
        <w:tc>
          <w:tcPr>
            <w:tcW w:w="1175" w:type="dxa"/>
          </w:tcPr>
          <w:p w14:paraId="2F4433BF" w14:textId="30B334C0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28.0%</w:t>
            </w:r>
          </w:p>
        </w:tc>
        <w:tc>
          <w:tcPr>
            <w:tcW w:w="1129" w:type="dxa"/>
          </w:tcPr>
          <w:p w14:paraId="6681F13D" w14:textId="65FB7C8B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25.2%</w:t>
            </w:r>
          </w:p>
        </w:tc>
        <w:tc>
          <w:tcPr>
            <w:tcW w:w="1206" w:type="dxa"/>
          </w:tcPr>
          <w:p w14:paraId="22109C9C" w14:textId="7BE5D5AE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30.8%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7254D247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$48,876.82 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3B13E42E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$59,738.33 </w:t>
            </w:r>
          </w:p>
        </w:tc>
        <w:tc>
          <w:tcPr>
            <w:tcW w:w="1265" w:type="dxa"/>
            <w:vAlign w:val="center"/>
          </w:tcPr>
          <w:p w14:paraId="05259241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$10,861.51 </w:t>
            </w:r>
          </w:p>
        </w:tc>
      </w:tr>
      <w:tr w:rsidR="009A066F" w:rsidRPr="00A931FE" w14:paraId="2F736A92" w14:textId="77777777" w:rsidTr="00E93001">
        <w:tc>
          <w:tcPr>
            <w:tcW w:w="1345" w:type="dxa"/>
          </w:tcPr>
          <w:p w14:paraId="3848DDD8" w14:textId="4C6AA04C" w:rsidR="009A066F" w:rsidRPr="00A931FE" w:rsidRDefault="009A066F" w:rsidP="009A066F">
            <w:pPr>
              <w:pStyle w:val="Default"/>
              <w:spacing w:before="40" w:after="4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Time on treatment with selinexor, weeks </w:t>
            </w:r>
          </w:p>
        </w:tc>
        <w:tc>
          <w:tcPr>
            <w:tcW w:w="1175" w:type="dxa"/>
          </w:tcPr>
          <w:p w14:paraId="5E7389D9" w14:textId="319467A4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8.0</w:t>
            </w:r>
          </w:p>
        </w:tc>
        <w:tc>
          <w:tcPr>
            <w:tcW w:w="1129" w:type="dxa"/>
          </w:tcPr>
          <w:p w14:paraId="117C36A2" w14:textId="2558C4DD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7.2</w:t>
            </w:r>
          </w:p>
        </w:tc>
        <w:tc>
          <w:tcPr>
            <w:tcW w:w="1206" w:type="dxa"/>
          </w:tcPr>
          <w:p w14:paraId="65488E6F" w14:textId="5985144C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8.8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2B8D3143" w14:textId="29B0394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$49,195.33 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62A79142" w14:textId="68922ECF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$59,419.81 </w:t>
            </w:r>
          </w:p>
        </w:tc>
        <w:tc>
          <w:tcPr>
            <w:tcW w:w="1265" w:type="dxa"/>
            <w:vAlign w:val="center"/>
          </w:tcPr>
          <w:p w14:paraId="517C7A7A" w14:textId="4B1AA91E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$10,224.48 </w:t>
            </w:r>
          </w:p>
        </w:tc>
      </w:tr>
      <w:tr w:rsidR="009A066F" w:rsidRPr="00A931FE" w14:paraId="348C4CA9" w14:textId="77777777" w:rsidTr="00E93001">
        <w:tc>
          <w:tcPr>
            <w:tcW w:w="1345" w:type="dxa"/>
          </w:tcPr>
          <w:p w14:paraId="05F55F6C" w14:textId="77777777" w:rsidR="009A066F" w:rsidRPr="00A931FE" w:rsidRDefault="009A066F" w:rsidP="009A066F">
            <w:pPr>
              <w:pStyle w:val="Default"/>
              <w:spacing w:before="40" w:after="4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Cost of selinexor package </w:t>
            </w:r>
          </w:p>
        </w:tc>
        <w:tc>
          <w:tcPr>
            <w:tcW w:w="1175" w:type="dxa"/>
          </w:tcPr>
          <w:p w14:paraId="315A6FFA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$22,000.00</w:t>
            </w:r>
          </w:p>
        </w:tc>
        <w:tc>
          <w:tcPr>
            <w:tcW w:w="1129" w:type="dxa"/>
          </w:tcPr>
          <w:p w14:paraId="75869712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$19,800.00</w:t>
            </w:r>
          </w:p>
        </w:tc>
        <w:tc>
          <w:tcPr>
            <w:tcW w:w="1206" w:type="dxa"/>
          </w:tcPr>
          <w:p w14:paraId="475E71CB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>$24,200.00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D405416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$49,204.53 </w:t>
            </w:r>
          </w:p>
        </w:tc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77E69393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$59,410.62 </w:t>
            </w:r>
          </w:p>
        </w:tc>
        <w:tc>
          <w:tcPr>
            <w:tcW w:w="1265" w:type="dxa"/>
            <w:vAlign w:val="center"/>
          </w:tcPr>
          <w:p w14:paraId="63B86875" w14:textId="77777777" w:rsidR="009A066F" w:rsidRPr="00A931FE" w:rsidRDefault="009A066F" w:rsidP="009A066F">
            <w:pPr>
              <w:pStyle w:val="Default"/>
              <w:spacing w:before="120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A931FE">
              <w:rPr>
                <w:rFonts w:ascii="Arial" w:hAnsi="Arial" w:cs="Arial"/>
                <w:sz w:val="18"/>
                <w:szCs w:val="18"/>
              </w:rPr>
              <w:t xml:space="preserve">$10,206.09 </w:t>
            </w:r>
          </w:p>
        </w:tc>
      </w:tr>
    </w:tbl>
    <w:p w14:paraId="6D3FAC36" w14:textId="77777777" w:rsidR="00A11E68" w:rsidRPr="00A931FE" w:rsidRDefault="00A11E68" w:rsidP="00A11E68">
      <w:pPr>
        <w:rPr>
          <w:rFonts w:asciiTheme="minorHAnsi" w:hAnsiTheme="minorHAnsi"/>
          <w:sz w:val="24"/>
        </w:rPr>
      </w:pPr>
    </w:p>
    <w:p w14:paraId="4A3A3E87" w14:textId="77777777" w:rsidR="00A11E68" w:rsidRPr="00A931FE" w:rsidRDefault="00A11E68" w:rsidP="00A11E68">
      <w:pPr>
        <w:rPr>
          <w:rFonts w:cs="Arial"/>
          <w:sz w:val="24"/>
        </w:rPr>
      </w:pPr>
    </w:p>
    <w:p w14:paraId="377D93B1" w14:textId="0596CD03" w:rsidR="00A11E68" w:rsidRPr="00A931FE" w:rsidRDefault="00461973" w:rsidP="00A11E68">
      <w:pPr>
        <w:rPr>
          <w:rFonts w:cs="Arial"/>
          <w:b/>
          <w:bCs/>
          <w:sz w:val="24"/>
        </w:rPr>
      </w:pPr>
      <w:r w:rsidRPr="00A931FE">
        <w:rPr>
          <w:rFonts w:cs="Arial"/>
          <w:b/>
          <w:bCs/>
          <w:sz w:val="24"/>
        </w:rPr>
        <w:t>References</w:t>
      </w:r>
    </w:p>
    <w:p w14:paraId="0543A364" w14:textId="0EDFE8C1" w:rsidR="00461973" w:rsidRPr="00A931FE" w:rsidRDefault="00461973" w:rsidP="00A11E68">
      <w:pPr>
        <w:rPr>
          <w:rFonts w:cs="Arial"/>
          <w:b/>
          <w:bCs/>
          <w:sz w:val="24"/>
        </w:rPr>
      </w:pPr>
    </w:p>
    <w:p w14:paraId="10E8B031" w14:textId="77777777" w:rsidR="00461973" w:rsidRPr="00A931FE" w:rsidRDefault="00461973" w:rsidP="00461973">
      <w:pPr>
        <w:pStyle w:val="Bibliography"/>
        <w:rPr>
          <w:rFonts w:cs="Arial"/>
          <w:sz w:val="24"/>
        </w:rPr>
      </w:pPr>
      <w:r w:rsidRPr="00A931FE">
        <w:fldChar w:fldCharType="begin"/>
      </w:r>
      <w:r w:rsidRPr="00A931FE">
        <w:instrText xml:space="preserve"> ADDIN ZOTERO_BIBL {"uncited":[],"omitted":[],"custom":[]} CSL_BIBLIOGRAPHY </w:instrText>
      </w:r>
      <w:r w:rsidRPr="00A931FE">
        <w:fldChar w:fldCharType="separate"/>
      </w:r>
      <w:r w:rsidRPr="00A931FE">
        <w:rPr>
          <w:rFonts w:cs="Arial"/>
          <w:sz w:val="24"/>
        </w:rPr>
        <w:t xml:space="preserve">1. </w:t>
      </w:r>
      <w:r w:rsidRPr="00A931FE">
        <w:rPr>
          <w:rFonts w:cs="Arial"/>
          <w:sz w:val="24"/>
        </w:rPr>
        <w:tab/>
        <w:t>Karyopharm Therapeutics, Inc. KCP-330-012 CSR. Data on file. 2018b.</w:t>
      </w:r>
    </w:p>
    <w:p w14:paraId="49BC11D4" w14:textId="77777777" w:rsidR="00461973" w:rsidRPr="00A931FE" w:rsidRDefault="00461973" w:rsidP="00461973">
      <w:pPr>
        <w:pStyle w:val="Bibliography"/>
        <w:rPr>
          <w:rFonts w:cs="Arial"/>
          <w:sz w:val="24"/>
        </w:rPr>
      </w:pPr>
      <w:r w:rsidRPr="00A931FE">
        <w:rPr>
          <w:rFonts w:cs="Arial"/>
          <w:sz w:val="24"/>
        </w:rPr>
        <w:t xml:space="preserve">2. </w:t>
      </w:r>
      <w:r w:rsidRPr="00A931FE">
        <w:rPr>
          <w:rFonts w:cs="Arial"/>
          <w:sz w:val="24"/>
        </w:rPr>
        <w:tab/>
        <w:t>HCUPnet, Healthcare Cost and Utilization Project. Agency for Healthcare Research and Quality, Rockville, MD. https://hcupnet.ahrq.gov/. Accessed December 18, 2018.</w:t>
      </w:r>
    </w:p>
    <w:p w14:paraId="4F04DD8A" w14:textId="77777777" w:rsidR="00461973" w:rsidRPr="00A931FE" w:rsidRDefault="00461973" w:rsidP="00461973">
      <w:pPr>
        <w:pStyle w:val="Bibliography"/>
        <w:rPr>
          <w:rFonts w:cs="Arial"/>
          <w:sz w:val="24"/>
        </w:rPr>
      </w:pPr>
      <w:r w:rsidRPr="00A931FE">
        <w:rPr>
          <w:rFonts w:cs="Arial"/>
          <w:sz w:val="24"/>
        </w:rPr>
        <w:t xml:space="preserve">3. </w:t>
      </w:r>
      <w:r w:rsidRPr="00A931FE">
        <w:rPr>
          <w:rFonts w:cs="Arial"/>
          <w:sz w:val="24"/>
        </w:rPr>
        <w:tab/>
        <w:t>Bureau of Economic Analysis, 2018: Table 2.4.4U. Price Indexes for Personal Consumption Expenditures by Type of Product. December 2018.</w:t>
      </w:r>
    </w:p>
    <w:p w14:paraId="08B3C3B7" w14:textId="77777777" w:rsidR="00461973" w:rsidRPr="00A931FE" w:rsidRDefault="00461973" w:rsidP="00461973">
      <w:pPr>
        <w:pStyle w:val="Bibliography"/>
        <w:rPr>
          <w:rFonts w:cs="Arial"/>
          <w:sz w:val="24"/>
        </w:rPr>
      </w:pPr>
      <w:r w:rsidRPr="00A931FE">
        <w:rPr>
          <w:rFonts w:cs="Arial"/>
          <w:sz w:val="24"/>
        </w:rPr>
        <w:t xml:space="preserve">4. </w:t>
      </w:r>
      <w:r w:rsidRPr="00A931FE">
        <w:rPr>
          <w:rFonts w:cs="Arial"/>
          <w:sz w:val="24"/>
        </w:rPr>
        <w:tab/>
        <w:t>The 2011 National Blood Collection and Utilization Survey Report. https://www.hhs.gov/sites/default/files/ash/bloodsafety/2011-nbcus.pdf. Accessed February 1, 2019.</w:t>
      </w:r>
    </w:p>
    <w:p w14:paraId="7367E904" w14:textId="77777777" w:rsidR="00461973" w:rsidRPr="00A931FE" w:rsidRDefault="00461973" w:rsidP="00461973">
      <w:pPr>
        <w:pStyle w:val="Bibliography"/>
        <w:rPr>
          <w:rFonts w:cs="Arial"/>
          <w:sz w:val="24"/>
        </w:rPr>
      </w:pPr>
      <w:r w:rsidRPr="00A931FE">
        <w:rPr>
          <w:rFonts w:cs="Arial"/>
          <w:sz w:val="24"/>
        </w:rPr>
        <w:t xml:space="preserve">5. </w:t>
      </w:r>
      <w:r w:rsidRPr="00A931FE">
        <w:rPr>
          <w:rFonts w:cs="Arial"/>
          <w:sz w:val="24"/>
        </w:rPr>
        <w:tab/>
        <w:t>Essential RBRVS 2018: A comprehensive listing of RBRVS values for CPT and HCPCS codes. 2018.</w:t>
      </w:r>
    </w:p>
    <w:p w14:paraId="7EEDBABD" w14:textId="0EFBA392" w:rsidR="00A11E68" w:rsidRPr="00C175B8" w:rsidRDefault="00461973" w:rsidP="00A11E68">
      <w:pPr>
        <w:rPr>
          <w:rFonts w:cs="Arial"/>
          <w:b/>
          <w:bCs/>
          <w:sz w:val="24"/>
        </w:rPr>
      </w:pPr>
      <w:r w:rsidRPr="00A931FE">
        <w:rPr>
          <w:rFonts w:cs="Arial"/>
          <w:b/>
          <w:bCs/>
          <w:sz w:val="24"/>
        </w:rPr>
        <w:fldChar w:fldCharType="end"/>
      </w:r>
      <w:bookmarkStart w:id="1" w:name="_GoBack"/>
      <w:bookmarkEnd w:id="1"/>
    </w:p>
    <w:p w14:paraId="0121D1C3" w14:textId="77777777" w:rsidR="00A11E68" w:rsidRDefault="00A11E68" w:rsidP="00A11E68">
      <w:pPr>
        <w:rPr>
          <w:rFonts w:asciiTheme="minorHAnsi" w:hAnsiTheme="minorHAnsi"/>
          <w:sz w:val="24"/>
        </w:rPr>
      </w:pPr>
    </w:p>
    <w:p w14:paraId="0978C4F0" w14:textId="77777777" w:rsidR="00A11E68" w:rsidRDefault="00A11E68" w:rsidP="00A11E68">
      <w:pPr>
        <w:rPr>
          <w:rFonts w:asciiTheme="minorHAnsi" w:hAnsiTheme="minorHAnsi"/>
          <w:sz w:val="24"/>
        </w:rPr>
      </w:pPr>
    </w:p>
    <w:p w14:paraId="7927ED46" w14:textId="77777777" w:rsidR="00A11E68" w:rsidRDefault="00A11E68" w:rsidP="00A11E68">
      <w:pPr>
        <w:rPr>
          <w:rFonts w:asciiTheme="minorHAnsi" w:hAnsiTheme="minorHAnsi"/>
          <w:sz w:val="24"/>
        </w:rPr>
      </w:pPr>
    </w:p>
    <w:p w14:paraId="42107E3B" w14:textId="77777777" w:rsidR="00243963" w:rsidRDefault="00243963"/>
    <w:sectPr w:rsidR="00243963">
      <w:footerReference w:type="default" r:id="rId6"/>
      <w:footnotePr>
        <w:numFmt w:val="lowerRoman"/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59C8" w14:textId="77777777" w:rsidR="003E7B40" w:rsidRDefault="003E7B40">
      <w:r>
        <w:separator/>
      </w:r>
    </w:p>
  </w:endnote>
  <w:endnote w:type="continuationSeparator" w:id="0">
    <w:p w14:paraId="581EA346" w14:textId="77777777" w:rsidR="003E7B40" w:rsidRDefault="003E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941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ABE80C" w14:textId="77777777" w:rsidR="00DE4A4C" w:rsidRDefault="00A11E68" w:rsidP="00782B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FB4E2" w14:textId="77777777" w:rsidR="003E7B40" w:rsidRDefault="003E7B40">
      <w:r>
        <w:separator/>
      </w:r>
    </w:p>
  </w:footnote>
  <w:footnote w:type="continuationSeparator" w:id="0">
    <w:p w14:paraId="7C48893A" w14:textId="77777777" w:rsidR="003E7B40" w:rsidRDefault="003E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numFmt w:val="low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68"/>
    <w:rsid w:val="00162EB8"/>
    <w:rsid w:val="001C03F6"/>
    <w:rsid w:val="00211362"/>
    <w:rsid w:val="002416C8"/>
    <w:rsid w:val="00243963"/>
    <w:rsid w:val="00362957"/>
    <w:rsid w:val="003B0FCD"/>
    <w:rsid w:val="003E7B40"/>
    <w:rsid w:val="00461973"/>
    <w:rsid w:val="00554795"/>
    <w:rsid w:val="00571EEF"/>
    <w:rsid w:val="00706F79"/>
    <w:rsid w:val="008A2644"/>
    <w:rsid w:val="008B49FC"/>
    <w:rsid w:val="008F56CC"/>
    <w:rsid w:val="00942B81"/>
    <w:rsid w:val="00995416"/>
    <w:rsid w:val="009A066F"/>
    <w:rsid w:val="00A11E68"/>
    <w:rsid w:val="00A235C4"/>
    <w:rsid w:val="00A931FE"/>
    <w:rsid w:val="00AA05A3"/>
    <w:rsid w:val="00BD2E11"/>
    <w:rsid w:val="00BF6A82"/>
    <w:rsid w:val="00C175B8"/>
    <w:rsid w:val="00C46721"/>
    <w:rsid w:val="00D712E6"/>
    <w:rsid w:val="00DC7A7D"/>
    <w:rsid w:val="00E72BC5"/>
    <w:rsid w:val="00E93001"/>
    <w:rsid w:val="00F02C11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7DA1"/>
  <w15:chartTrackingRefBased/>
  <w15:docId w15:val="{A9173B11-2607-4A06-8657-33A1C77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1E68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E68"/>
    <w:pPr>
      <w:keepNext/>
      <w:spacing w:after="120" w:line="360" w:lineRule="auto"/>
      <w:outlineLvl w:val="0"/>
    </w:pPr>
    <w:rPr>
      <w:rFonts w:eastAsiaTheme="majorEastAsia" w:cs="Arial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-NormalBodyText">
    <w:name w:val="05 - Normal Body Text"/>
    <w:basedOn w:val="BodyText"/>
    <w:link w:val="05-NormalBodyTextChar"/>
    <w:autoRedefine/>
    <w:qFormat/>
    <w:rsid w:val="00162EB8"/>
    <w:pPr>
      <w:framePr w:wrap="around" w:hAnchor="text"/>
      <w:tabs>
        <w:tab w:val="left" w:pos="0"/>
      </w:tabs>
      <w:spacing w:before="120" w:line="240" w:lineRule="auto"/>
    </w:pPr>
    <w:rPr>
      <w:rFonts w:ascii="Segoe UI" w:eastAsia="MS PMincho" w:hAnsi="Segoe UI"/>
      <w:bCs/>
      <w:color w:val="3E3E3E"/>
      <w:lang w:val="en-GB"/>
    </w:rPr>
  </w:style>
  <w:style w:type="character" w:customStyle="1" w:styleId="05-NormalBodyTextChar">
    <w:name w:val="05 - Normal Body Text Char"/>
    <w:link w:val="05-NormalBodyText"/>
    <w:rsid w:val="00162EB8"/>
    <w:rPr>
      <w:rFonts w:ascii="Segoe UI" w:eastAsia="MS PMincho" w:hAnsi="Segoe UI"/>
      <w:bCs/>
      <w:color w:val="3E3E3E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62EB8"/>
    <w:pPr>
      <w:spacing w:after="120" w:line="259" w:lineRule="auto"/>
    </w:pPr>
    <w:rPr>
      <w:rFonts w:asciiTheme="minorHAnsi" w:eastAsiaTheme="minorHAnsi" w:hAnsiTheme="minorHAnsi" w:cstheme="minorBidi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2EB8"/>
  </w:style>
  <w:style w:type="character" w:customStyle="1" w:styleId="Heading1Char">
    <w:name w:val="Heading 1 Char"/>
    <w:basedOn w:val="DefaultParagraphFont"/>
    <w:link w:val="Heading1"/>
    <w:uiPriority w:val="9"/>
    <w:rsid w:val="00A11E68"/>
    <w:rPr>
      <w:rFonts w:ascii="Arial" w:eastAsiaTheme="majorEastAsia" w:hAnsi="Arial" w:cs="Arial"/>
      <w:b/>
      <w:bCs/>
      <w:color w:val="000000" w:themeColor="text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A11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E6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1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E68"/>
    <w:rPr>
      <w:rFonts w:ascii="Arial" w:eastAsia="Times New Roman" w:hAnsi="Arial" w:cs="Times New Roman"/>
      <w:szCs w:val="24"/>
      <w:lang w:val="en-US"/>
    </w:rPr>
  </w:style>
  <w:style w:type="paragraph" w:customStyle="1" w:styleId="Default">
    <w:name w:val="Default"/>
    <w:rsid w:val="00A1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11E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68"/>
    <w:rPr>
      <w:rFonts w:ascii="Segoe UI" w:eastAsia="Times New Roman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461973"/>
    <w:pPr>
      <w:tabs>
        <w:tab w:val="left" w:pos="384"/>
      </w:tabs>
      <w:spacing w:after="240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Jamaleddine</dc:creator>
  <cp:keywords/>
  <dc:description/>
  <cp:lastModifiedBy>Tania Olliver</cp:lastModifiedBy>
  <cp:revision>2</cp:revision>
  <dcterms:created xsi:type="dcterms:W3CDTF">2020-06-08T21:26:00Z</dcterms:created>
  <dcterms:modified xsi:type="dcterms:W3CDTF">2020-06-08T21:26:00Z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id="WwOTzDG9"/&gt;&lt;style id="http://www.zotero.org/styles/american-medical-association" hasBibliography="1" bibliographyStyleHasBeenSet="1"/&gt;&lt;prefs&gt;&lt;pref name="fieldType" value="Field"/&gt;&lt;/prefs&gt;&lt;/data&gt;</vt:lpwstr>
  </property>
</Properties>
</file>