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A727" w14:textId="77777777" w:rsidR="00157912" w:rsidRDefault="0002565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Dual receptor-targeted and redox-sensitive polymeric micelles self-assembled from a folic acid-hyaluronic acid-SS-vitamin E succinate polymer for precise cancer therapy</w:t>
      </w:r>
    </w:p>
    <w:p w14:paraId="139976EF" w14:textId="77777777" w:rsidR="00157912" w:rsidRDefault="0002565E">
      <w:pPr>
        <w:spacing w:line="480" w:lineRule="auto"/>
        <w:rPr>
          <w:rFonts w:ascii="Times New Roman" w:eastAsia="DengXian" w:hAnsi="Times New Roman" w:cs="Times New Roman"/>
          <w:bCs/>
        </w:rPr>
      </w:pPr>
      <w:bookmarkStart w:id="0" w:name="OLE_LINK159"/>
      <w:r>
        <w:rPr>
          <w:rFonts w:ascii="Times New Roman" w:eastAsia="DengXian" w:hAnsi="Times New Roman" w:cs="Times New Roman" w:hint="eastAsia"/>
          <w:bCs/>
        </w:rPr>
        <w:t>Y</w:t>
      </w:r>
      <w:r>
        <w:rPr>
          <w:rFonts w:ascii="Times New Roman" w:eastAsia="DengXian" w:hAnsi="Times New Roman" w:cs="Times New Roman"/>
          <w:bCs/>
        </w:rPr>
        <w:t>ue Yang,</w:t>
      </w:r>
      <w:r>
        <w:rPr>
          <w:rFonts w:ascii="Times New Roman" w:eastAsia="DengXian" w:hAnsi="Times New Roman" w:cs="Times New Roman"/>
          <w:bCs/>
          <w:vertAlign w:val="superscript"/>
        </w:rPr>
        <w:t>1</w:t>
      </w:r>
      <w:r>
        <w:rPr>
          <w:rFonts w:ascii="Times New Roman" w:eastAsia="DengXian" w:hAnsi="Times New Roman" w:cs="Times New Roman"/>
          <w:bCs/>
        </w:rPr>
        <w:t xml:space="preserve"> </w:t>
      </w:r>
      <w:proofErr w:type="spellStart"/>
      <w:r>
        <w:rPr>
          <w:rFonts w:ascii="Times New Roman" w:eastAsia="DengXian" w:hAnsi="Times New Roman" w:cs="Times New Roman"/>
          <w:bCs/>
        </w:rPr>
        <w:t>Yunjian</w:t>
      </w:r>
      <w:proofErr w:type="spellEnd"/>
      <w:r>
        <w:rPr>
          <w:rFonts w:ascii="Times New Roman" w:eastAsia="DengXian" w:hAnsi="Times New Roman" w:cs="Times New Roman"/>
          <w:bCs/>
        </w:rPr>
        <w:t xml:space="preserve"> Li,</w:t>
      </w:r>
      <w:r>
        <w:rPr>
          <w:rFonts w:ascii="Times New Roman" w:eastAsia="DengXian" w:hAnsi="Times New Roman" w:cs="Times New Roman"/>
          <w:bCs/>
          <w:vertAlign w:val="superscript"/>
        </w:rPr>
        <w:t>1</w:t>
      </w:r>
      <w:r>
        <w:rPr>
          <w:rFonts w:ascii="Times New Roman" w:eastAsia="DengXian" w:hAnsi="Times New Roman" w:cs="Times New Roman"/>
          <w:bCs/>
        </w:rPr>
        <w:t xml:space="preserve"> Kai Chen,</w:t>
      </w:r>
      <w:r>
        <w:rPr>
          <w:rFonts w:ascii="Times New Roman" w:eastAsia="DengXian" w:hAnsi="Times New Roman" w:cs="Times New Roman"/>
          <w:bCs/>
          <w:vertAlign w:val="superscript"/>
        </w:rPr>
        <w:t>1</w:t>
      </w:r>
      <w:r>
        <w:rPr>
          <w:rFonts w:ascii="Times New Roman" w:eastAsia="DengXian" w:hAnsi="Times New Roman" w:cs="Times New Roman"/>
          <w:bCs/>
        </w:rPr>
        <w:t xml:space="preserve"> Ling Zhang,</w:t>
      </w:r>
      <w:r>
        <w:rPr>
          <w:rFonts w:ascii="Times New Roman" w:eastAsia="DengXian" w:hAnsi="Times New Roman" w:cs="Times New Roman"/>
          <w:bCs/>
          <w:vertAlign w:val="superscript"/>
        </w:rPr>
        <w:t>2</w:t>
      </w:r>
      <w:r>
        <w:rPr>
          <w:rFonts w:ascii="Times New Roman" w:eastAsia="DengXian" w:hAnsi="Times New Roman" w:cs="Times New Roman"/>
          <w:bCs/>
        </w:rPr>
        <w:t xml:space="preserve"> Sen Qiao,</w:t>
      </w:r>
      <w:r>
        <w:rPr>
          <w:rFonts w:ascii="Times New Roman" w:eastAsia="DengXian" w:hAnsi="Times New Roman" w:cs="Times New Roman"/>
          <w:bCs/>
          <w:vertAlign w:val="superscript"/>
        </w:rPr>
        <w:t>1</w:t>
      </w:r>
      <w:r>
        <w:rPr>
          <w:rFonts w:ascii="Times New Roman" w:eastAsia="DengXian" w:hAnsi="Times New Roman" w:cs="Times New Roman"/>
          <w:bCs/>
        </w:rPr>
        <w:t xml:space="preserve"> </w:t>
      </w:r>
      <w:proofErr w:type="spellStart"/>
      <w:r>
        <w:rPr>
          <w:rFonts w:ascii="Times New Roman" w:eastAsia="DengXian" w:hAnsi="Times New Roman" w:cs="Times New Roman"/>
          <w:bCs/>
        </w:rPr>
        <w:t>Guoxin</w:t>
      </w:r>
      <w:proofErr w:type="spellEnd"/>
      <w:r>
        <w:rPr>
          <w:rFonts w:ascii="Times New Roman" w:eastAsia="DengXian" w:hAnsi="Times New Roman" w:cs="Times New Roman"/>
          <w:bCs/>
        </w:rPr>
        <w:t xml:space="preserve"> Tan,</w:t>
      </w:r>
      <w:r>
        <w:rPr>
          <w:rFonts w:ascii="Times New Roman" w:eastAsia="DengXian" w:hAnsi="Times New Roman" w:cs="Times New Roman"/>
          <w:bCs/>
          <w:vertAlign w:val="superscript"/>
        </w:rPr>
        <w:t>1</w:t>
      </w:r>
      <w:r>
        <w:rPr>
          <w:rFonts w:ascii="Times New Roman" w:eastAsia="DengXian" w:hAnsi="Times New Roman" w:cs="Times New Roman"/>
          <w:bCs/>
        </w:rPr>
        <w:t xml:space="preserve"> Fen Chen,</w:t>
      </w:r>
      <w:r>
        <w:rPr>
          <w:rFonts w:ascii="Times New Roman" w:eastAsia="DengXian" w:hAnsi="Times New Roman" w:cs="Times New Roman"/>
          <w:bCs/>
          <w:vertAlign w:val="superscript"/>
        </w:rPr>
        <w:t>1, 3, 4, *</w:t>
      </w:r>
      <w:r>
        <w:rPr>
          <w:rFonts w:ascii="Times New Roman" w:eastAsia="DengXian" w:hAnsi="Times New Roman" w:cs="Times New Roman"/>
          <w:bCs/>
        </w:rPr>
        <w:t xml:space="preserve"> </w:t>
      </w:r>
      <w:proofErr w:type="spellStart"/>
      <w:r>
        <w:rPr>
          <w:rFonts w:ascii="Times New Roman" w:eastAsia="DengXian" w:hAnsi="Times New Roman" w:cs="Times New Roman"/>
          <w:bCs/>
        </w:rPr>
        <w:t>Weisan</w:t>
      </w:r>
      <w:proofErr w:type="spellEnd"/>
      <w:r>
        <w:rPr>
          <w:rFonts w:ascii="Times New Roman" w:eastAsia="DengXian" w:hAnsi="Times New Roman" w:cs="Times New Roman"/>
          <w:bCs/>
        </w:rPr>
        <w:t xml:space="preserve"> Pan</w:t>
      </w:r>
      <w:bookmarkEnd w:id="0"/>
      <w:r>
        <w:rPr>
          <w:rFonts w:ascii="Times New Roman" w:eastAsia="DengXian" w:hAnsi="Times New Roman" w:cs="Times New Roman"/>
          <w:bCs/>
          <w:vertAlign w:val="superscript"/>
        </w:rPr>
        <w:t>1, *</w:t>
      </w:r>
    </w:p>
    <w:p w14:paraId="01747AA8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 School of Pharmacy, Shenyang Pharmaceutical University, Shenyang 110016, People’s Republic of China</w:t>
      </w:r>
    </w:p>
    <w:p w14:paraId="6C922B9C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 Department of Biotherapy, Cancer Research Institute, The First Affiliated Hospital of China Medical University, Shen</w:t>
      </w:r>
      <w:r>
        <w:rPr>
          <w:rFonts w:ascii="Times New Roman" w:hAnsi="Times New Roman" w:cs="Times New Roman"/>
          <w:sz w:val="18"/>
          <w:szCs w:val="18"/>
        </w:rPr>
        <w:t>yang 110001, People’s Republic of China</w:t>
      </w:r>
    </w:p>
    <w:p w14:paraId="3EA002CC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 Key Laboratory of Ministry of Education for TCM Viscera-State Theory and Applications, Liaoning University of Traditional Chinese Medicine, Shenyang 110847, People’s Republic of China</w:t>
      </w:r>
    </w:p>
    <w:p w14:paraId="1B982C8B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Zhejiang </w:t>
      </w:r>
      <w:proofErr w:type="spellStart"/>
      <w:r>
        <w:rPr>
          <w:rFonts w:ascii="Times New Roman" w:hAnsi="Times New Roman" w:cs="Times New Roman"/>
          <w:sz w:val="18"/>
          <w:szCs w:val="18"/>
        </w:rPr>
        <w:t>Jingxin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Pharmaceuti</w:t>
      </w:r>
      <w:r>
        <w:rPr>
          <w:rFonts w:ascii="Times New Roman" w:hAnsi="Times New Roman" w:cs="Times New Roman"/>
          <w:sz w:val="18"/>
          <w:szCs w:val="18"/>
        </w:rPr>
        <w:t>cal Co., Ltd, Zhejiang 312500, People’s Republic of China</w:t>
      </w:r>
    </w:p>
    <w:p w14:paraId="37F1A192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Corresponding author:  </w:t>
      </w:r>
    </w:p>
    <w:p w14:paraId="4BD0260B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Weisan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Pan</w:t>
      </w:r>
    </w:p>
    <w:p w14:paraId="0B506331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School of Pharmacy, Shenyang Pharmaceutical University, Shenyang 110016, People’s Republic of China</w:t>
      </w:r>
    </w:p>
    <w:p w14:paraId="25FA178F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Tel.: +86 24 4352 0533 </w:t>
      </w:r>
    </w:p>
    <w:p w14:paraId="06668ABD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Fax: +86 24 4352 0533</w:t>
      </w:r>
    </w:p>
    <w:p w14:paraId="26E53A92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Email address: </w:t>
      </w:r>
      <w:r>
        <w:rPr>
          <w:rFonts w:ascii="Times New Roman" w:hAnsi="Times New Roman" w:cs="Times New Roman"/>
          <w:sz w:val="18"/>
          <w:szCs w:val="18"/>
        </w:rPr>
        <w:t xml:space="preserve">pppwwwsss@163.com </w:t>
      </w:r>
    </w:p>
    <w:p w14:paraId="4304B893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Fen Chen</w:t>
      </w:r>
    </w:p>
    <w:p w14:paraId="2729A876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Key Laboratory of Ministry of Education for TCM Viscera-State Theory and Applications, Liaoning University of Traditional Chinese Medicine, Shenyang 110847, People’s Republic of China</w:t>
      </w:r>
    </w:p>
    <w:p w14:paraId="04306E2B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Tel.: +86 24 3120 7125 </w:t>
      </w:r>
    </w:p>
    <w:p w14:paraId="50FF1D0B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Fax: +86 24 3120 712</w:t>
      </w:r>
      <w:r>
        <w:rPr>
          <w:rFonts w:ascii="Times New Roman" w:hAnsi="Times New Roman" w:cs="Times New Roman"/>
          <w:sz w:val="18"/>
          <w:szCs w:val="18"/>
        </w:rPr>
        <w:t>5</w:t>
      </w:r>
    </w:p>
    <w:p w14:paraId="660A1C64" w14:textId="77777777" w:rsidR="00157912" w:rsidRDefault="0002565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Email address: chenfen1121@163.com </w:t>
      </w:r>
    </w:p>
    <w:p w14:paraId="2CF009A9" w14:textId="77777777" w:rsidR="00157912" w:rsidRDefault="0002565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0FAF705D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noProof/>
          <w:sz w:val="18"/>
          <w:szCs w:val="18"/>
        </w:rPr>
        <w:lastRenderedPageBreak/>
        <w:drawing>
          <wp:inline distT="0" distB="0" distL="114300" distR="114300" wp14:anchorId="0761166B" wp14:editId="32A5BEEB">
            <wp:extent cx="3926205" cy="4653280"/>
            <wp:effectExtent l="0" t="0" r="3175" b="2540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5CB3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  <w:vertAlign w:val="subscript"/>
        </w:rPr>
      </w:pPr>
      <w:r>
        <w:rPr>
          <w:rFonts w:ascii="Times New Roman" w:hAnsi="Times New Roman" w:cs="Times New Roman" w:hint="eastAsia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 xml:space="preserve">igure S1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H-NMR spectra of (A) VES, VES-EDA and VES-CYS (B) FA and FA-NH</w:t>
      </w:r>
      <w:r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in DMSO-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6</w:t>
      </w:r>
    </w:p>
    <w:p w14:paraId="4FCF32B7" w14:textId="77777777" w:rsidR="00157912" w:rsidRDefault="0002565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AD981B4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1B9A121E" wp14:editId="00B5CD16">
            <wp:extent cx="4347210" cy="78955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95" cy="789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1AD75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Figure S2 Synthesis scheme of (A) HCV and HSV (B) FHSV</w:t>
      </w:r>
    </w:p>
    <w:p w14:paraId="09783DE5" w14:textId="77777777" w:rsidR="00157912" w:rsidRDefault="0002565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br w:type="page"/>
      </w:r>
    </w:p>
    <w:p w14:paraId="64EB2C3E" w14:textId="77777777" w:rsidR="00157912" w:rsidRDefault="0002565E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598983B5" wp14:editId="0B8E91DF">
            <wp:extent cx="5400040" cy="36690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D2D40" w14:textId="77777777" w:rsidR="00157912" w:rsidRDefault="0002565E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 xml:space="preserve">igure S3 X-ray diffraction patterns of PTX, </w:t>
      </w:r>
      <w:r>
        <w:rPr>
          <w:rFonts w:ascii="Times New Roman" w:hAnsi="Times New Roman" w:cs="Times New Roman" w:hint="eastAsia"/>
          <w:sz w:val="18"/>
          <w:szCs w:val="18"/>
        </w:rPr>
        <w:t>bla</w:t>
      </w:r>
      <w:r>
        <w:rPr>
          <w:rFonts w:ascii="Times New Roman" w:hAnsi="Times New Roman" w:cs="Times New Roman"/>
          <w:sz w:val="18"/>
          <w:szCs w:val="18"/>
        </w:rPr>
        <w:t>nk micelles, physical mixture of PTX and blank FHSV micelles, PTX/HCV micelles, PTX/HSV micelles and PTX/FHSV micelles</w:t>
      </w:r>
    </w:p>
    <w:p w14:paraId="6D8DCB36" w14:textId="77777777" w:rsidR="00157912" w:rsidRDefault="0002565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73B9C416" w14:textId="77777777" w:rsidR="00157912" w:rsidRDefault="00157912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p w14:paraId="38A4685E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777ED227" wp14:editId="57512092">
            <wp:extent cx="4521200" cy="30714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992" cy="307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B90A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Figure S4 Hemolysis ratio of Taxol and PTX-loaded micelles (n=3)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&lt; 0.05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657B74C5" w14:textId="77777777" w:rsidR="00157912" w:rsidRDefault="0002565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C3B95FD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noProof/>
          <w:sz w:val="18"/>
          <w:szCs w:val="18"/>
        </w:rPr>
        <w:lastRenderedPageBreak/>
        <w:drawing>
          <wp:inline distT="0" distB="0" distL="0" distR="0" wp14:anchorId="5E5B6B5C" wp14:editId="74329EF5">
            <wp:extent cx="5227320" cy="17989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344" cy="18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DE62" w14:textId="77777777" w:rsidR="00157912" w:rsidRDefault="0002565E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Figure S5 Cytotoxicity of blank carriers against (A) NIH3T3 cells and (B) MCF-7 cells (n=6)</w:t>
      </w:r>
      <w:r>
        <w:rPr>
          <w:rFonts w:ascii="Times New Roman" w:hAnsi="Times New Roman" w:cs="Times New Roman" w:hint="eastAsia"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&lt; 0.05</w:t>
      </w:r>
      <w:r>
        <w:rPr>
          <w:rFonts w:ascii="Times New Roman" w:hAnsi="Times New Roman" w:cs="Times New Roman" w:hint="eastAsia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&lt; 0.01</w:t>
      </w:r>
      <w:r>
        <w:rPr>
          <w:rFonts w:ascii="Times New Roman" w:hAnsi="Times New Roman" w:cs="Times New Roman" w:hint="eastAsia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***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&lt; 0.001</w:t>
      </w:r>
      <w:r>
        <w:rPr>
          <w:rFonts w:ascii="Times New Roman" w:hAnsi="Times New Roman" w:cs="Times New Roman" w:hint="eastAsia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ns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&gt; 0.05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sectPr w:rsidR="0015791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CE"/>
    <w:rsid w:val="0002565E"/>
    <w:rsid w:val="000562D9"/>
    <w:rsid w:val="0013021E"/>
    <w:rsid w:val="00157912"/>
    <w:rsid w:val="0027148E"/>
    <w:rsid w:val="003E4F13"/>
    <w:rsid w:val="006C6038"/>
    <w:rsid w:val="00711586"/>
    <w:rsid w:val="007B18D9"/>
    <w:rsid w:val="009E7695"/>
    <w:rsid w:val="00D23257"/>
    <w:rsid w:val="00DD6168"/>
    <w:rsid w:val="00DE062D"/>
    <w:rsid w:val="00E65C86"/>
    <w:rsid w:val="00F332CE"/>
    <w:rsid w:val="1B743C24"/>
    <w:rsid w:val="59FA44F3"/>
    <w:rsid w:val="7DB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B6AD"/>
  <w15:docId w15:val="{C76776C7-CE25-4848-BE76-B1FC23B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9D342-7AF8-48D6-B9CB-21F44218337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6F04E85-44EA-44C1-96A5-823DA2144E49}">
  <ds:schemaRefs/>
</ds:datastoreItem>
</file>

<file path=customXml/itemProps4.xml><?xml version="1.0" encoding="utf-8"?>
<ds:datastoreItem xmlns:ds="http://schemas.openxmlformats.org/officeDocument/2006/customXml" ds:itemID="{5F079965-333E-4AA4-AA4F-B38F305F0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 杨</dc:creator>
  <cp:lastModifiedBy>Boon Lee</cp:lastModifiedBy>
  <cp:revision>2</cp:revision>
  <dcterms:created xsi:type="dcterms:W3CDTF">2020-04-16T06:22:00Z</dcterms:created>
  <dcterms:modified xsi:type="dcterms:W3CDTF">2020-04-16T06:22:00Z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  <property fmtid="{D5CDD505-2E9C-101B-9397-08002B2CF9AE}" pid="3" name="KSOProductBuildVer">
    <vt:lpwstr>2052-11.1.0.9584</vt:lpwstr>
  </property>
</Properties>
</file>