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E451D" w14:textId="38438EBB" w:rsidR="00F2797E" w:rsidRPr="00D267FB" w:rsidRDefault="00F2797E" w:rsidP="00F2797E">
      <w:pPr>
        <w:widowControl w:val="0"/>
        <w:rPr>
          <w:rFonts w:cs="Arial"/>
        </w:rPr>
      </w:pPr>
      <w:r>
        <w:rPr>
          <w:rFonts w:cs="Arial"/>
          <w:b/>
          <w:bCs/>
        </w:rPr>
        <w:t xml:space="preserve">Supplementary </w:t>
      </w:r>
      <w:r w:rsidRPr="00D267FB">
        <w:rPr>
          <w:rFonts w:cs="Arial"/>
          <w:b/>
          <w:bCs/>
        </w:rPr>
        <w:t xml:space="preserve">Table </w:t>
      </w:r>
      <w:r>
        <w:rPr>
          <w:rFonts w:cs="Arial"/>
          <w:b/>
          <w:bCs/>
        </w:rPr>
        <w:t>S</w:t>
      </w:r>
      <w:r w:rsidRPr="00D267FB">
        <w:rPr>
          <w:rFonts w:cs="Arial"/>
          <w:b/>
          <w:bCs/>
        </w:rPr>
        <w:t>1</w:t>
      </w:r>
      <w:r>
        <w:rPr>
          <w:rFonts w:cs="Arial"/>
          <w:b/>
          <w:bCs/>
        </w:rPr>
        <w:t>. Proportion of patients for each concomitant csDMARD treatment</w:t>
      </w:r>
      <w:r w:rsidRPr="00F2797E">
        <w:rPr>
          <w:rFonts w:cs="Arial"/>
          <w:b/>
          <w:bCs/>
        </w:rPr>
        <w:t xml:space="preserve"> in PSA and AS cohorts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984"/>
        <w:gridCol w:w="3444"/>
        <w:gridCol w:w="4206"/>
      </w:tblGrid>
      <w:tr w:rsidR="00F2797E" w:rsidRPr="00BA2EB2" w14:paraId="3EF5E9D1" w14:textId="77777777" w:rsidTr="00BA2EB2">
        <w:trPr>
          <w:trHeight w:val="358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CE67DF4" w14:textId="1E54EFEF" w:rsidR="00F2797E" w:rsidRPr="00BA2EB2" w:rsidRDefault="00F2797E" w:rsidP="00F2797E">
            <w:pPr>
              <w:ind w:firstLine="0"/>
              <w:jc w:val="center"/>
              <w:textAlignment w:val="baseline"/>
              <w:rPr>
                <w:rFonts w:eastAsia="MS PGothic" w:cs="Calibri"/>
                <w:b/>
                <w:bCs/>
                <w:color w:val="000000"/>
                <w:kern w:val="24"/>
                <w:szCs w:val="20"/>
                <w:lang w:eastAsia="it-IT"/>
              </w:rPr>
            </w:pPr>
            <w:r w:rsidRPr="00BA2EB2">
              <w:rPr>
                <w:b/>
                <w:bCs/>
              </w:rPr>
              <w:t>csDMARD</w:t>
            </w:r>
          </w:p>
        </w:tc>
        <w:tc>
          <w:tcPr>
            <w:tcW w:w="3444" w:type="dxa"/>
            <w:tcBorders>
              <w:top w:val="single" w:sz="4" w:space="0" w:color="auto"/>
            </w:tcBorders>
            <w:shd w:val="clear" w:color="auto" w:fill="auto"/>
          </w:tcPr>
          <w:p w14:paraId="417AC6E4" w14:textId="3B856C35" w:rsidR="00F2797E" w:rsidRPr="00BA2EB2" w:rsidRDefault="00F2797E" w:rsidP="00F2797E">
            <w:pPr>
              <w:ind w:firstLine="0"/>
              <w:jc w:val="center"/>
              <w:textAlignment w:val="baseline"/>
              <w:rPr>
                <w:rFonts w:eastAsia="MS PGothic" w:cs="Calibri"/>
                <w:b/>
                <w:bCs/>
                <w:color w:val="000000"/>
                <w:kern w:val="24"/>
                <w:szCs w:val="20"/>
                <w:lang w:eastAsia="it-IT"/>
              </w:rPr>
            </w:pPr>
            <w:r w:rsidRPr="00BA2EB2">
              <w:rPr>
                <w:b/>
                <w:bCs/>
              </w:rPr>
              <w:t>PSA patients, n (%)</w:t>
            </w:r>
          </w:p>
        </w:tc>
        <w:tc>
          <w:tcPr>
            <w:tcW w:w="4206" w:type="dxa"/>
            <w:tcBorders>
              <w:top w:val="single" w:sz="4" w:space="0" w:color="auto"/>
            </w:tcBorders>
            <w:shd w:val="clear" w:color="auto" w:fill="auto"/>
          </w:tcPr>
          <w:p w14:paraId="1E2CFD16" w14:textId="0894F291" w:rsidR="00F2797E" w:rsidRPr="00BA2EB2" w:rsidRDefault="00F2797E" w:rsidP="00F2797E">
            <w:pPr>
              <w:ind w:firstLine="0"/>
              <w:jc w:val="center"/>
              <w:textAlignment w:val="baseline"/>
              <w:rPr>
                <w:rFonts w:eastAsia="MS PGothic" w:cs="Calibri"/>
                <w:b/>
                <w:bCs/>
                <w:color w:val="000000"/>
                <w:kern w:val="24"/>
                <w:szCs w:val="20"/>
                <w:lang w:eastAsia="it-IT"/>
              </w:rPr>
            </w:pPr>
            <w:r w:rsidRPr="00BA2EB2">
              <w:rPr>
                <w:b/>
                <w:bCs/>
              </w:rPr>
              <w:t>AS patients, n (%)</w:t>
            </w:r>
          </w:p>
        </w:tc>
      </w:tr>
      <w:tr w:rsidR="00F2797E" w:rsidRPr="004331DF" w14:paraId="20BECDBA" w14:textId="77777777" w:rsidTr="00BA2EB2">
        <w:trPr>
          <w:trHeight w:val="358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81CACE6" w14:textId="352367F7" w:rsidR="00F2797E" w:rsidRPr="003F32F8" w:rsidRDefault="00F2797E" w:rsidP="00291484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A</w:t>
            </w:r>
            <w:r w:rsidR="00BA2EB2" w:rsidRPr="00FA7C27">
              <w:rPr>
                <w:lang w:val="en-GB"/>
              </w:rPr>
              <w:t>zat</w:t>
            </w:r>
            <w:r w:rsidR="00BA2EB2">
              <w:rPr>
                <w:lang w:val="en-GB"/>
              </w:rPr>
              <w:t>hi</w:t>
            </w:r>
            <w:r w:rsidR="00BA2EB2" w:rsidRPr="00FA7C27">
              <w:rPr>
                <w:lang w:val="en-GB"/>
              </w:rPr>
              <w:t>oprin</w:t>
            </w:r>
            <w:r w:rsidR="00BA2EB2">
              <w:rPr>
                <w:lang w:val="en-GB"/>
              </w:rPr>
              <w:t>e</w:t>
            </w:r>
          </w:p>
        </w:tc>
        <w:tc>
          <w:tcPr>
            <w:tcW w:w="344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F21E021" w14:textId="08A73670" w:rsidR="00F2797E" w:rsidRPr="003F32F8" w:rsidRDefault="00B62FDF" w:rsidP="00291484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6</w:t>
            </w:r>
            <w:r w:rsidR="00F2797E"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 xml:space="preserve"> (0.3%)</w:t>
            </w:r>
          </w:p>
        </w:tc>
        <w:tc>
          <w:tcPr>
            <w:tcW w:w="420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1A00D08" w14:textId="6ADA4C12" w:rsidR="00F2797E" w:rsidRPr="003F32F8" w:rsidRDefault="00B62FDF" w:rsidP="00291484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8 (1.1%)</w:t>
            </w:r>
          </w:p>
        </w:tc>
      </w:tr>
      <w:tr w:rsidR="00F2797E" w:rsidRPr="004331DF" w14:paraId="323B98BA" w14:textId="77777777" w:rsidTr="00BA2EB2">
        <w:trPr>
          <w:trHeight w:val="358"/>
        </w:trPr>
        <w:tc>
          <w:tcPr>
            <w:tcW w:w="1984" w:type="dxa"/>
            <w:shd w:val="clear" w:color="auto" w:fill="auto"/>
            <w:hideMark/>
          </w:tcPr>
          <w:p w14:paraId="52E71077" w14:textId="2AEFE4E6" w:rsidR="00F2797E" w:rsidRPr="003F32F8" w:rsidRDefault="00BA2EB2" w:rsidP="00291484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lang w:val="en-GB"/>
              </w:rPr>
              <w:t>Ciclosporine</w:t>
            </w:r>
          </w:p>
        </w:tc>
        <w:tc>
          <w:tcPr>
            <w:tcW w:w="3444" w:type="dxa"/>
            <w:shd w:val="clear" w:color="auto" w:fill="auto"/>
            <w:hideMark/>
          </w:tcPr>
          <w:p w14:paraId="056F9268" w14:textId="1B7A0C0A" w:rsidR="00F2797E" w:rsidRPr="003F32F8" w:rsidRDefault="00B62FDF" w:rsidP="00291484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63</w:t>
            </w:r>
            <w:r w:rsidR="00F2797E"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 xml:space="preserve"> (3.</w:t>
            </w: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4</w:t>
            </w:r>
            <w:r w:rsidR="00F2797E"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%)</w:t>
            </w:r>
          </w:p>
        </w:tc>
        <w:tc>
          <w:tcPr>
            <w:tcW w:w="4206" w:type="dxa"/>
            <w:shd w:val="clear" w:color="auto" w:fill="auto"/>
            <w:hideMark/>
          </w:tcPr>
          <w:p w14:paraId="245045D9" w14:textId="362423DF" w:rsidR="00F2797E" w:rsidRPr="003F32F8" w:rsidRDefault="00B62FDF" w:rsidP="00291484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NI</w:t>
            </w:r>
          </w:p>
        </w:tc>
      </w:tr>
      <w:tr w:rsidR="00BA2EB2" w:rsidRPr="004331DF" w14:paraId="31E7B82A" w14:textId="77777777" w:rsidTr="00BA2EB2">
        <w:trPr>
          <w:trHeight w:val="358"/>
        </w:trPr>
        <w:tc>
          <w:tcPr>
            <w:tcW w:w="1984" w:type="dxa"/>
            <w:shd w:val="clear" w:color="auto" w:fill="auto"/>
            <w:hideMark/>
          </w:tcPr>
          <w:p w14:paraId="335ED7EF" w14:textId="447B8120" w:rsidR="00BA2EB2" w:rsidRPr="003F32F8" w:rsidRDefault="00BA2EB2" w:rsidP="00BA2EB2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lang w:val="en-GB"/>
              </w:rPr>
              <w:t>H</w:t>
            </w:r>
            <w:r w:rsidRPr="00FA7C27">
              <w:rPr>
                <w:lang w:val="en-GB"/>
              </w:rPr>
              <w:t>ydroxychloroquine</w:t>
            </w:r>
            <w:r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 xml:space="preserve"> </w:t>
            </w:r>
          </w:p>
        </w:tc>
        <w:tc>
          <w:tcPr>
            <w:tcW w:w="3444" w:type="dxa"/>
            <w:shd w:val="clear" w:color="auto" w:fill="auto"/>
            <w:hideMark/>
          </w:tcPr>
          <w:p w14:paraId="588EC6C9" w14:textId="44A2EB7A" w:rsidR="00BA2EB2" w:rsidRPr="003F32F8" w:rsidRDefault="00B62FDF" w:rsidP="00BA2EB2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25</w:t>
            </w:r>
            <w:r w:rsidR="00BA2EB2"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 xml:space="preserve"> (</w:t>
            </w: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1.3</w:t>
            </w:r>
            <w:r w:rsidR="00BA2EB2"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%)</w:t>
            </w:r>
          </w:p>
        </w:tc>
        <w:tc>
          <w:tcPr>
            <w:tcW w:w="4206" w:type="dxa"/>
            <w:shd w:val="clear" w:color="auto" w:fill="auto"/>
            <w:hideMark/>
          </w:tcPr>
          <w:p w14:paraId="786CFA7D" w14:textId="29DDE7CC" w:rsidR="00BA2EB2" w:rsidRPr="003F32F8" w:rsidRDefault="00B62FDF" w:rsidP="00BA2EB2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5 (0.7%)</w:t>
            </w:r>
          </w:p>
        </w:tc>
      </w:tr>
      <w:tr w:rsidR="00BA2EB2" w:rsidRPr="004331DF" w14:paraId="61B38C61" w14:textId="77777777" w:rsidTr="00BA2EB2">
        <w:trPr>
          <w:trHeight w:val="358"/>
        </w:trPr>
        <w:tc>
          <w:tcPr>
            <w:tcW w:w="1984" w:type="dxa"/>
            <w:shd w:val="clear" w:color="auto" w:fill="auto"/>
            <w:hideMark/>
          </w:tcPr>
          <w:p w14:paraId="2190FC33" w14:textId="4331EA45" w:rsidR="00BA2EB2" w:rsidRPr="003F32F8" w:rsidRDefault="00BA2EB2" w:rsidP="00BA2EB2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lang w:val="en-GB"/>
              </w:rPr>
              <w:t>Leflunomide</w:t>
            </w:r>
            <w:r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 xml:space="preserve"> </w:t>
            </w:r>
          </w:p>
        </w:tc>
        <w:tc>
          <w:tcPr>
            <w:tcW w:w="3444" w:type="dxa"/>
            <w:shd w:val="clear" w:color="auto" w:fill="auto"/>
            <w:hideMark/>
          </w:tcPr>
          <w:p w14:paraId="5227FB4E" w14:textId="2BA62BD3" w:rsidR="00BA2EB2" w:rsidRPr="003F32F8" w:rsidRDefault="00B62FDF" w:rsidP="00BA2EB2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97</w:t>
            </w:r>
            <w:r w:rsidR="00BA2EB2"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 xml:space="preserve"> (</w:t>
            </w: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5</w:t>
            </w:r>
            <w:r w:rsidR="00BA2EB2"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.</w:t>
            </w: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2</w:t>
            </w:r>
            <w:r w:rsidR="00BA2EB2"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%)</w:t>
            </w:r>
          </w:p>
        </w:tc>
        <w:tc>
          <w:tcPr>
            <w:tcW w:w="4206" w:type="dxa"/>
            <w:shd w:val="clear" w:color="auto" w:fill="auto"/>
            <w:hideMark/>
          </w:tcPr>
          <w:p w14:paraId="62E0C3D0" w14:textId="384B6DA1" w:rsidR="00BA2EB2" w:rsidRPr="003F32F8" w:rsidRDefault="00B62FDF" w:rsidP="00BA2EB2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6 (0.8%)</w:t>
            </w:r>
          </w:p>
        </w:tc>
      </w:tr>
      <w:tr w:rsidR="00BA2EB2" w:rsidRPr="004331DF" w14:paraId="787A0D6E" w14:textId="77777777" w:rsidTr="00BA2EB2">
        <w:trPr>
          <w:trHeight w:val="358"/>
        </w:trPr>
        <w:tc>
          <w:tcPr>
            <w:tcW w:w="1984" w:type="dxa"/>
            <w:shd w:val="clear" w:color="auto" w:fill="auto"/>
            <w:hideMark/>
          </w:tcPr>
          <w:p w14:paraId="401D4393" w14:textId="62B2134A" w:rsidR="00BA2EB2" w:rsidRPr="003F32F8" w:rsidRDefault="00BA2EB2" w:rsidP="00BA2EB2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lang w:val="en-GB"/>
              </w:rPr>
              <w:t>M</w:t>
            </w:r>
            <w:r w:rsidRPr="00BC1AC8">
              <w:rPr>
                <w:lang w:val="en-GB"/>
              </w:rPr>
              <w:t>ethotrexat</w:t>
            </w:r>
            <w:r>
              <w:rPr>
                <w:lang w:val="en-GB"/>
              </w:rPr>
              <w:t>e</w:t>
            </w:r>
          </w:p>
        </w:tc>
        <w:tc>
          <w:tcPr>
            <w:tcW w:w="3444" w:type="dxa"/>
            <w:shd w:val="clear" w:color="auto" w:fill="auto"/>
            <w:hideMark/>
          </w:tcPr>
          <w:p w14:paraId="3DB62C2E" w14:textId="4B26EFCE" w:rsidR="00BA2EB2" w:rsidRPr="003F32F8" w:rsidRDefault="00B62FDF" w:rsidP="00BA2EB2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 xml:space="preserve">592 </w:t>
            </w:r>
            <w:r w:rsidR="00BA2EB2"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(</w:t>
            </w: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31.9</w:t>
            </w:r>
            <w:r w:rsidR="00BA2EB2" w:rsidRPr="003F32F8"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%)</w:t>
            </w:r>
          </w:p>
        </w:tc>
        <w:tc>
          <w:tcPr>
            <w:tcW w:w="4206" w:type="dxa"/>
            <w:shd w:val="clear" w:color="auto" w:fill="auto"/>
            <w:hideMark/>
          </w:tcPr>
          <w:p w14:paraId="10C9A905" w14:textId="3ED5A6B0" w:rsidR="00BA2EB2" w:rsidRPr="003F32F8" w:rsidRDefault="00B62FDF" w:rsidP="00BA2EB2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125 (16.8%)</w:t>
            </w:r>
          </w:p>
        </w:tc>
      </w:tr>
      <w:tr w:rsidR="00F2797E" w:rsidRPr="004331DF" w14:paraId="2849C073" w14:textId="77777777" w:rsidTr="00BA2EB2">
        <w:trPr>
          <w:trHeight w:val="358"/>
        </w:trPr>
        <w:tc>
          <w:tcPr>
            <w:tcW w:w="1984" w:type="dxa"/>
            <w:shd w:val="clear" w:color="auto" w:fill="auto"/>
            <w:hideMark/>
          </w:tcPr>
          <w:p w14:paraId="7D622BDE" w14:textId="7EDF2E7C" w:rsidR="00F2797E" w:rsidRPr="003F32F8" w:rsidRDefault="00BA2EB2" w:rsidP="00291484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t>S</w:t>
            </w:r>
            <w:r>
              <w:rPr>
                <w:lang w:val="en-GB"/>
              </w:rPr>
              <w:t>ulfasalazine</w:t>
            </w:r>
          </w:p>
        </w:tc>
        <w:tc>
          <w:tcPr>
            <w:tcW w:w="3444" w:type="dxa"/>
            <w:shd w:val="clear" w:color="auto" w:fill="auto"/>
            <w:hideMark/>
          </w:tcPr>
          <w:p w14:paraId="3A39EE0B" w14:textId="095C02BC" w:rsidR="00F2797E" w:rsidRPr="003F32F8" w:rsidRDefault="000411F4" w:rsidP="00291484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63 (3.4%)</w:t>
            </w:r>
          </w:p>
        </w:tc>
        <w:tc>
          <w:tcPr>
            <w:tcW w:w="4206" w:type="dxa"/>
            <w:shd w:val="clear" w:color="auto" w:fill="auto"/>
            <w:hideMark/>
          </w:tcPr>
          <w:p w14:paraId="5B6DE25A" w14:textId="211A0295" w:rsidR="00F2797E" w:rsidRPr="003F32F8" w:rsidRDefault="00B62FDF" w:rsidP="00291484">
            <w:pPr>
              <w:ind w:firstLine="0"/>
              <w:jc w:val="center"/>
              <w:textAlignment w:val="baseline"/>
              <w:rPr>
                <w:rFonts w:cs="Calibri"/>
                <w:color w:val="000000"/>
                <w:szCs w:val="20"/>
                <w:lang w:eastAsia="it-IT"/>
              </w:rPr>
            </w:pPr>
            <w:r>
              <w:rPr>
                <w:rFonts w:eastAsia="MS PGothic" w:cs="Calibri"/>
                <w:color w:val="000000"/>
                <w:kern w:val="24"/>
                <w:szCs w:val="20"/>
                <w:lang w:eastAsia="it-IT"/>
              </w:rPr>
              <w:t>65 (8.7%)</w:t>
            </w:r>
          </w:p>
        </w:tc>
      </w:tr>
    </w:tbl>
    <w:p w14:paraId="3068C223" w14:textId="247BA2E0" w:rsidR="00F2797E" w:rsidRDefault="00F2797E" w:rsidP="00F2797E">
      <w:pPr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  <w:r>
        <w:rPr>
          <w:lang w:val="en-GB"/>
        </w:rPr>
        <w:t>Following the</w:t>
      </w:r>
      <w:r w:rsidRPr="00AA027C">
        <w:rPr>
          <w:lang w:val="en-GB"/>
        </w:rPr>
        <w:t xml:space="preserve"> "Opinion 05/2014 on Anonymisation Techniques" drafted by the "European Commission Article 29 Working Party", the analyses involving less than 3 patients were reported</w:t>
      </w:r>
      <w:r w:rsidR="00B62FDF">
        <w:rPr>
          <w:lang w:val="en-GB"/>
        </w:rPr>
        <w:t xml:space="preserve"> NI</w:t>
      </w:r>
      <w:r>
        <w:rPr>
          <w:lang w:val="en-GB"/>
        </w:rPr>
        <w:t xml:space="preserve"> “not issuable”</w:t>
      </w:r>
      <w:r w:rsidRPr="00AA027C">
        <w:rPr>
          <w:lang w:val="en-GB"/>
        </w:rPr>
        <w:t>, as potentially reconductable to single individuals.</w:t>
      </w:r>
    </w:p>
    <w:p w14:paraId="743C8E51" w14:textId="6F261E84" w:rsidR="00BA2EB2" w:rsidRPr="00BA2EB2" w:rsidRDefault="00BA2EB2" w:rsidP="00F2797E">
      <w:pPr>
        <w:rPr>
          <w:lang w:val="fr-FR"/>
        </w:rPr>
      </w:pPr>
    </w:p>
    <w:sectPr w:rsidR="00BA2EB2" w:rsidRPr="00BA2EB2" w:rsidSect="00E551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1B"/>
    <w:rsid w:val="000411F4"/>
    <w:rsid w:val="007904AE"/>
    <w:rsid w:val="00B4721B"/>
    <w:rsid w:val="00B62FDF"/>
    <w:rsid w:val="00BA2EB2"/>
    <w:rsid w:val="00DC736A"/>
    <w:rsid w:val="00E55164"/>
    <w:rsid w:val="00F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005D5"/>
  <w15:chartTrackingRefBased/>
  <w15:docId w15:val="{D896AAB2-0F6C-4AD8-B3EA-2382BA05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97E"/>
    <w:pPr>
      <w:spacing w:after="0" w:line="480" w:lineRule="auto"/>
      <w:ind w:firstLine="720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E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EB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Giacomini</dc:creator>
  <cp:keywords/>
  <dc:description/>
  <cp:lastModifiedBy>Elisa Giacomini</cp:lastModifiedBy>
  <cp:revision>3</cp:revision>
  <dcterms:created xsi:type="dcterms:W3CDTF">2020-04-26T14:00:00Z</dcterms:created>
  <dcterms:modified xsi:type="dcterms:W3CDTF">2020-04-26T14:25:00Z</dcterms:modified>
</cp:coreProperties>
</file>