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4959F" w14:textId="77777777" w:rsidR="004F68AE" w:rsidRPr="008F2943" w:rsidRDefault="00096B4E" w:rsidP="00096B4E">
      <w:pPr>
        <w:rPr>
          <w:rFonts w:ascii="Arial" w:hAnsi="Arial" w:cs="Arial"/>
          <w:color w:val="000000" w:themeColor="text1"/>
          <w:sz w:val="20"/>
          <w:szCs w:val="20"/>
        </w:rPr>
      </w:pPr>
      <w:r w:rsidRPr="008F2943">
        <w:rPr>
          <w:rFonts w:ascii="Arial" w:hAnsi="Arial" w:cs="Arial"/>
          <w:b/>
          <w:bCs/>
          <w:color w:val="000000" w:themeColor="text1"/>
          <w:sz w:val="20"/>
          <w:szCs w:val="20"/>
        </w:rPr>
        <w:t>S-Table 1</w:t>
      </w:r>
      <w:r w:rsidRPr="008F2943">
        <w:rPr>
          <w:rFonts w:ascii="Arial" w:hAnsi="Arial" w:cs="Arial"/>
          <w:color w:val="000000" w:themeColor="text1"/>
          <w:sz w:val="20"/>
          <w:szCs w:val="20"/>
        </w:rPr>
        <w:t xml:space="preserve"> Differences of </w:t>
      </w:r>
      <w:proofErr w:type="spellStart"/>
      <w:r w:rsidRPr="008F2943">
        <w:rPr>
          <w:rFonts w:ascii="Arial" w:hAnsi="Arial" w:cs="Arial"/>
          <w:color w:val="000000" w:themeColor="text1"/>
          <w:sz w:val="20"/>
          <w:szCs w:val="20"/>
        </w:rPr>
        <w:t>spirometric</w:t>
      </w:r>
      <w:proofErr w:type="spellEnd"/>
      <w:r w:rsidRPr="008F2943">
        <w:rPr>
          <w:rFonts w:ascii="Arial" w:hAnsi="Arial" w:cs="Arial"/>
          <w:color w:val="000000" w:themeColor="text1"/>
          <w:sz w:val="20"/>
          <w:szCs w:val="20"/>
        </w:rPr>
        <w:t xml:space="preserve"> parameters between subjects correctly diagnosed and misdiagnosed by questionnaires</w:t>
      </w:r>
    </w:p>
    <w:tbl>
      <w:tblPr>
        <w:tblW w:w="912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417"/>
        <w:gridCol w:w="1418"/>
        <w:gridCol w:w="850"/>
        <w:gridCol w:w="57"/>
        <w:gridCol w:w="904"/>
        <w:gridCol w:w="513"/>
        <w:gridCol w:w="1417"/>
        <w:gridCol w:w="57"/>
        <w:gridCol w:w="851"/>
        <w:gridCol w:w="57"/>
      </w:tblGrid>
      <w:tr w:rsidR="008F2943" w:rsidRPr="008F2943" w14:paraId="35DDB1BC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0ECC1B6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5D051DD" w14:textId="77777777" w:rsidR="00096B4E" w:rsidRPr="00096B4E" w:rsidRDefault="00096B4E" w:rsidP="00096B4E">
            <w:pPr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COPD without OSA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3E15098" w14:textId="77777777" w:rsidR="00096B4E" w:rsidRPr="00096B4E" w:rsidRDefault="00096B4E" w:rsidP="00096B4E">
            <w:pPr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Overlap Syndrome</w:t>
            </w:r>
          </w:p>
        </w:tc>
      </w:tr>
      <w:tr w:rsidR="008F2943" w:rsidRPr="008F2943" w14:paraId="1656DB0B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F83CF6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2475DAC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TN Group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6E13AB8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FP Group</w:t>
            </w:r>
          </w:p>
        </w:tc>
        <w:tc>
          <w:tcPr>
            <w:tcW w:w="90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9967744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 value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C6A3E0D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TP Group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2DB441A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FN Group</w:t>
            </w:r>
          </w:p>
        </w:tc>
        <w:tc>
          <w:tcPr>
            <w:tcW w:w="9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0D068F2" w14:textId="77777777" w:rsidR="00096B4E" w:rsidRPr="00096B4E" w:rsidRDefault="00096B4E" w:rsidP="00096B4E">
            <w:pPr>
              <w:adjustRightInd w:val="0"/>
              <w:spacing w:line="360" w:lineRule="auto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8F2943" w:rsidRPr="008F2943" w14:paraId="1E58480C" w14:textId="77777777" w:rsidTr="00096B4E">
        <w:trPr>
          <w:gridAfter w:val="5"/>
          <w:wAfter w:w="2895" w:type="dxa"/>
          <w:trHeight w:val="192"/>
        </w:trPr>
        <w:tc>
          <w:tcPr>
            <w:tcW w:w="623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D1DE148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BQ</w:t>
            </w:r>
          </w:p>
        </w:tc>
      </w:tr>
      <w:tr w:rsidR="008F2943" w:rsidRPr="008F2943" w14:paraId="7E470231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D0B360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FEV1/FVC (%)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7E3A7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62.53 (49.28, 66.66)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970510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69.51 (69.04, 69.99)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A9F201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0.0030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B5FD3C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64.31 (58.27, 67.50)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C0BDB6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65.17(57.70, 66.65)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3AE3EE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0.6980</w:t>
            </w:r>
          </w:p>
        </w:tc>
      </w:tr>
      <w:tr w:rsidR="008F2943" w:rsidRPr="008F2943" w14:paraId="2508DD90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shd w:val="clear" w:color="auto" w:fill="auto"/>
            <w:noWrap/>
            <w:hideMark/>
          </w:tcPr>
          <w:p w14:paraId="052BFEC0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FEV1%pred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D8C36D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58.77±17.14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CDDE80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83.50±16.01</w:t>
            </w:r>
          </w:p>
        </w:tc>
        <w:tc>
          <w:tcPr>
            <w:tcW w:w="907" w:type="dxa"/>
            <w:gridSpan w:val="2"/>
            <w:shd w:val="clear" w:color="auto" w:fill="auto"/>
            <w:noWrap/>
            <w:hideMark/>
          </w:tcPr>
          <w:p w14:paraId="4DDDAD4A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0.0015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C4DD316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60.84±18.65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A7DFB6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65.83±20.52</w:t>
            </w:r>
          </w:p>
        </w:tc>
        <w:tc>
          <w:tcPr>
            <w:tcW w:w="908" w:type="dxa"/>
            <w:gridSpan w:val="2"/>
            <w:shd w:val="clear" w:color="auto" w:fill="auto"/>
            <w:noWrap/>
            <w:hideMark/>
          </w:tcPr>
          <w:p w14:paraId="233E3876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0.3204</w:t>
            </w:r>
          </w:p>
        </w:tc>
      </w:tr>
      <w:tr w:rsidR="008F2943" w:rsidRPr="008F2943" w14:paraId="40EAFA9E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2896DB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FVC%pred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303C95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76.53±13.52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90DE9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88.53±10.97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B93FF8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0.0420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D7EE7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73.93±16.82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E5836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82.49±17.88</w:t>
            </w: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F0188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0.0571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8F2943" w:rsidRPr="008F2943" w14:paraId="5DEAFA05" w14:textId="77777777" w:rsidTr="00096B4E">
        <w:trPr>
          <w:gridAfter w:val="5"/>
          <w:wAfter w:w="2895" w:type="dxa"/>
          <w:trHeight w:val="280"/>
        </w:trPr>
        <w:tc>
          <w:tcPr>
            <w:tcW w:w="62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19D62FB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MBQ</w:t>
            </w:r>
          </w:p>
        </w:tc>
      </w:tr>
      <w:tr w:rsidR="008F2943" w:rsidRPr="008F2943" w14:paraId="42EBF544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866C8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FEV1/FVC (%)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FF5C27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60.49 (49.06, 66.74)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7F1278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69.19 (67.63, 69.83)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F45851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0.0046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ECE348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64.70 (57.99, 67.15)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D82269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67.68 (56.83, 67.68)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AD0D82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0.9180</w:t>
            </w:r>
          </w:p>
        </w:tc>
      </w:tr>
      <w:tr w:rsidR="008F2943" w:rsidRPr="008F2943" w14:paraId="33F65BD9" w14:textId="77777777" w:rsidTr="00096B4E">
        <w:trPr>
          <w:gridAfter w:val="1"/>
          <w:wAfter w:w="57" w:type="dxa"/>
          <w:trHeight w:val="303"/>
        </w:trPr>
        <w:tc>
          <w:tcPr>
            <w:tcW w:w="1585" w:type="dxa"/>
            <w:shd w:val="clear" w:color="auto" w:fill="auto"/>
            <w:noWrap/>
            <w:hideMark/>
          </w:tcPr>
          <w:p w14:paraId="712CFEA7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FEV1%pred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323B69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58.66±17.50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1E16F8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77.95±17.00</w:t>
            </w:r>
          </w:p>
        </w:tc>
        <w:tc>
          <w:tcPr>
            <w:tcW w:w="907" w:type="dxa"/>
            <w:gridSpan w:val="2"/>
            <w:shd w:val="clear" w:color="auto" w:fill="auto"/>
            <w:noWrap/>
            <w:hideMark/>
          </w:tcPr>
          <w:p w14:paraId="0D63EA2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0.0056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D1BC87E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60.54±17.55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E76530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67.96±22.38</w:t>
            </w:r>
          </w:p>
        </w:tc>
        <w:tc>
          <w:tcPr>
            <w:tcW w:w="908" w:type="dxa"/>
            <w:gridSpan w:val="2"/>
            <w:shd w:val="clear" w:color="auto" w:fill="auto"/>
            <w:noWrap/>
            <w:hideMark/>
          </w:tcPr>
          <w:p w14:paraId="7121ACFD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0.1544</w:t>
            </w:r>
          </w:p>
        </w:tc>
      </w:tr>
      <w:tr w:rsidR="008F2943" w:rsidRPr="008F2943" w14:paraId="11AC93F3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2E6A14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FVC%pred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A8375D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76.76±13.77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60CA2A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84.24±12.23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38B63A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0.1771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B3AA68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74.26±16.30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9D41BB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86.61±19.47</w:t>
            </w: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EF76C8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0.0092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8F2943" w:rsidRPr="008F2943" w14:paraId="3FAE4B3F" w14:textId="77777777" w:rsidTr="00096B4E">
        <w:trPr>
          <w:gridAfter w:val="5"/>
          <w:wAfter w:w="2895" w:type="dxa"/>
          <w:trHeight w:val="280"/>
        </w:trPr>
        <w:tc>
          <w:tcPr>
            <w:tcW w:w="62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4B49B15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STOP-Bang score</w:t>
            </w:r>
          </w:p>
        </w:tc>
      </w:tr>
      <w:tr w:rsidR="008F2943" w:rsidRPr="008F2943" w14:paraId="09A1C183" w14:textId="77777777" w:rsidTr="00096B4E">
        <w:trPr>
          <w:trHeight w:val="280"/>
        </w:trPr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8988D4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FEV1/FVC (%)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52F7CB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60.49 (49.28, 66.33)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F90B3B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66.65 (52.05, 69.32)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3079CC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0.1151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BD7D1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64.08 (57.67, 66.89)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75F6F0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66.78 (58.54, 67.86)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8F2596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0.2838</w:t>
            </w:r>
          </w:p>
        </w:tc>
      </w:tr>
      <w:tr w:rsidR="008F2943" w:rsidRPr="008F2943" w14:paraId="0652CF32" w14:textId="77777777" w:rsidTr="00096B4E">
        <w:trPr>
          <w:gridAfter w:val="1"/>
          <w:wAfter w:w="57" w:type="dxa"/>
          <w:trHeight w:val="60"/>
        </w:trPr>
        <w:tc>
          <w:tcPr>
            <w:tcW w:w="1585" w:type="dxa"/>
            <w:shd w:val="clear" w:color="auto" w:fill="auto"/>
            <w:noWrap/>
            <w:hideMark/>
          </w:tcPr>
          <w:p w14:paraId="1D898626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0" w:name="_Hlk26385748"/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FEV1%pred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EC2530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57.18±17.28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5B83EB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67.84±19.04</w:t>
            </w:r>
          </w:p>
        </w:tc>
        <w:tc>
          <w:tcPr>
            <w:tcW w:w="907" w:type="dxa"/>
            <w:gridSpan w:val="2"/>
            <w:shd w:val="clear" w:color="auto" w:fill="auto"/>
            <w:noWrap/>
            <w:hideMark/>
          </w:tcPr>
          <w:p w14:paraId="0EE0B447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0.0373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5D70BC77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61.09±17.97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FB15AB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74.00±24.60</w:t>
            </w:r>
          </w:p>
        </w:tc>
        <w:tc>
          <w:tcPr>
            <w:tcW w:w="908" w:type="dxa"/>
            <w:gridSpan w:val="2"/>
            <w:shd w:val="clear" w:color="auto" w:fill="auto"/>
            <w:noWrap/>
            <w:hideMark/>
          </w:tcPr>
          <w:p w14:paraId="637B254C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0.0239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8F2943" w:rsidRPr="008F2943" w14:paraId="5B6B9FC4" w14:textId="77777777" w:rsidTr="00096B4E">
        <w:trPr>
          <w:gridAfter w:val="1"/>
          <w:wAfter w:w="57" w:type="dxa"/>
          <w:trHeight w:val="280"/>
        </w:trPr>
        <w:tc>
          <w:tcPr>
            <w:tcW w:w="1585" w:type="dxa"/>
            <w:shd w:val="clear" w:color="auto" w:fill="auto"/>
            <w:noWrap/>
            <w:hideMark/>
          </w:tcPr>
          <w:p w14:paraId="31E36AEF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1" w:name="_Hlk26385796"/>
            <w:bookmarkEnd w:id="0"/>
            <w:proofErr w:type="spellStart"/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FVC%pred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C8A2E62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74.68±12.86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226474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82.50±13.87</w:t>
            </w:r>
          </w:p>
        </w:tc>
        <w:tc>
          <w:tcPr>
            <w:tcW w:w="907" w:type="dxa"/>
            <w:gridSpan w:val="2"/>
            <w:shd w:val="clear" w:color="auto" w:fill="auto"/>
            <w:noWrap/>
            <w:hideMark/>
          </w:tcPr>
          <w:p w14:paraId="2E74A3E9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0.0380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4BC0FF74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76.25±16.84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14EEDD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91.30±21.44</w:t>
            </w:r>
          </w:p>
        </w:tc>
        <w:tc>
          <w:tcPr>
            <w:tcW w:w="908" w:type="dxa"/>
            <w:gridSpan w:val="2"/>
            <w:shd w:val="clear" w:color="auto" w:fill="auto"/>
            <w:noWrap/>
            <w:hideMark/>
          </w:tcPr>
          <w:p w14:paraId="2C1C7971" w14:textId="77777777" w:rsidR="00096B4E" w:rsidRPr="00096B4E" w:rsidRDefault="00096B4E" w:rsidP="00096B4E">
            <w:pPr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0.0255</w:t>
            </w:r>
            <w:r w:rsidRPr="00096B4E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</w:tbl>
    <w:p w14:paraId="4ADD197D" w14:textId="77777777" w:rsidR="00096B4E" w:rsidRPr="00096B4E" w:rsidRDefault="00096B4E" w:rsidP="00096B4E">
      <w:pPr>
        <w:adjustRightInd w:val="0"/>
        <w:spacing w:line="360" w:lineRule="auto"/>
        <w:jc w:val="left"/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</w:pPr>
      <w:bookmarkStart w:id="2" w:name="_Hlk31567720"/>
      <w:bookmarkEnd w:id="1"/>
      <w:r w:rsidRPr="00096B4E"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>Notes: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 xml:space="preserve"> Data was presented as </w:t>
      </w:r>
      <w:proofErr w:type="spellStart"/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>mean±SD</w:t>
      </w:r>
      <w:proofErr w:type="spellEnd"/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 xml:space="preserve"> or median (IQR). 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  <w:vertAlign w:val="superscript"/>
        </w:rPr>
        <w:t>a, b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 xml:space="preserve"> Significant difference between: 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  <w:vertAlign w:val="superscript"/>
        </w:rPr>
        <w:t xml:space="preserve">a 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 xml:space="preserve">TN group and FP group, or 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  <w:vertAlign w:val="superscript"/>
        </w:rPr>
        <w:t xml:space="preserve">b 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>TP group and FN group.</w:t>
      </w:r>
    </w:p>
    <w:bookmarkEnd w:id="2"/>
    <w:p w14:paraId="1F27B0D8" w14:textId="280D0731" w:rsidR="00096B4E" w:rsidRDefault="00096B4E" w:rsidP="00096B4E">
      <w:pPr>
        <w:adjustRightInd w:val="0"/>
        <w:spacing w:line="360" w:lineRule="auto"/>
        <w:jc w:val="left"/>
        <w:rPr>
          <w:rFonts w:ascii="Arial" w:eastAsia="DengXian" w:hAnsi="Arial" w:cs="Arial"/>
          <w:color w:val="000000" w:themeColor="text1"/>
          <w:sz w:val="20"/>
          <w:szCs w:val="20"/>
        </w:rPr>
      </w:pPr>
      <w:r w:rsidRPr="00096B4E"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>Abbreviations: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 xml:space="preserve"> TN, Ture Negative; FP, False Positive; TP, Ture Positive; FN, False Negative; COPD, chronic obstructive pulmonary disease; OSA, obstructive sleep apnea syndrome; BQ, Berlin Questionnaire; MBQ, modified Berlin Questionnaire; FEV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  <w:vertAlign w:val="subscript"/>
        </w:rPr>
        <w:t>1</w:t>
      </w:r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 xml:space="preserve">/FVC, forced expiratory volume in 1 second and forced vital capacity ratio; FEV1%pred, predicted forced expiratory volume in 1 second; </w:t>
      </w:r>
      <w:proofErr w:type="spellStart"/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>FVC%pred</w:t>
      </w:r>
      <w:proofErr w:type="spellEnd"/>
      <w:r w:rsidRPr="00096B4E">
        <w:rPr>
          <w:rFonts w:ascii="Arial" w:eastAsia="DengXian" w:hAnsi="Arial" w:cs="Arial"/>
          <w:color w:val="000000" w:themeColor="text1"/>
          <w:sz w:val="20"/>
          <w:szCs w:val="20"/>
        </w:rPr>
        <w:t>, predicted forced vital capacity ratio.</w:t>
      </w:r>
    </w:p>
    <w:p w14:paraId="16D999CD" w14:textId="34EE0D63" w:rsidR="00296C7D" w:rsidRDefault="00296C7D" w:rsidP="00096B4E">
      <w:pPr>
        <w:adjustRightInd w:val="0"/>
        <w:spacing w:line="360" w:lineRule="auto"/>
        <w:jc w:val="left"/>
        <w:rPr>
          <w:rFonts w:ascii="Arial" w:eastAsia="DengXian" w:hAnsi="Arial" w:cs="Arial"/>
          <w:color w:val="000000" w:themeColor="text1"/>
          <w:sz w:val="20"/>
          <w:szCs w:val="20"/>
        </w:rPr>
      </w:pPr>
    </w:p>
    <w:p w14:paraId="2B84667C" w14:textId="115C5C85" w:rsidR="00296C7D" w:rsidRDefault="00296C7D" w:rsidP="00096B4E">
      <w:pPr>
        <w:adjustRightInd w:val="0"/>
        <w:spacing w:line="360" w:lineRule="auto"/>
        <w:jc w:val="left"/>
        <w:rPr>
          <w:rFonts w:ascii="Arial" w:eastAsia="DengXian" w:hAnsi="Arial" w:cs="Arial"/>
          <w:color w:val="000000" w:themeColor="text1"/>
          <w:sz w:val="20"/>
          <w:szCs w:val="20"/>
        </w:rPr>
      </w:pPr>
    </w:p>
    <w:p w14:paraId="1F561A02" w14:textId="45308156" w:rsidR="00296C7D" w:rsidRDefault="00296C7D" w:rsidP="00096B4E">
      <w:pPr>
        <w:adjustRightInd w:val="0"/>
        <w:spacing w:line="360" w:lineRule="auto"/>
        <w:jc w:val="left"/>
        <w:rPr>
          <w:rFonts w:ascii="Arial" w:eastAsia="DengXian" w:hAnsi="Arial" w:cs="Arial"/>
          <w:color w:val="000000" w:themeColor="text1"/>
          <w:sz w:val="20"/>
          <w:szCs w:val="20"/>
        </w:rPr>
      </w:pPr>
    </w:p>
    <w:p w14:paraId="70DEAC70" w14:textId="77777777" w:rsidR="00296C7D" w:rsidRPr="00096B4E" w:rsidRDefault="00296C7D" w:rsidP="00096B4E">
      <w:pPr>
        <w:adjustRightInd w:val="0"/>
        <w:spacing w:line="360" w:lineRule="auto"/>
        <w:jc w:val="left"/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</w:pPr>
    </w:p>
    <w:p w14:paraId="50B81F8A" w14:textId="77777777" w:rsidR="00096B4E" w:rsidRPr="008F2943" w:rsidRDefault="00096B4E" w:rsidP="00096B4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9EDF81" w14:textId="77777777" w:rsidR="00096B4E" w:rsidRPr="008F2943" w:rsidRDefault="00096B4E" w:rsidP="00096B4E">
      <w:pPr>
        <w:rPr>
          <w:rFonts w:ascii="Arial" w:hAnsi="Arial" w:cs="Arial"/>
          <w:color w:val="000000" w:themeColor="text1"/>
          <w:sz w:val="20"/>
          <w:szCs w:val="18"/>
        </w:rPr>
      </w:pPr>
      <w:r w:rsidRPr="008F2943">
        <w:rPr>
          <w:rFonts w:ascii="Arial" w:hAnsi="Arial" w:cs="Arial"/>
          <w:b/>
          <w:bCs/>
          <w:color w:val="000000" w:themeColor="text1"/>
          <w:sz w:val="20"/>
          <w:szCs w:val="18"/>
        </w:rPr>
        <w:t>S-Table 2</w:t>
      </w:r>
      <w:r w:rsidRPr="008F2943">
        <w:rPr>
          <w:rFonts w:ascii="Arial" w:hAnsi="Arial" w:cs="Arial"/>
          <w:color w:val="000000" w:themeColor="text1"/>
          <w:sz w:val="20"/>
          <w:szCs w:val="18"/>
        </w:rPr>
        <w:t xml:space="preserve"> Berlin, modified Berlin questionnaire and STOP-Bang scores were correlated with pulmonary function parameters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895"/>
        <w:gridCol w:w="901"/>
        <w:gridCol w:w="940"/>
        <w:gridCol w:w="1022"/>
        <w:gridCol w:w="939"/>
        <w:gridCol w:w="945"/>
      </w:tblGrid>
      <w:tr w:rsidR="008F2943" w:rsidRPr="008F2943" w14:paraId="1A2977A1" w14:textId="77777777" w:rsidTr="00EF3A62">
        <w:trPr>
          <w:trHeight w:val="280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F120B1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480156C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Whole Group</w:t>
            </w:r>
          </w:p>
          <w:p w14:paraId="30C2920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n= 116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368B617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COPD without OSA</w:t>
            </w:r>
          </w:p>
          <w:p w14:paraId="531E55E3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n= 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D1D4E2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Overlap Syndrome</w:t>
            </w:r>
          </w:p>
          <w:p w14:paraId="05E0BFC4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n=62</w:t>
            </w:r>
          </w:p>
        </w:tc>
      </w:tr>
      <w:tr w:rsidR="008F2943" w:rsidRPr="008F2943" w14:paraId="5255ED99" w14:textId="77777777" w:rsidTr="00EF3A6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3DF2285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23C29A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9169D45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39C4359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CD07AA9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4FE6A41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3F16A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P value</w:t>
            </w:r>
          </w:p>
        </w:tc>
      </w:tr>
      <w:tr w:rsidR="008F2943" w:rsidRPr="008F2943" w14:paraId="2EDFC35D" w14:textId="77777777" w:rsidTr="00EF3A62">
        <w:trPr>
          <w:trHeight w:val="280"/>
        </w:trPr>
        <w:tc>
          <w:tcPr>
            <w:tcW w:w="0" w:type="auto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588DEF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BQ score</w:t>
            </w:r>
          </w:p>
        </w:tc>
      </w:tr>
      <w:tr w:rsidR="008F2943" w:rsidRPr="008F2943" w14:paraId="3F87DC61" w14:textId="77777777" w:rsidTr="00EF3A62">
        <w:trPr>
          <w:trHeight w:val="2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56A1B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FEV1/FVC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8809DB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0.1649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EEFEDB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0.0768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B411C4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0.3092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21A6FDC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0.0229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4214BA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0.0182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21FA2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0.8886</w:t>
            </w:r>
          </w:p>
        </w:tc>
      </w:tr>
      <w:tr w:rsidR="008F2943" w:rsidRPr="008F2943" w14:paraId="3294BD6D" w14:textId="77777777" w:rsidTr="00EF3A62">
        <w:trPr>
          <w:trHeight w:val="280"/>
        </w:trPr>
        <w:tc>
          <w:tcPr>
            <w:tcW w:w="0" w:type="auto"/>
            <w:shd w:val="clear" w:color="auto" w:fill="auto"/>
            <w:noWrap/>
            <w:hideMark/>
          </w:tcPr>
          <w:p w14:paraId="5A1E4017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FEV1%pred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8D9DCD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0.0324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EBAD72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0.7302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69BE70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0.3236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BBA83B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0.0170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31953B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-0.2447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36E24E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0.0552</w:t>
            </w:r>
          </w:p>
        </w:tc>
      </w:tr>
      <w:tr w:rsidR="008F2943" w:rsidRPr="008F2943" w14:paraId="40FB7E98" w14:textId="77777777" w:rsidTr="00EF3A62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33D871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FVC%pred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03125C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-0.0921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E42CD0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0.3276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97F5CA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0.2690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BD1223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0.0492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6D94B2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-0.3476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EE2B2E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0.0061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a</w:t>
            </w:r>
          </w:p>
        </w:tc>
      </w:tr>
      <w:tr w:rsidR="008F2943" w:rsidRPr="008F2943" w14:paraId="73C1835C" w14:textId="77777777" w:rsidTr="00EF3A62">
        <w:trPr>
          <w:trHeight w:val="280"/>
        </w:trPr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B3462DE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3" w:name="_Hlk26387665"/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MBQ score</w:t>
            </w:r>
          </w:p>
        </w:tc>
      </w:tr>
      <w:bookmarkEnd w:id="3"/>
      <w:tr w:rsidR="008F2943" w:rsidRPr="008F2943" w14:paraId="76CD7479" w14:textId="77777777" w:rsidTr="00EF3A62">
        <w:trPr>
          <w:trHeight w:val="2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1D960C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FEV1/FVC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626B9C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0.1897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C73E27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0.0414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A8290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0.3205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3A9043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0.0070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BD464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0.0007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3F3B29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0.9955</w:t>
            </w:r>
          </w:p>
        </w:tc>
      </w:tr>
      <w:tr w:rsidR="008F2943" w:rsidRPr="008F2943" w14:paraId="74DB1155" w14:textId="77777777" w:rsidTr="00EF3A62">
        <w:trPr>
          <w:trHeight w:val="280"/>
        </w:trPr>
        <w:tc>
          <w:tcPr>
            <w:tcW w:w="0" w:type="auto"/>
            <w:shd w:val="clear" w:color="auto" w:fill="auto"/>
            <w:noWrap/>
            <w:hideMark/>
          </w:tcPr>
          <w:p w14:paraId="42FA4B54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FEV1%pred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28BBA5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0.0719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B3728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0.4432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3D4064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0.3919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DC21A1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0.0034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030D82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-0.1715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29FCFB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0.0826</w:t>
            </w:r>
          </w:p>
        </w:tc>
      </w:tr>
      <w:tr w:rsidR="008F2943" w:rsidRPr="008F2943" w14:paraId="176488B4" w14:textId="77777777" w:rsidTr="00EF3A62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34D627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FVC%pred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D085BC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-0.1021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4B5B150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0.2776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6049F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0.2069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0264F7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0.1333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E848A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-0.3250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37D7F4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0.0106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b</w:t>
            </w:r>
          </w:p>
        </w:tc>
      </w:tr>
      <w:tr w:rsidR="008F2943" w:rsidRPr="008F2943" w14:paraId="6DE5F2BE" w14:textId="77777777" w:rsidTr="00EF3A62">
        <w:trPr>
          <w:trHeight w:val="280"/>
        </w:trPr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6DD2BCC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4" w:name="_Hlk31565633"/>
            <w:bookmarkStart w:id="5" w:name="_Hlk26387706"/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STOP-Bang score</w:t>
            </w:r>
            <w:bookmarkEnd w:id="4"/>
          </w:p>
        </w:tc>
      </w:tr>
      <w:tr w:rsidR="008F2943" w:rsidRPr="008F2943" w14:paraId="219ACEE9" w14:textId="77777777" w:rsidTr="00EF3A62">
        <w:trPr>
          <w:trHeight w:val="2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9E67B9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6" w:name="_Hlk25962393"/>
            <w:bookmarkEnd w:id="5"/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FEV1/FVC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FDF20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0.1105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3BF8B8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0.2377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C1B1CB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0.1910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CE7177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0.1666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E3CF53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-0.0096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958EF9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0.9408</w:t>
            </w:r>
          </w:p>
        </w:tc>
      </w:tr>
      <w:tr w:rsidR="008F2943" w:rsidRPr="008F2943" w14:paraId="49BA065F" w14:textId="77777777" w:rsidTr="00EF3A62">
        <w:trPr>
          <w:trHeight w:val="280"/>
        </w:trPr>
        <w:tc>
          <w:tcPr>
            <w:tcW w:w="0" w:type="auto"/>
            <w:shd w:val="clear" w:color="auto" w:fill="auto"/>
            <w:noWrap/>
            <w:hideMark/>
          </w:tcPr>
          <w:p w14:paraId="4B007C10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bookmarkStart w:id="7" w:name="_Hlk26387852"/>
            <w:bookmarkEnd w:id="6"/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FEV1%pred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A44D39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-0.0411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33749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0.6615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0DEDC6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67A211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0.0274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C1378C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-0.3421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7CD9BD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0.0065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c</w:t>
            </w:r>
          </w:p>
        </w:tc>
      </w:tr>
      <w:bookmarkEnd w:id="7"/>
      <w:tr w:rsidR="008F2943" w:rsidRPr="008F2943" w14:paraId="22F466DF" w14:textId="77777777" w:rsidTr="00EF3A62">
        <w:trPr>
          <w:trHeight w:val="280"/>
        </w:trPr>
        <w:tc>
          <w:tcPr>
            <w:tcW w:w="0" w:type="auto"/>
            <w:shd w:val="clear" w:color="auto" w:fill="auto"/>
            <w:noWrap/>
            <w:hideMark/>
          </w:tcPr>
          <w:p w14:paraId="009334C5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FVC%pred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A5C1D45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-0.0846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DBA048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0.3688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A0C2AF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0.3288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599193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0.0152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32760B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-0.3756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E73BF7" w14:textId="77777777" w:rsidR="000432B2" w:rsidRPr="000432B2" w:rsidRDefault="000432B2" w:rsidP="000432B2">
            <w:pPr>
              <w:widowControl/>
              <w:adjustRightInd w:val="0"/>
              <w:spacing w:line="360" w:lineRule="auto"/>
              <w:jc w:val="left"/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lang w:eastAsia="en-US"/>
              </w:rPr>
              <w:t>0.0029</w:t>
            </w:r>
            <w:r w:rsidRPr="000432B2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  <w:lang w:eastAsia="en-US"/>
              </w:rPr>
              <w:t>c</w:t>
            </w:r>
          </w:p>
        </w:tc>
      </w:tr>
    </w:tbl>
    <w:p w14:paraId="151B4152" w14:textId="77777777" w:rsidR="000432B2" w:rsidRPr="000432B2" w:rsidRDefault="000432B2" w:rsidP="000432B2">
      <w:pPr>
        <w:adjustRightInd w:val="0"/>
        <w:spacing w:line="360" w:lineRule="auto"/>
        <w:jc w:val="left"/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</w:pPr>
      <w:r w:rsidRPr="000432B2"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 xml:space="preserve">Notes:  </w:t>
      </w:r>
      <w:proofErr w:type="gramStart"/>
      <w:r w:rsidRPr="000432B2"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vertAlign w:val="superscript"/>
          <w:lang w:eastAsia="en-US"/>
        </w:rPr>
        <w:t>a</w:t>
      </w:r>
      <w:proofErr w:type="gramEnd"/>
      <w:r w:rsidRPr="000432B2"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vertAlign w:val="superscript"/>
          <w:lang w:eastAsia="en-US"/>
        </w:rPr>
        <w:t xml:space="preserve"> 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Significant correlation </w:t>
      </w:r>
      <w:bookmarkStart w:id="8" w:name="_Hlk31569410"/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>between pulmonary function parameters and</w:t>
      </w:r>
      <w:bookmarkEnd w:id="8"/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 BQ score, 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vertAlign w:val="superscript"/>
          <w:lang w:eastAsia="en-US"/>
        </w:rPr>
        <w:t>b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 significant correlation between pulmonary function parameters and MBQ score, 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vertAlign w:val="superscript"/>
          <w:lang w:eastAsia="en-US"/>
        </w:rPr>
        <w:t>c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 significant correlation between pulmonary function parameters and STOP-Bang score.</w:t>
      </w:r>
    </w:p>
    <w:p w14:paraId="51A5A521" w14:textId="77777777" w:rsidR="000432B2" w:rsidRPr="000432B2" w:rsidRDefault="000432B2" w:rsidP="000432B2">
      <w:pPr>
        <w:widowControl/>
        <w:adjustRightInd w:val="0"/>
        <w:spacing w:line="360" w:lineRule="auto"/>
        <w:jc w:val="left"/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</w:pPr>
      <w:r w:rsidRPr="000432B2">
        <w:rPr>
          <w:rFonts w:ascii="Arial" w:eastAsia="DengXian" w:hAnsi="Arial" w:cs="Arial"/>
          <w:b/>
          <w:bCs/>
          <w:color w:val="000000" w:themeColor="text1"/>
          <w:kern w:val="0"/>
          <w:sz w:val="20"/>
          <w:szCs w:val="20"/>
          <w:lang w:eastAsia="en-US"/>
        </w:rPr>
        <w:t>Abbreviations: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 r, correlation coefficient; COPD, chronic obstructive pulmonary disease; OSA, obstructive sleep apnea syndrome; </w:t>
      </w:r>
      <w:bookmarkStart w:id="9" w:name="_Hlk38578771"/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>BQ, Berlin Questionnaire; MBQ, modified Berlin Questionnaire;</w:t>
      </w:r>
      <w:bookmarkEnd w:id="9"/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 FEV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vertAlign w:val="subscript"/>
          <w:lang w:eastAsia="en-US"/>
        </w:rPr>
        <w:t>1</w:t>
      </w: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/FVC, forced expiratory volume in 1 second and forced vital capacity ratio; FEV1%pred, </w:t>
      </w:r>
    </w:p>
    <w:p w14:paraId="5ABCC19F" w14:textId="77777777" w:rsidR="000432B2" w:rsidRPr="000432B2" w:rsidRDefault="000432B2" w:rsidP="000432B2">
      <w:pPr>
        <w:adjustRightInd w:val="0"/>
        <w:spacing w:line="360" w:lineRule="auto"/>
        <w:jc w:val="left"/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</w:pPr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 xml:space="preserve">percentage of predicted forced expiratory volume in 1 second; </w:t>
      </w:r>
      <w:proofErr w:type="spellStart"/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>FVC%pred</w:t>
      </w:r>
      <w:proofErr w:type="spellEnd"/>
      <w:r w:rsidRPr="000432B2">
        <w:rPr>
          <w:rFonts w:ascii="Arial" w:eastAsia="DengXian" w:hAnsi="Arial" w:cs="Arial"/>
          <w:color w:val="000000" w:themeColor="text1"/>
          <w:kern w:val="0"/>
          <w:sz w:val="20"/>
          <w:szCs w:val="20"/>
          <w:lang w:eastAsia="en-US"/>
        </w:rPr>
        <w:t>, percentage of predicted forced vital capacity ratio.</w:t>
      </w:r>
    </w:p>
    <w:p w14:paraId="165CDA6A" w14:textId="77777777" w:rsidR="000432B2" w:rsidRPr="008F2943" w:rsidRDefault="000432B2" w:rsidP="00096B4E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0432B2" w:rsidRPr="008F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36AA" w14:textId="77777777" w:rsidR="00072926" w:rsidRDefault="00072926" w:rsidP="00096B4E">
      <w:r>
        <w:separator/>
      </w:r>
    </w:p>
  </w:endnote>
  <w:endnote w:type="continuationSeparator" w:id="0">
    <w:p w14:paraId="628F3BE8" w14:textId="77777777" w:rsidR="00072926" w:rsidRDefault="00072926" w:rsidP="0009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60D32" w14:textId="77777777" w:rsidR="00072926" w:rsidRDefault="00072926" w:rsidP="00096B4E">
      <w:r>
        <w:separator/>
      </w:r>
    </w:p>
  </w:footnote>
  <w:footnote w:type="continuationSeparator" w:id="0">
    <w:p w14:paraId="6E5D6653" w14:textId="77777777" w:rsidR="00072926" w:rsidRDefault="00072926" w:rsidP="0009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AE"/>
    <w:rsid w:val="000432B2"/>
    <w:rsid w:val="00072926"/>
    <w:rsid w:val="00096B4E"/>
    <w:rsid w:val="00296C7D"/>
    <w:rsid w:val="004B4547"/>
    <w:rsid w:val="004F68AE"/>
    <w:rsid w:val="008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30EF3"/>
  <w15:chartTrackingRefBased/>
  <w15:docId w15:val="{BC26E36B-1C3E-4C63-B949-71BAB3DD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B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4E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6B4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沁涵</dc:creator>
  <cp:keywords/>
  <dc:description/>
  <cp:lastModifiedBy>Lawrence, Shani</cp:lastModifiedBy>
  <cp:revision>11</cp:revision>
  <dcterms:created xsi:type="dcterms:W3CDTF">2020-05-05T01:33:00Z</dcterms:created>
  <dcterms:modified xsi:type="dcterms:W3CDTF">2020-05-11T03:48:00Z</dcterms:modified>
</cp:coreProperties>
</file>