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06F" w:rsidRPr="001F5EEA" w:rsidRDefault="00F0206F" w:rsidP="00F0206F">
      <w:pPr>
        <w:spacing w:line="480" w:lineRule="auto"/>
        <w:rPr>
          <w:rFonts w:ascii="Times New Roman" w:hAnsi="Times New Roman" w:cs="Times New Roman"/>
          <w:b/>
          <w:sz w:val="28"/>
          <w:szCs w:val="28"/>
          <w:lang w:val="en-GB"/>
        </w:rPr>
      </w:pPr>
      <w:r>
        <w:rPr>
          <w:rFonts w:ascii="Times New Roman" w:hAnsi="Times New Roman" w:cs="Times New Roman"/>
          <w:b/>
          <w:sz w:val="28"/>
          <w:szCs w:val="28"/>
          <w:lang w:val="en-GB"/>
        </w:rPr>
        <w:t>Supplementary</w:t>
      </w:r>
    </w:p>
    <w:p w:rsidR="00F0206F" w:rsidRDefault="00F0206F" w:rsidP="00F0206F">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R</w:t>
      </w:r>
      <w:r w:rsidRPr="0044779F">
        <w:rPr>
          <w:rFonts w:ascii="Times New Roman" w:hAnsi="Times New Roman" w:cs="Times New Roman"/>
          <w:b/>
          <w:sz w:val="24"/>
          <w:szCs w:val="24"/>
          <w:lang w:val="en-GB"/>
        </w:rPr>
        <w:t>esults</w:t>
      </w:r>
    </w:p>
    <w:p w:rsidR="00F0206F" w:rsidRDefault="00F0206F" w:rsidP="00F0206F">
      <w:pPr>
        <w:spacing w:line="480" w:lineRule="auto"/>
        <w:rPr>
          <w:rFonts w:ascii="Times New Roman" w:hAnsi="Times New Roman" w:cs="Times New Roman"/>
          <w:i/>
          <w:sz w:val="24"/>
          <w:szCs w:val="24"/>
          <w:lang w:val="en-GB"/>
        </w:rPr>
      </w:pPr>
      <w:r w:rsidRPr="00323BF3">
        <w:rPr>
          <w:rFonts w:ascii="Times New Roman" w:hAnsi="Times New Roman" w:cs="Times New Roman"/>
          <w:i/>
          <w:sz w:val="24"/>
          <w:szCs w:val="24"/>
          <w:lang w:val="en-GB"/>
        </w:rPr>
        <w:t>Outcomes</w:t>
      </w:r>
    </w:p>
    <w:p w:rsidR="00F0206F" w:rsidRDefault="00F0206F" w:rsidP="00F0206F">
      <w:pPr>
        <w:spacing w:line="480" w:lineRule="auto"/>
        <w:rPr>
          <w:rFonts w:ascii="Times New Roman" w:hAnsi="Times New Roman" w:cs="Times New Roman"/>
          <w:i/>
          <w:sz w:val="24"/>
          <w:szCs w:val="24"/>
          <w:lang w:val="en-GB"/>
        </w:rPr>
      </w:pPr>
      <w:r w:rsidRPr="002C275E">
        <w:rPr>
          <w:rFonts w:ascii="Times New Roman" w:hAnsi="Times New Roman" w:cs="Times New Roman"/>
          <w:sz w:val="24"/>
          <w:szCs w:val="24"/>
          <w:lang w:val="en-GB"/>
        </w:rPr>
        <w:t xml:space="preserve">A VTE </w:t>
      </w:r>
      <w:proofErr w:type="gramStart"/>
      <w:r w:rsidRPr="002C275E">
        <w:rPr>
          <w:rFonts w:ascii="Times New Roman" w:hAnsi="Times New Roman" w:cs="Times New Roman"/>
          <w:sz w:val="24"/>
          <w:szCs w:val="24"/>
          <w:lang w:val="en-GB"/>
        </w:rPr>
        <w:t>was diagnosed</w:t>
      </w:r>
      <w:proofErr w:type="gramEnd"/>
      <w:r w:rsidRPr="002C275E">
        <w:rPr>
          <w:rFonts w:ascii="Times New Roman" w:hAnsi="Times New Roman" w:cs="Times New Roman"/>
          <w:sz w:val="24"/>
          <w:szCs w:val="24"/>
          <w:lang w:val="en-GB"/>
        </w:rPr>
        <w:t xml:space="preserve"> at the same date as a first </w:t>
      </w:r>
      <w:bookmarkStart w:id="0" w:name="_GoBack"/>
      <w:bookmarkEnd w:id="0"/>
      <w:r w:rsidRPr="002C275E">
        <w:rPr>
          <w:rFonts w:ascii="Times New Roman" w:hAnsi="Times New Roman" w:cs="Times New Roman"/>
          <w:sz w:val="24"/>
          <w:szCs w:val="24"/>
          <w:lang w:val="en-GB"/>
        </w:rPr>
        <w:t xml:space="preserve">cancer for </w:t>
      </w:r>
      <w:r w:rsidRPr="0005314D">
        <w:rPr>
          <w:rFonts w:ascii="Times New Roman" w:hAnsi="Times New Roman" w:cs="Times New Roman"/>
          <w:sz w:val="24"/>
          <w:szCs w:val="24"/>
          <w:lang w:val="en-GB"/>
        </w:rPr>
        <w:t>483 subjects, while a VTE was diagnosed at the same date as a second cancer for 39 subjects.</w:t>
      </w:r>
    </w:p>
    <w:p w:rsidR="00F0206F" w:rsidRDefault="00F0206F" w:rsidP="00F0206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Among the 11,</w:t>
      </w:r>
      <w:r w:rsidRPr="004205B5">
        <w:rPr>
          <w:rFonts w:ascii="Times New Roman" w:hAnsi="Times New Roman" w:cs="Times New Roman"/>
          <w:sz w:val="24"/>
          <w:szCs w:val="24"/>
          <w:lang w:val="en-US"/>
        </w:rPr>
        <w:t>908 patients with a VTE, 1</w:t>
      </w:r>
      <w:r>
        <w:rPr>
          <w:rFonts w:ascii="Times New Roman" w:hAnsi="Times New Roman" w:cs="Times New Roman"/>
          <w:sz w:val="24"/>
          <w:szCs w:val="24"/>
          <w:lang w:val="en-US"/>
        </w:rPr>
        <w:t>,</w:t>
      </w:r>
      <w:r w:rsidRPr="004205B5">
        <w:rPr>
          <w:rFonts w:ascii="Times New Roman" w:hAnsi="Times New Roman" w:cs="Times New Roman"/>
          <w:sz w:val="24"/>
          <w:szCs w:val="24"/>
          <w:lang w:val="en-US"/>
        </w:rPr>
        <w:t xml:space="preserve">400 had a history of VTE prior to study entry. </w:t>
      </w:r>
      <w:proofErr w:type="gramStart"/>
      <w:r w:rsidRPr="004205B5">
        <w:rPr>
          <w:rFonts w:ascii="Times New Roman" w:hAnsi="Times New Roman" w:cs="Times New Roman"/>
          <w:sz w:val="24"/>
          <w:szCs w:val="24"/>
          <w:lang w:val="en-US"/>
        </w:rPr>
        <w:t>291</w:t>
      </w:r>
      <w:proofErr w:type="gramEnd"/>
      <w:r w:rsidRPr="004205B5">
        <w:rPr>
          <w:rFonts w:ascii="Times New Roman" w:hAnsi="Times New Roman" w:cs="Times New Roman"/>
          <w:sz w:val="24"/>
          <w:szCs w:val="24"/>
          <w:lang w:val="en-US"/>
        </w:rPr>
        <w:t xml:space="preserve"> of these 1</w:t>
      </w:r>
      <w:r>
        <w:rPr>
          <w:rFonts w:ascii="Times New Roman" w:hAnsi="Times New Roman" w:cs="Times New Roman"/>
          <w:sz w:val="24"/>
          <w:szCs w:val="24"/>
          <w:lang w:val="en-US"/>
        </w:rPr>
        <w:t>,</w:t>
      </w:r>
      <w:r w:rsidRPr="004205B5">
        <w:rPr>
          <w:rFonts w:ascii="Times New Roman" w:hAnsi="Times New Roman" w:cs="Times New Roman"/>
          <w:sz w:val="24"/>
          <w:szCs w:val="24"/>
          <w:lang w:val="en-US"/>
        </w:rPr>
        <w:t xml:space="preserve">400 VTEs possibly represented the same event since the time interval between the first VTE diagnosis (before study entry) and the second VTE diagnosis (after study entry) was less than 90 days. </w:t>
      </w:r>
      <w:r>
        <w:rPr>
          <w:rFonts w:ascii="Times New Roman" w:hAnsi="Times New Roman" w:cs="Times New Roman"/>
          <w:sz w:val="24"/>
          <w:szCs w:val="24"/>
          <w:lang w:val="en-US"/>
        </w:rPr>
        <w:t xml:space="preserve">This </w:t>
      </w:r>
      <w:proofErr w:type="gramStart"/>
      <w:r>
        <w:rPr>
          <w:rFonts w:ascii="Times New Roman" w:hAnsi="Times New Roman" w:cs="Times New Roman"/>
          <w:sz w:val="24"/>
          <w:szCs w:val="24"/>
          <w:lang w:val="en-US"/>
        </w:rPr>
        <w:t>is reflected</w:t>
      </w:r>
      <w:proofErr w:type="gramEnd"/>
      <w:r>
        <w:rPr>
          <w:rFonts w:ascii="Times New Roman" w:hAnsi="Times New Roman" w:cs="Times New Roman"/>
          <w:sz w:val="24"/>
          <w:szCs w:val="24"/>
          <w:lang w:val="en-US"/>
        </w:rPr>
        <w:t xml:space="preserve"> in the lower IR of VTE in the 0-6 month period in the sensitivity analyses. </w:t>
      </w:r>
      <w:r w:rsidRPr="004205B5">
        <w:rPr>
          <w:rFonts w:ascii="Times New Roman" w:hAnsi="Times New Roman" w:cs="Times New Roman"/>
          <w:sz w:val="24"/>
          <w:szCs w:val="24"/>
          <w:lang w:val="en-US"/>
        </w:rPr>
        <w:t>For the remaining 1</w:t>
      </w:r>
      <w:r>
        <w:rPr>
          <w:rFonts w:ascii="Times New Roman" w:hAnsi="Times New Roman" w:cs="Times New Roman"/>
          <w:sz w:val="24"/>
          <w:szCs w:val="24"/>
          <w:lang w:val="en-US"/>
        </w:rPr>
        <w:t>,</w:t>
      </w:r>
      <w:r w:rsidRPr="004205B5">
        <w:rPr>
          <w:rFonts w:ascii="Times New Roman" w:hAnsi="Times New Roman" w:cs="Times New Roman"/>
          <w:sz w:val="24"/>
          <w:szCs w:val="24"/>
          <w:lang w:val="en-US"/>
        </w:rPr>
        <w:t>109 patients who were diagnosed with a VTE prior to study entry and then experienced a second, subsequent, VTE in the study, the time span between the two VTE diagnoses was &gt; 90 days (median 3</w:t>
      </w:r>
      <w:r>
        <w:rPr>
          <w:rFonts w:ascii="Times New Roman" w:hAnsi="Times New Roman" w:cs="Times New Roman"/>
          <w:sz w:val="24"/>
          <w:szCs w:val="24"/>
          <w:lang w:val="en-US"/>
        </w:rPr>
        <w:t>,</w:t>
      </w:r>
      <w:r w:rsidRPr="004205B5">
        <w:rPr>
          <w:rFonts w:ascii="Times New Roman" w:hAnsi="Times New Roman" w:cs="Times New Roman"/>
          <w:sz w:val="24"/>
          <w:szCs w:val="24"/>
          <w:lang w:val="en-US"/>
        </w:rPr>
        <w:t>018 days, 25</w:t>
      </w:r>
      <w:r w:rsidRPr="004205B5">
        <w:rPr>
          <w:rFonts w:ascii="Times New Roman" w:hAnsi="Times New Roman" w:cs="Times New Roman"/>
          <w:sz w:val="24"/>
          <w:szCs w:val="24"/>
          <w:vertAlign w:val="superscript"/>
          <w:lang w:val="en-US"/>
        </w:rPr>
        <w:t>th</w:t>
      </w:r>
      <w:r w:rsidRPr="004205B5">
        <w:rPr>
          <w:rFonts w:ascii="Times New Roman" w:hAnsi="Times New Roman" w:cs="Times New Roman"/>
          <w:sz w:val="24"/>
          <w:szCs w:val="24"/>
          <w:lang w:val="en-US"/>
        </w:rPr>
        <w:t>-75</w:t>
      </w:r>
      <w:r w:rsidRPr="004205B5">
        <w:rPr>
          <w:rFonts w:ascii="Times New Roman" w:hAnsi="Times New Roman" w:cs="Times New Roman"/>
          <w:sz w:val="24"/>
          <w:szCs w:val="24"/>
          <w:vertAlign w:val="superscript"/>
          <w:lang w:val="en-US"/>
        </w:rPr>
        <w:t>th</w:t>
      </w:r>
      <w:r w:rsidRPr="004205B5">
        <w:rPr>
          <w:rFonts w:ascii="Times New Roman" w:hAnsi="Times New Roman" w:cs="Times New Roman"/>
          <w:sz w:val="24"/>
          <w:szCs w:val="24"/>
          <w:lang w:val="en-US"/>
        </w:rPr>
        <w:t xml:space="preserve"> percentile, 1</w:t>
      </w:r>
      <w:r>
        <w:rPr>
          <w:rFonts w:ascii="Times New Roman" w:hAnsi="Times New Roman" w:cs="Times New Roman"/>
          <w:sz w:val="24"/>
          <w:szCs w:val="24"/>
          <w:lang w:val="en-US"/>
        </w:rPr>
        <w:t>,</w:t>
      </w:r>
      <w:r w:rsidRPr="004205B5">
        <w:rPr>
          <w:rFonts w:ascii="Times New Roman" w:hAnsi="Times New Roman" w:cs="Times New Roman"/>
          <w:sz w:val="24"/>
          <w:szCs w:val="24"/>
          <w:lang w:val="en-US"/>
        </w:rPr>
        <w:t>089-5</w:t>
      </w:r>
      <w:r>
        <w:rPr>
          <w:rFonts w:ascii="Times New Roman" w:hAnsi="Times New Roman" w:cs="Times New Roman"/>
          <w:sz w:val="24"/>
          <w:szCs w:val="24"/>
          <w:lang w:val="en-US"/>
        </w:rPr>
        <w:t xml:space="preserve"> </w:t>
      </w:r>
      <w:r w:rsidRPr="004205B5">
        <w:rPr>
          <w:rFonts w:ascii="Times New Roman" w:hAnsi="Times New Roman" w:cs="Times New Roman"/>
          <w:sz w:val="24"/>
          <w:szCs w:val="24"/>
          <w:lang w:val="en-US"/>
        </w:rPr>
        <w:t xml:space="preserve">635 days). </w:t>
      </w:r>
    </w:p>
    <w:p w:rsidR="00F0206F" w:rsidRPr="002C275E" w:rsidRDefault="00F0206F" w:rsidP="00F0206F">
      <w:pPr>
        <w:spacing w:line="48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F</w:t>
      </w:r>
      <w:r w:rsidRPr="002C275E">
        <w:rPr>
          <w:rFonts w:ascii="Times New Roman" w:hAnsi="Times New Roman" w:cs="Times New Roman"/>
          <w:i/>
          <w:sz w:val="24"/>
          <w:szCs w:val="24"/>
          <w:lang w:val="en-GB"/>
        </w:rPr>
        <w:t>irst cancer and VTE in unexposed subjects</w:t>
      </w:r>
    </w:p>
    <w:p w:rsidR="00F0206F" w:rsidRDefault="00F0206F" w:rsidP="00F0206F">
      <w:pPr>
        <w:spacing w:line="480" w:lineRule="auto"/>
        <w:jc w:val="both"/>
        <w:rPr>
          <w:rFonts w:ascii="Times New Roman" w:hAnsi="Times New Roman" w:cs="Times New Roman"/>
          <w:sz w:val="24"/>
          <w:szCs w:val="24"/>
          <w:lang w:val="en-GB"/>
        </w:rPr>
      </w:pPr>
      <w:r w:rsidRPr="005E755E">
        <w:rPr>
          <w:rFonts w:ascii="Times New Roman" w:hAnsi="Times New Roman" w:cs="Times New Roman"/>
          <w:sz w:val="24"/>
          <w:szCs w:val="24"/>
          <w:lang w:val="en-GB"/>
        </w:rPr>
        <w:t>The IR of VTE in unexposed</w:t>
      </w:r>
      <w:r>
        <w:rPr>
          <w:rFonts w:ascii="Times New Roman" w:hAnsi="Times New Roman" w:cs="Times New Roman"/>
          <w:sz w:val="24"/>
          <w:szCs w:val="24"/>
          <w:lang w:val="en-GB"/>
        </w:rPr>
        <w:t xml:space="preserve"> subjects (i.e. without a second cancer diagnosis) was markedly higher during the initial six months after the first cancer diagnosis than in subsequent time. The 0-6 month IR of VTE was 31.6 per 1000 p-y (95% CI, 30.6</w:t>
      </w:r>
      <w:r w:rsidRPr="001A3B90">
        <w:rPr>
          <w:rFonts w:ascii="Times New Roman" w:hAnsi="Times New Roman" w:cs="Times New Roman"/>
          <w:sz w:val="24"/>
          <w:szCs w:val="24"/>
          <w:lang w:val="en-US"/>
        </w:rPr>
        <w:t>–</w:t>
      </w:r>
      <w:r>
        <w:rPr>
          <w:rFonts w:ascii="Times New Roman" w:hAnsi="Times New Roman" w:cs="Times New Roman"/>
          <w:sz w:val="24"/>
          <w:szCs w:val="24"/>
          <w:lang w:val="en-GB"/>
        </w:rPr>
        <w:t>32.5) while the IR decreased rapidly by increasing time since the first cancer diagnosis to 5.2 per 1000 p-y (95% CI, 5.1</w:t>
      </w:r>
      <w:r w:rsidRPr="001A3B90">
        <w:rPr>
          <w:rFonts w:ascii="Times New Roman" w:hAnsi="Times New Roman" w:cs="Times New Roman"/>
          <w:sz w:val="24"/>
          <w:szCs w:val="24"/>
          <w:lang w:val="en-US"/>
        </w:rPr>
        <w:t>–</w:t>
      </w:r>
      <w:r>
        <w:rPr>
          <w:rFonts w:ascii="Times New Roman" w:hAnsi="Times New Roman" w:cs="Times New Roman"/>
          <w:sz w:val="24"/>
          <w:szCs w:val="24"/>
          <w:lang w:val="en-GB"/>
        </w:rPr>
        <w:t>5.4) for VTEs later than 2 years after the first cancer diagnosis (Table 3</w:t>
      </w:r>
      <w:r w:rsidRPr="00486438">
        <w:rPr>
          <w:rFonts w:ascii="Times New Roman" w:hAnsi="Times New Roman" w:cs="Times New Roman"/>
          <w:sz w:val="24"/>
          <w:szCs w:val="24"/>
          <w:lang w:val="en-GB"/>
        </w:rPr>
        <w:t>,</w:t>
      </w:r>
      <w:r>
        <w:rPr>
          <w:rFonts w:ascii="Times New Roman" w:hAnsi="Times New Roman" w:cs="Times New Roman"/>
          <w:sz w:val="24"/>
          <w:szCs w:val="24"/>
          <w:lang w:val="en-GB"/>
        </w:rPr>
        <w:t xml:space="preserve"> Figure 1). However, the effect of time since diagnosis was dependent of the first cancer type. </w:t>
      </w:r>
      <w:proofErr w:type="gramStart"/>
      <w:r>
        <w:rPr>
          <w:rFonts w:ascii="Times New Roman" w:hAnsi="Times New Roman" w:cs="Times New Roman"/>
          <w:sz w:val="24"/>
          <w:szCs w:val="24"/>
          <w:lang w:val="en-GB"/>
        </w:rPr>
        <w:t>For unexposed patients with a first breast or prostate cancer, the IR of VTE declined from 0-6 month IRs of VTE of 11.9 per 1000 p-y, 95% CI, 10.9</w:t>
      </w:r>
      <w:r w:rsidRPr="001A3B90">
        <w:rPr>
          <w:rFonts w:ascii="Times New Roman" w:hAnsi="Times New Roman" w:cs="Times New Roman"/>
          <w:sz w:val="24"/>
          <w:szCs w:val="24"/>
          <w:lang w:val="en-US"/>
        </w:rPr>
        <w:t>–</w:t>
      </w:r>
      <w:r>
        <w:rPr>
          <w:rFonts w:ascii="Times New Roman" w:hAnsi="Times New Roman" w:cs="Times New Roman"/>
          <w:sz w:val="24"/>
          <w:szCs w:val="24"/>
          <w:lang w:val="en-GB"/>
        </w:rPr>
        <w:t>13.0, and 15.8 per 1000 p-y, 95% CI, 14.5</w:t>
      </w:r>
      <w:r w:rsidRPr="001A3B90">
        <w:rPr>
          <w:rFonts w:ascii="Times New Roman" w:hAnsi="Times New Roman" w:cs="Times New Roman"/>
          <w:sz w:val="24"/>
          <w:szCs w:val="24"/>
          <w:lang w:val="en-US"/>
        </w:rPr>
        <w:t>–</w:t>
      </w:r>
      <w:r>
        <w:rPr>
          <w:rFonts w:ascii="Times New Roman" w:hAnsi="Times New Roman" w:cs="Times New Roman"/>
          <w:sz w:val="24"/>
          <w:szCs w:val="24"/>
          <w:lang w:val="en-GB"/>
        </w:rPr>
        <w:t>17.3, respectively, while for patients with a first lung cancer the 0-6 month IR of VTE was 64.6 per 1000 p-y, 95% CI, 61.7</w:t>
      </w:r>
      <w:r w:rsidRPr="001A3B90">
        <w:rPr>
          <w:rFonts w:ascii="Times New Roman" w:hAnsi="Times New Roman" w:cs="Times New Roman"/>
          <w:sz w:val="24"/>
          <w:szCs w:val="24"/>
          <w:lang w:val="en-US"/>
        </w:rPr>
        <w:t>–</w:t>
      </w:r>
      <w:r>
        <w:rPr>
          <w:rFonts w:ascii="Times New Roman" w:hAnsi="Times New Roman" w:cs="Times New Roman"/>
          <w:sz w:val="24"/>
          <w:szCs w:val="24"/>
          <w:lang w:val="en-GB"/>
        </w:rPr>
        <w:t>67.8.</w:t>
      </w:r>
      <w:proofErr w:type="gram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The difference between 0-6 months IRs </w:t>
      </w:r>
      <w:r>
        <w:rPr>
          <w:rFonts w:ascii="Times New Roman" w:hAnsi="Times New Roman" w:cs="Times New Roman"/>
          <w:sz w:val="24"/>
          <w:szCs w:val="24"/>
          <w:lang w:val="en-GB"/>
        </w:rPr>
        <w:lastRenderedPageBreak/>
        <w:t>of VTE and VTEs later than two years after the first cancer diagnosis was thus markedly larger for patients with a first lung cancer, meaning that time since cancer diagnosis has a larger impact on the risk of VTE in patients with lung cancer than in patients with breast or prostate cancer, on an additive scale (Table 3).</w:t>
      </w:r>
      <w:proofErr w:type="gramEnd"/>
    </w:p>
    <w:p w:rsidR="00F0206F" w:rsidRDefault="00F0206F" w:rsidP="00F0206F">
      <w:pPr>
        <w:spacing w:line="480" w:lineRule="auto"/>
        <w:jc w:val="both"/>
        <w:rPr>
          <w:rFonts w:ascii="Times New Roman" w:hAnsi="Times New Roman" w:cs="Times New Roman"/>
          <w:i/>
          <w:sz w:val="24"/>
          <w:szCs w:val="24"/>
          <w:lang w:val="en-GB"/>
        </w:rPr>
      </w:pPr>
      <w:r w:rsidRPr="006A708E">
        <w:rPr>
          <w:rFonts w:ascii="Times New Roman" w:hAnsi="Times New Roman" w:cs="Times New Roman"/>
          <w:i/>
          <w:sz w:val="24"/>
          <w:szCs w:val="24"/>
          <w:lang w:val="en-GB"/>
        </w:rPr>
        <w:t>Second cancer and VTE</w:t>
      </w:r>
    </w:p>
    <w:p w:rsidR="00F0206F" w:rsidRPr="0085559C" w:rsidRDefault="00F0206F" w:rsidP="00F0206F">
      <w:pPr>
        <w:spacing w:line="480" w:lineRule="auto"/>
        <w:jc w:val="both"/>
        <w:rPr>
          <w:rFonts w:ascii="Times New Roman" w:hAnsi="Times New Roman" w:cs="Times New Roman"/>
          <w:b/>
          <w:sz w:val="24"/>
          <w:szCs w:val="24"/>
          <w:lang w:val="en-GB"/>
        </w:rPr>
        <w:sectPr w:rsidR="00F0206F" w:rsidRPr="0085559C" w:rsidSect="00AD4F6E">
          <w:headerReference w:type="default" r:id="rId7"/>
          <w:pgSz w:w="11906" w:h="16838"/>
          <w:pgMar w:top="1701" w:right="1134" w:bottom="1701" w:left="1134" w:header="708" w:footer="708" w:gutter="0"/>
          <w:cols w:space="708"/>
          <w:docGrid w:linePitch="360"/>
        </w:sectPr>
      </w:pPr>
      <w:r w:rsidRPr="00AD56C5">
        <w:rPr>
          <w:rFonts w:ascii="Times New Roman" w:hAnsi="Times New Roman" w:cs="Times New Roman"/>
          <w:sz w:val="24"/>
          <w:szCs w:val="24"/>
          <w:lang w:val="en-GB"/>
        </w:rPr>
        <w:t xml:space="preserve">The association with time since second cancer differed based on the VTE risk category of the second cancer. The association was strongest for high and </w:t>
      </w:r>
      <w:r w:rsidRPr="00AD56C5">
        <w:rPr>
          <w:rFonts w:ascii="Times New Roman" w:hAnsi="Times New Roman" w:cs="Times New Roman"/>
          <w:sz w:val="24"/>
          <w:szCs w:val="24"/>
          <w:lang w:val="en-US"/>
        </w:rPr>
        <w:t>very high</w:t>
      </w:r>
      <w:r w:rsidRPr="00AD56C5">
        <w:rPr>
          <w:rFonts w:ascii="Times New Roman" w:hAnsi="Times New Roman" w:cs="Times New Roman"/>
          <w:sz w:val="24"/>
          <w:szCs w:val="24"/>
          <w:lang w:val="en-GB"/>
        </w:rPr>
        <w:t xml:space="preserve"> VTE-risk second cancer types, where 34.3 and 45.7 fewer VTEs per 1000 p-y </w:t>
      </w:r>
      <w:proofErr w:type="gramStart"/>
      <w:r w:rsidRPr="00AD56C5">
        <w:rPr>
          <w:rFonts w:ascii="Times New Roman" w:hAnsi="Times New Roman" w:cs="Times New Roman"/>
          <w:sz w:val="24"/>
          <w:szCs w:val="24"/>
          <w:lang w:val="en-GB"/>
        </w:rPr>
        <w:t>were observed</w:t>
      </w:r>
      <w:proofErr w:type="gramEnd"/>
      <w:r w:rsidRPr="00AD56C5">
        <w:rPr>
          <w:rFonts w:ascii="Times New Roman" w:hAnsi="Times New Roman" w:cs="Times New Roman"/>
          <w:sz w:val="24"/>
          <w:szCs w:val="24"/>
          <w:lang w:val="en-GB"/>
        </w:rPr>
        <w:t xml:space="preserve"> later than two years after the second cancer than in the initial six months after a second cancer, respectively. The association with time since second cancer diagnosis was weaker in intermediate/low VTE risk second cancers, where the corresponding IR difference was 8.4 per 1000 p-y</w:t>
      </w:r>
      <w:r>
        <w:rPr>
          <w:rFonts w:ascii="Times New Roman" w:hAnsi="Times New Roman" w:cs="Times New Roman"/>
          <w:sz w:val="24"/>
          <w:szCs w:val="24"/>
          <w:lang w:val="en-GB"/>
        </w:rPr>
        <w:t xml:space="preserve"> </w:t>
      </w:r>
      <w:r w:rsidRPr="00AD56C5">
        <w:rPr>
          <w:rFonts w:ascii="Times New Roman" w:hAnsi="Times New Roman" w:cs="Times New Roman"/>
          <w:sz w:val="24"/>
          <w:szCs w:val="24"/>
          <w:lang w:val="en-GB"/>
        </w:rPr>
        <w:t>(Figure 2, Supplementary Table 2).</w:t>
      </w:r>
    </w:p>
    <w:p w:rsidR="00F0206F" w:rsidRDefault="00F0206F" w:rsidP="00F0206F">
      <w:pPr>
        <w:spacing w:line="480" w:lineRule="auto"/>
        <w:jc w:val="both"/>
        <w:rPr>
          <w:rFonts w:ascii="Times New Roman" w:hAnsi="Times New Roman" w:cs="Times New Roman"/>
          <w:b/>
          <w:sz w:val="24"/>
          <w:szCs w:val="24"/>
          <w:lang w:val="en-GB"/>
        </w:rPr>
      </w:pPr>
      <w:r w:rsidRPr="00F46581">
        <w:rPr>
          <w:rFonts w:ascii="Times New Roman" w:hAnsi="Times New Roman" w:cs="Times New Roman"/>
          <w:b/>
          <w:sz w:val="24"/>
          <w:szCs w:val="24"/>
          <w:lang w:val="en-GB"/>
        </w:rPr>
        <w:lastRenderedPageBreak/>
        <w:t>Tables</w:t>
      </w:r>
      <w:r>
        <w:rPr>
          <w:rFonts w:ascii="Times New Roman" w:hAnsi="Times New Roman" w:cs="Times New Roman"/>
          <w:b/>
          <w:sz w:val="24"/>
          <w:szCs w:val="24"/>
          <w:lang w:val="en-GB"/>
        </w:rPr>
        <w:t xml:space="preserve"> and figures</w:t>
      </w:r>
    </w:p>
    <w:p w:rsidR="00F0206F" w:rsidRPr="005A16B6" w:rsidRDefault="00F0206F" w:rsidP="00F0206F">
      <w:pPr>
        <w:spacing w:line="240" w:lineRule="auto"/>
        <w:jc w:val="both"/>
        <w:rPr>
          <w:rFonts w:ascii="Times New Roman" w:hAnsi="Times New Roman" w:cs="Times New Roman"/>
          <w:b/>
          <w:sz w:val="24"/>
          <w:szCs w:val="24"/>
          <w:lang w:val="en-GB"/>
        </w:rPr>
      </w:pPr>
      <w:r w:rsidRPr="001A5779">
        <w:rPr>
          <w:rFonts w:ascii="Times New Roman" w:hAnsi="Times New Roman" w:cs="Times New Roman"/>
          <w:sz w:val="24"/>
          <w:szCs w:val="24"/>
          <w:lang w:val="en-US"/>
        </w:rPr>
        <w:t>Supplementary table 1. Categorization of second cancers as very-high VTE-risk, high VTE-risk or intermediate/low VTE-risk second cancer</w:t>
      </w:r>
      <w:r w:rsidRPr="005A16B6">
        <w:rPr>
          <w:rFonts w:ascii="Times New Roman" w:hAnsi="Times New Roman" w:cs="Times New Roman"/>
          <w:sz w:val="24"/>
          <w:szCs w:val="24"/>
          <w:lang w:val="en-US"/>
        </w:rPr>
        <w:t>.</w:t>
      </w:r>
    </w:p>
    <w:tbl>
      <w:tblPr>
        <w:tblStyle w:val="Almindeligtabel2"/>
        <w:tblW w:w="9742" w:type="dxa"/>
        <w:tblLayout w:type="fixed"/>
        <w:tblLook w:val="04A0" w:firstRow="1" w:lastRow="0" w:firstColumn="1" w:lastColumn="0" w:noHBand="0" w:noVBand="1"/>
      </w:tblPr>
      <w:tblGrid>
        <w:gridCol w:w="1623"/>
        <w:gridCol w:w="1491"/>
        <w:gridCol w:w="1757"/>
        <w:gridCol w:w="1623"/>
        <w:gridCol w:w="1624"/>
        <w:gridCol w:w="1624"/>
      </w:tblGrid>
      <w:tr w:rsidR="00F0206F" w:rsidRPr="00A023CD" w:rsidTr="00AD4F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gridSpan w:val="2"/>
            <w:shd w:val="clear" w:color="auto" w:fill="D9D9D9" w:themeFill="background1" w:themeFillShade="D9"/>
          </w:tcPr>
          <w:p w:rsidR="00F0206F" w:rsidRPr="005A16B6" w:rsidRDefault="00F0206F" w:rsidP="00AD4F6E">
            <w:pPr>
              <w:spacing w:line="480" w:lineRule="auto"/>
              <w:rPr>
                <w:rFonts w:ascii="Times New Roman" w:hAnsi="Times New Roman" w:cs="Times New Roman"/>
                <w:sz w:val="16"/>
                <w:szCs w:val="16"/>
                <w:lang w:val="en-US"/>
              </w:rPr>
            </w:pPr>
            <w:r w:rsidRPr="005A16B6">
              <w:rPr>
                <w:rFonts w:ascii="Times New Roman" w:hAnsi="Times New Roman" w:cs="Times New Roman"/>
                <w:sz w:val="16"/>
                <w:szCs w:val="16"/>
                <w:lang w:val="en-US"/>
              </w:rPr>
              <w:t>Very-high VTE-risk second cancer</w:t>
            </w:r>
          </w:p>
          <w:p w:rsidR="00F0206F" w:rsidRPr="005A16B6" w:rsidRDefault="00F0206F" w:rsidP="00AD4F6E">
            <w:pPr>
              <w:spacing w:line="480" w:lineRule="auto"/>
              <w:rPr>
                <w:rFonts w:ascii="Times New Roman" w:hAnsi="Times New Roman" w:cs="Times New Roman"/>
                <w:b w:val="0"/>
                <w:sz w:val="16"/>
                <w:szCs w:val="16"/>
                <w:lang w:val="en-US"/>
              </w:rPr>
            </w:pPr>
            <w:r w:rsidRPr="005A16B6">
              <w:rPr>
                <w:rFonts w:ascii="Times New Roman" w:hAnsi="Times New Roman" w:cs="Times New Roman"/>
                <w:b w:val="0"/>
                <w:sz w:val="16"/>
                <w:szCs w:val="16"/>
                <w:lang w:val="en-US"/>
              </w:rPr>
              <w:t>Stomach, pancreas, brain</w:t>
            </w:r>
          </w:p>
        </w:tc>
        <w:tc>
          <w:tcPr>
            <w:tcW w:w="3380" w:type="dxa"/>
            <w:gridSpan w:val="2"/>
            <w:shd w:val="clear" w:color="auto" w:fill="F2F2F2" w:themeFill="background1" w:themeFillShade="F2"/>
          </w:tcPr>
          <w:p w:rsidR="00F0206F" w:rsidRPr="005A16B6" w:rsidRDefault="00F0206F" w:rsidP="00AD4F6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5A16B6">
              <w:rPr>
                <w:rFonts w:ascii="Times New Roman" w:hAnsi="Times New Roman" w:cs="Times New Roman"/>
                <w:sz w:val="16"/>
                <w:szCs w:val="16"/>
                <w:lang w:val="en-US"/>
              </w:rPr>
              <w:t>High VTE-risk second cancer</w:t>
            </w:r>
          </w:p>
          <w:p w:rsidR="00F0206F" w:rsidRPr="005A16B6" w:rsidRDefault="00F0206F" w:rsidP="00AD4F6E">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r w:rsidRPr="005A16B6">
              <w:rPr>
                <w:rFonts w:ascii="Times New Roman" w:hAnsi="Times New Roman" w:cs="Times New Roman"/>
                <w:b w:val="0"/>
                <w:sz w:val="16"/>
                <w:szCs w:val="16"/>
                <w:lang w:val="en-US"/>
              </w:rPr>
              <w:t xml:space="preserve">Lung, colorectal, esophagus, </w:t>
            </w:r>
            <w:proofErr w:type="spellStart"/>
            <w:r w:rsidRPr="005A16B6">
              <w:rPr>
                <w:rFonts w:ascii="Times New Roman" w:hAnsi="Times New Roman" w:cs="Times New Roman"/>
                <w:b w:val="0"/>
                <w:sz w:val="16"/>
                <w:szCs w:val="16"/>
                <w:lang w:val="en-US"/>
              </w:rPr>
              <w:t>kidney,Mb</w:t>
            </w:r>
            <w:proofErr w:type="spellEnd"/>
            <w:r w:rsidRPr="005A16B6">
              <w:rPr>
                <w:rFonts w:ascii="Times New Roman" w:hAnsi="Times New Roman" w:cs="Times New Roman"/>
                <w:b w:val="0"/>
                <w:sz w:val="16"/>
                <w:szCs w:val="16"/>
                <w:lang w:val="en-US"/>
              </w:rPr>
              <w:t xml:space="preserve">. Hodgkin and other  aggressive lymphomas, myeloma, bladder, testicular, gynecologic, </w:t>
            </w:r>
            <w:proofErr w:type="spellStart"/>
            <w:r w:rsidRPr="005A16B6">
              <w:rPr>
                <w:rFonts w:ascii="Times New Roman" w:hAnsi="Times New Roman" w:cs="Times New Roman"/>
                <w:b w:val="0"/>
                <w:sz w:val="16"/>
                <w:szCs w:val="16"/>
                <w:lang w:val="en-US"/>
              </w:rPr>
              <w:t>leukemias</w:t>
            </w:r>
            <w:proofErr w:type="spellEnd"/>
            <w:r w:rsidRPr="005A16B6">
              <w:rPr>
                <w:rFonts w:ascii="Times New Roman" w:hAnsi="Times New Roman" w:cs="Times New Roman"/>
                <w:b w:val="0"/>
                <w:sz w:val="16"/>
                <w:szCs w:val="16"/>
                <w:lang w:val="en-US"/>
              </w:rPr>
              <w:t>, other types</w:t>
            </w:r>
          </w:p>
        </w:tc>
        <w:tc>
          <w:tcPr>
            <w:tcW w:w="3248" w:type="dxa"/>
            <w:gridSpan w:val="2"/>
          </w:tcPr>
          <w:p w:rsidR="00F0206F" w:rsidRPr="005A16B6" w:rsidRDefault="00F0206F" w:rsidP="00AD4F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5A16B6">
              <w:rPr>
                <w:rFonts w:ascii="Times New Roman" w:hAnsi="Times New Roman" w:cs="Times New Roman"/>
                <w:sz w:val="16"/>
                <w:szCs w:val="16"/>
                <w:lang w:val="en-US"/>
              </w:rPr>
              <w:t>Intermediate/low VTE-risk second cancer</w:t>
            </w:r>
          </w:p>
          <w:p w:rsidR="00F0206F" w:rsidRPr="005A16B6" w:rsidRDefault="00F0206F" w:rsidP="00AD4F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US"/>
              </w:rPr>
            </w:pPr>
            <w:r w:rsidRPr="005A16B6">
              <w:rPr>
                <w:rFonts w:ascii="Times New Roman" w:hAnsi="Times New Roman" w:cs="Times New Roman"/>
                <w:b w:val="0"/>
                <w:sz w:val="16"/>
                <w:szCs w:val="16"/>
                <w:lang w:val="en-US"/>
              </w:rPr>
              <w:t>Breast, prostate, indolent lymphoma, other types</w:t>
            </w:r>
          </w:p>
        </w:tc>
      </w:tr>
      <w:tr w:rsidR="00F0206F" w:rsidRPr="009F2D9B" w:rsidTr="00AD4F6E">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5B5CC2" w:rsidRDefault="00F0206F" w:rsidP="00AD4F6E">
            <w:pPr>
              <w:spacing w:line="480" w:lineRule="auto"/>
              <w:rPr>
                <w:rFonts w:ascii="Times New Roman" w:hAnsi="Times New Roman" w:cs="Times New Roman"/>
                <w:b w:val="0"/>
                <w:sz w:val="16"/>
                <w:szCs w:val="16"/>
                <w:lang w:val="en-US"/>
              </w:rPr>
            </w:pPr>
            <w:r w:rsidRPr="005B5CC2">
              <w:rPr>
                <w:rFonts w:ascii="Times New Roman" w:hAnsi="Times New Roman" w:cs="Times New Roman"/>
                <w:b w:val="0"/>
                <w:sz w:val="16"/>
                <w:szCs w:val="16"/>
                <w:lang w:val="en-US"/>
              </w:rPr>
              <w:t>ICD-10 group</w:t>
            </w:r>
          </w:p>
        </w:tc>
        <w:tc>
          <w:tcPr>
            <w:tcW w:w="1491" w:type="dxa"/>
            <w:shd w:val="clear" w:color="auto" w:fill="D9D9D9" w:themeFill="background1" w:themeFillShade="D9"/>
          </w:tcPr>
          <w:p w:rsidR="00F0206F" w:rsidRPr="005B5CC2"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5B5CC2">
              <w:rPr>
                <w:rFonts w:ascii="Times New Roman" w:hAnsi="Times New Roman" w:cs="Times New Roman"/>
                <w:sz w:val="16"/>
                <w:szCs w:val="16"/>
                <w:lang w:val="en-US"/>
              </w:rPr>
              <w:t>ICD-10 codes</w:t>
            </w:r>
          </w:p>
        </w:tc>
        <w:tc>
          <w:tcPr>
            <w:tcW w:w="1757" w:type="dxa"/>
            <w:shd w:val="clear" w:color="auto" w:fill="F2F2F2" w:themeFill="background1" w:themeFillShade="F2"/>
          </w:tcPr>
          <w:p w:rsidR="00F0206F" w:rsidRPr="005B5CC2"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5B5CC2">
              <w:rPr>
                <w:rFonts w:ascii="Times New Roman" w:hAnsi="Times New Roman" w:cs="Times New Roman"/>
                <w:sz w:val="16"/>
                <w:szCs w:val="16"/>
                <w:lang w:val="en-US"/>
              </w:rPr>
              <w:t>ICD-10 group</w:t>
            </w:r>
          </w:p>
        </w:tc>
        <w:tc>
          <w:tcPr>
            <w:tcW w:w="1623" w:type="dxa"/>
            <w:shd w:val="clear" w:color="auto" w:fill="F2F2F2" w:themeFill="background1" w:themeFillShade="F2"/>
          </w:tcPr>
          <w:p w:rsidR="00F0206F" w:rsidRPr="005B5CC2"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5B5CC2">
              <w:rPr>
                <w:rFonts w:ascii="Times New Roman" w:hAnsi="Times New Roman" w:cs="Times New Roman"/>
                <w:sz w:val="16"/>
                <w:szCs w:val="16"/>
                <w:lang w:val="en-US"/>
              </w:rPr>
              <w:t>ICD-10 codes</w:t>
            </w:r>
          </w:p>
        </w:tc>
        <w:tc>
          <w:tcPr>
            <w:tcW w:w="1624" w:type="dxa"/>
          </w:tcPr>
          <w:p w:rsidR="00F0206F" w:rsidRPr="005B5CC2"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5B5CC2">
              <w:rPr>
                <w:rFonts w:ascii="Times New Roman" w:hAnsi="Times New Roman" w:cs="Times New Roman"/>
                <w:sz w:val="16"/>
                <w:szCs w:val="16"/>
                <w:lang w:val="en-US"/>
              </w:rPr>
              <w:t>ICD-10 group</w:t>
            </w:r>
          </w:p>
        </w:tc>
        <w:tc>
          <w:tcPr>
            <w:tcW w:w="1624" w:type="dxa"/>
          </w:tcPr>
          <w:p w:rsidR="00F0206F" w:rsidRPr="005B5CC2"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5B5CC2">
              <w:rPr>
                <w:rFonts w:ascii="Times New Roman" w:hAnsi="Times New Roman" w:cs="Times New Roman"/>
                <w:sz w:val="16"/>
                <w:szCs w:val="16"/>
                <w:lang w:val="en-US"/>
              </w:rPr>
              <w:t>ICD-10 codes</w:t>
            </w: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5B5CC2" w:rsidRDefault="00F0206F" w:rsidP="00AD4F6E">
            <w:pPr>
              <w:spacing w:line="480" w:lineRule="auto"/>
              <w:rPr>
                <w:rFonts w:ascii="Times New Roman" w:hAnsi="Times New Roman" w:cs="Times New Roman"/>
                <w:b w:val="0"/>
                <w:sz w:val="16"/>
                <w:szCs w:val="16"/>
                <w:lang w:val="en-US"/>
              </w:rPr>
            </w:pPr>
            <w:r w:rsidRPr="005B5CC2">
              <w:rPr>
                <w:rFonts w:ascii="Times New Roman" w:hAnsi="Times New Roman" w:cs="Times New Roman"/>
                <w:b w:val="0"/>
                <w:sz w:val="16"/>
                <w:szCs w:val="16"/>
                <w:lang w:val="en-US"/>
              </w:rPr>
              <w:t>7</w:t>
            </w: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C16.0-16.9</w:t>
            </w:r>
          </w:p>
        </w:tc>
        <w:tc>
          <w:tcPr>
            <w:tcW w:w="1757"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16+17</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C32.0-34.9</w:t>
            </w:r>
          </w:p>
        </w:tc>
        <w:tc>
          <w:tcPr>
            <w:tcW w:w="1624" w:type="dxa"/>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28 </w:t>
            </w:r>
          </w:p>
        </w:tc>
        <w:tc>
          <w:tcPr>
            <w:tcW w:w="1624" w:type="dxa"/>
          </w:tcPr>
          <w:p w:rsidR="00F0206F" w:rsidRPr="00761691"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C50.0-50.9</w:t>
            </w: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5B5CC2" w:rsidRDefault="00F0206F" w:rsidP="00AD4F6E">
            <w:pPr>
              <w:spacing w:line="480" w:lineRule="auto"/>
              <w:rPr>
                <w:rFonts w:ascii="Times New Roman" w:hAnsi="Times New Roman" w:cs="Times New Roman"/>
                <w:b w:val="0"/>
                <w:sz w:val="16"/>
                <w:szCs w:val="16"/>
                <w:lang w:val="en-US"/>
              </w:rPr>
            </w:pPr>
            <w:r w:rsidRPr="005B5CC2">
              <w:rPr>
                <w:rFonts w:ascii="Times New Roman" w:hAnsi="Times New Roman" w:cs="Times New Roman"/>
                <w:b w:val="0"/>
                <w:sz w:val="16"/>
                <w:szCs w:val="16"/>
                <w:lang w:val="en-US"/>
              </w:rPr>
              <w:t>13</w:t>
            </w: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C25.0-25.9</w:t>
            </w:r>
          </w:p>
        </w:tc>
        <w:tc>
          <w:tcPr>
            <w:tcW w:w="1757"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9+10</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C18.0-21.9</w:t>
            </w:r>
          </w:p>
        </w:tc>
        <w:tc>
          <w:tcPr>
            <w:tcW w:w="1624" w:type="dxa"/>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36</w:t>
            </w:r>
          </w:p>
        </w:tc>
        <w:tc>
          <w:tcPr>
            <w:tcW w:w="1624" w:type="dxa"/>
          </w:tcPr>
          <w:p w:rsidR="00F0206F" w:rsidRPr="00761691"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C61.0-61.9</w:t>
            </w: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5B5CC2" w:rsidRDefault="00F0206F" w:rsidP="00AD4F6E">
            <w:pPr>
              <w:spacing w:line="480" w:lineRule="auto"/>
              <w:rPr>
                <w:rFonts w:ascii="Times New Roman" w:hAnsi="Times New Roman" w:cs="Times New Roman"/>
                <w:b w:val="0"/>
                <w:sz w:val="16"/>
                <w:szCs w:val="16"/>
                <w:lang w:val="en-US"/>
              </w:rPr>
            </w:pPr>
            <w:r w:rsidRPr="005B5CC2">
              <w:rPr>
                <w:rFonts w:ascii="Times New Roman" w:hAnsi="Times New Roman" w:cs="Times New Roman"/>
                <w:b w:val="0"/>
                <w:sz w:val="16"/>
                <w:szCs w:val="16"/>
                <w:lang w:val="en-US"/>
              </w:rPr>
              <w:t>42</w:t>
            </w: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C7</w:t>
            </w:r>
            <w:r>
              <w:rPr>
                <w:rFonts w:ascii="Times New Roman" w:hAnsi="Times New Roman" w:cs="Times New Roman"/>
                <w:sz w:val="16"/>
                <w:szCs w:val="16"/>
                <w:lang w:val="en-US"/>
              </w:rPr>
              <w:t xml:space="preserve">0.0-72.9, </w:t>
            </w:r>
            <w:r w:rsidRPr="00761691">
              <w:rPr>
                <w:rFonts w:ascii="Times New Roman" w:hAnsi="Times New Roman" w:cs="Times New Roman"/>
                <w:sz w:val="16"/>
                <w:szCs w:val="16"/>
                <w:lang w:val="en-US"/>
              </w:rPr>
              <w:t>D42.0-43.9</w:t>
            </w:r>
          </w:p>
        </w:tc>
        <w:tc>
          <w:tcPr>
            <w:tcW w:w="1757"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6</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C15.0-15.9</w:t>
            </w:r>
          </w:p>
        </w:tc>
        <w:tc>
          <w:tcPr>
            <w:tcW w:w="1624" w:type="dxa"/>
          </w:tcPr>
          <w:p w:rsidR="00F0206F" w:rsidRPr="00572044"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624" w:type="dxa"/>
          </w:tcPr>
          <w:p w:rsidR="00F0206F" w:rsidRPr="00761691"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C82.0-82.1, C82.5-82.9, C83.0, C88.0-88.9, </w:t>
            </w:r>
            <w:r w:rsidRPr="00915293">
              <w:rPr>
                <w:rFonts w:ascii="Times New Roman" w:hAnsi="Times New Roman" w:cs="Times New Roman"/>
                <w:sz w:val="16"/>
                <w:szCs w:val="16"/>
                <w:lang w:val="en-US"/>
              </w:rPr>
              <w:t>C90.2-90.3</w:t>
            </w: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38+39</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C64.0-64.9, </w:t>
            </w:r>
            <w:r w:rsidRPr="00761691">
              <w:rPr>
                <w:rFonts w:ascii="Times New Roman" w:hAnsi="Times New Roman" w:cs="Times New Roman"/>
                <w:sz w:val="16"/>
                <w:szCs w:val="16"/>
                <w:lang w:val="en-US"/>
              </w:rPr>
              <w:t>C65.065.9</w:t>
            </w:r>
          </w:p>
        </w:tc>
        <w:tc>
          <w:tcPr>
            <w:tcW w:w="1624" w:type="dxa"/>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 xml:space="preserve">1,2,3,4,5 </w:t>
            </w:r>
          </w:p>
        </w:tc>
        <w:tc>
          <w:tcPr>
            <w:tcW w:w="1624" w:type="dxa"/>
          </w:tcPr>
          <w:p w:rsidR="00F0206F" w:rsidRPr="00761691"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C00.0-14.9</w:t>
            </w: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40</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C66.0-68.9</w:t>
            </w:r>
          </w:p>
        </w:tc>
        <w:tc>
          <w:tcPr>
            <w:tcW w:w="1624" w:type="dxa"/>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15+16</w:t>
            </w:r>
          </w:p>
        </w:tc>
        <w:tc>
          <w:tcPr>
            <w:tcW w:w="1624" w:type="dxa"/>
          </w:tcPr>
          <w:p w:rsidR="00F0206F" w:rsidRPr="00761691"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C30.0-32.9</w:t>
            </w: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44</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C81.0-81.9</w:t>
            </w:r>
          </w:p>
        </w:tc>
        <w:tc>
          <w:tcPr>
            <w:tcW w:w="1624" w:type="dxa"/>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761691"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572044"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572044"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72044">
              <w:rPr>
                <w:rFonts w:ascii="Times New Roman" w:hAnsi="Times New Roman" w:cs="Times New Roman"/>
                <w:sz w:val="16"/>
                <w:szCs w:val="16"/>
              </w:rPr>
              <w:t>45</w:t>
            </w:r>
          </w:p>
        </w:tc>
        <w:tc>
          <w:tcPr>
            <w:tcW w:w="1623" w:type="dxa"/>
            <w:shd w:val="clear" w:color="auto" w:fill="F2F2F2" w:themeFill="background1" w:themeFillShade="F2"/>
          </w:tcPr>
          <w:p w:rsidR="00F0206F" w:rsidRPr="00572044"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C82.2, C83.1, </w:t>
            </w:r>
            <w:proofErr w:type="gramStart"/>
            <w:r>
              <w:rPr>
                <w:rFonts w:ascii="Times New Roman" w:hAnsi="Times New Roman" w:cs="Times New Roman"/>
                <w:sz w:val="16"/>
                <w:szCs w:val="16"/>
              </w:rPr>
              <w:t>C83.3x,C83.5x</w:t>
            </w:r>
            <w:proofErr w:type="gramEnd"/>
            <w:r>
              <w:rPr>
                <w:rFonts w:ascii="Times New Roman" w:hAnsi="Times New Roman" w:cs="Times New Roman"/>
                <w:sz w:val="16"/>
                <w:szCs w:val="16"/>
              </w:rPr>
              <w:t xml:space="preserve">, C83.7x, C83.8x, </w:t>
            </w:r>
            <w:r w:rsidRPr="00572044">
              <w:rPr>
                <w:rFonts w:ascii="Times New Roman" w:hAnsi="Times New Roman" w:cs="Times New Roman"/>
                <w:sz w:val="16"/>
                <w:szCs w:val="16"/>
              </w:rPr>
              <w:t>C84.0-86.9</w:t>
            </w:r>
          </w:p>
        </w:tc>
        <w:tc>
          <w:tcPr>
            <w:tcW w:w="1624" w:type="dxa"/>
          </w:tcPr>
          <w:p w:rsidR="00F0206F" w:rsidRPr="00572044"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624" w:type="dxa"/>
          </w:tcPr>
          <w:p w:rsidR="00F0206F" w:rsidRPr="0057204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572044" w:rsidRDefault="00F0206F" w:rsidP="00AD4F6E">
            <w:pPr>
              <w:spacing w:line="480" w:lineRule="auto"/>
              <w:rPr>
                <w:rFonts w:ascii="Times New Roman" w:hAnsi="Times New Roman" w:cs="Times New Roman"/>
                <w:sz w:val="16"/>
                <w:szCs w:val="16"/>
              </w:rPr>
            </w:pPr>
          </w:p>
        </w:tc>
        <w:tc>
          <w:tcPr>
            <w:tcW w:w="1491" w:type="dxa"/>
            <w:shd w:val="clear" w:color="auto" w:fill="D9D9D9" w:themeFill="background1" w:themeFillShade="D9"/>
          </w:tcPr>
          <w:p w:rsidR="00F0206F" w:rsidRPr="00572044"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1757"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46 </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C88.0-88.9</w:t>
            </w: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47</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C90.0-90.1</w:t>
            </w: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48 </w:t>
            </w:r>
          </w:p>
        </w:tc>
        <w:tc>
          <w:tcPr>
            <w:tcW w:w="1623"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C91.0-95.9</w:t>
            </w:r>
          </w:p>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D45.0-47.9</w:t>
            </w: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8</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C17.0-17.9</w:t>
            </w: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11+12</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C22.0-24.9</w:t>
            </w: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14</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C26.0-26.9</w:t>
            </w: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C37.0-37.9</w:t>
            </w:r>
          </w:p>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74.0-75.9</w:t>
            </w: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19 </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C38.0-38.9</w:t>
            </w: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C39.0-39.9</w:t>
            </w:r>
          </w:p>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C76.0-76.9</w:t>
            </w:r>
          </w:p>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C80.0-80.9</w:t>
            </w: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21 </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C40.0-41.9</w:t>
            </w: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22</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C43.0-43.9</w:t>
            </w: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 xml:space="preserve">24,25,26,27 </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C45.0-49.9</w:t>
            </w: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15293">
              <w:rPr>
                <w:rFonts w:ascii="Times New Roman" w:hAnsi="Times New Roman" w:cs="Times New Roman"/>
                <w:sz w:val="16"/>
                <w:szCs w:val="16"/>
                <w:lang w:val="en-US"/>
              </w:rPr>
              <w:t xml:space="preserve">29,30,31,32,33,34 </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C51.0-58.9</w:t>
            </w: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9F2D9B"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35+37</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 xml:space="preserve">C60.0-60.9, C63.0-63.9, </w:t>
            </w:r>
            <w:r w:rsidRPr="00761691">
              <w:rPr>
                <w:rFonts w:ascii="Times New Roman" w:hAnsi="Times New Roman" w:cs="Times New Roman"/>
                <w:sz w:val="16"/>
                <w:szCs w:val="16"/>
                <w:lang w:val="en-US"/>
              </w:rPr>
              <w:t>C62.0-62.9</w:t>
            </w: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F0206F" w:rsidRPr="00915293"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41</w:t>
            </w:r>
          </w:p>
        </w:tc>
        <w:tc>
          <w:tcPr>
            <w:tcW w:w="1623" w:type="dxa"/>
            <w:shd w:val="clear" w:color="auto" w:fill="F2F2F2" w:themeFill="background1" w:themeFillShade="F2"/>
          </w:tcPr>
          <w:p w:rsidR="00F0206F" w:rsidRPr="00761691"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C69.0-69.9</w:t>
            </w: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F0206F" w:rsidRPr="00915293" w:rsidTr="00AD4F6E">
        <w:tc>
          <w:tcPr>
            <w:cnfStyle w:val="001000000000" w:firstRow="0" w:lastRow="0" w:firstColumn="1" w:lastColumn="0" w:oddVBand="0" w:evenVBand="0" w:oddHBand="0" w:evenHBand="0" w:firstRowFirstColumn="0" w:firstRowLastColumn="0" w:lastRowFirstColumn="0" w:lastRowLastColumn="0"/>
            <w:tcW w:w="1623" w:type="dxa"/>
            <w:shd w:val="clear" w:color="auto" w:fill="D9D9D9" w:themeFill="background1" w:themeFillShade="D9"/>
          </w:tcPr>
          <w:p w:rsidR="00F0206F" w:rsidRPr="00761691" w:rsidRDefault="00F0206F" w:rsidP="00AD4F6E">
            <w:pPr>
              <w:spacing w:line="480" w:lineRule="auto"/>
              <w:rPr>
                <w:rFonts w:ascii="Times New Roman" w:hAnsi="Times New Roman" w:cs="Times New Roman"/>
                <w:sz w:val="16"/>
                <w:szCs w:val="16"/>
                <w:lang w:val="en-US"/>
              </w:rPr>
            </w:pPr>
          </w:p>
        </w:tc>
        <w:tc>
          <w:tcPr>
            <w:tcW w:w="1491" w:type="dxa"/>
            <w:shd w:val="clear" w:color="auto" w:fill="D9D9D9" w:themeFill="background1" w:themeFillShade="D9"/>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757" w:type="dxa"/>
            <w:shd w:val="clear" w:color="auto" w:fill="F2F2F2" w:themeFill="background1" w:themeFillShade="F2"/>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43</w:t>
            </w:r>
          </w:p>
        </w:tc>
        <w:tc>
          <w:tcPr>
            <w:tcW w:w="1623" w:type="dxa"/>
            <w:shd w:val="clear" w:color="auto" w:fill="F2F2F2" w:themeFill="background1" w:themeFillShade="F2"/>
          </w:tcPr>
          <w:p w:rsidR="00F0206F" w:rsidRPr="00761691"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61691">
              <w:rPr>
                <w:rFonts w:ascii="Times New Roman" w:hAnsi="Times New Roman" w:cs="Times New Roman"/>
                <w:sz w:val="16"/>
                <w:szCs w:val="16"/>
                <w:lang w:val="en-US"/>
              </w:rPr>
              <w:t>C73.0-73.9</w:t>
            </w: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624" w:type="dxa"/>
          </w:tcPr>
          <w:p w:rsidR="00F0206F" w:rsidRPr="00915293" w:rsidRDefault="00F0206F" w:rsidP="00AD4F6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bl>
    <w:p w:rsidR="00F0206F" w:rsidRDefault="00F0206F" w:rsidP="00F0206F">
      <w:pPr>
        <w:rPr>
          <w:rFonts w:ascii="Times New Roman" w:hAnsi="Times New Roman" w:cs="Times New Roman"/>
          <w:sz w:val="24"/>
          <w:szCs w:val="24"/>
        </w:rPr>
      </w:pPr>
    </w:p>
    <w:p w:rsidR="00F0206F" w:rsidRDefault="00F0206F" w:rsidP="00F0206F">
      <w:pPr>
        <w:rPr>
          <w:rFonts w:ascii="Times New Roman" w:hAnsi="Times New Roman" w:cs="Times New Roman"/>
          <w:sz w:val="24"/>
          <w:szCs w:val="24"/>
          <w:lang w:val="en-US"/>
        </w:rPr>
      </w:pPr>
    </w:p>
    <w:p w:rsidR="00F0206F" w:rsidRDefault="00F0206F" w:rsidP="00F0206F">
      <w:pPr>
        <w:rPr>
          <w:rFonts w:ascii="Times New Roman" w:hAnsi="Times New Roman" w:cs="Times New Roman"/>
          <w:sz w:val="24"/>
          <w:szCs w:val="24"/>
          <w:lang w:val="en-US"/>
        </w:rPr>
      </w:pPr>
    </w:p>
    <w:p w:rsidR="00F0206F" w:rsidRDefault="00F0206F" w:rsidP="00F0206F">
      <w:pPr>
        <w:rPr>
          <w:rFonts w:ascii="Times New Roman" w:hAnsi="Times New Roman" w:cs="Times New Roman"/>
          <w:sz w:val="24"/>
          <w:szCs w:val="24"/>
          <w:lang w:val="en-US"/>
        </w:rPr>
      </w:pPr>
    </w:p>
    <w:p w:rsidR="00A023CD" w:rsidRDefault="00A023CD" w:rsidP="00A023CD">
      <w:pPr>
        <w:rPr>
          <w:rFonts w:ascii="Times New Roman" w:hAnsi="Times New Roman" w:cs="Times New Roman"/>
          <w:sz w:val="24"/>
          <w:szCs w:val="24"/>
          <w:lang w:val="en-US"/>
        </w:rPr>
      </w:pPr>
    </w:p>
    <w:p w:rsidR="00A023CD" w:rsidRPr="00A023CD" w:rsidRDefault="00A023CD" w:rsidP="00A023CD">
      <w:pPr>
        <w:rPr>
          <w:rFonts w:ascii="Times New Roman" w:hAnsi="Times New Roman" w:cs="Times New Roman"/>
          <w:sz w:val="24"/>
          <w:szCs w:val="24"/>
          <w:lang w:val="en-GB"/>
        </w:rPr>
      </w:pPr>
      <w:r w:rsidRPr="001A5779">
        <w:rPr>
          <w:rFonts w:ascii="Times New Roman" w:hAnsi="Times New Roman" w:cs="Times New Roman"/>
          <w:sz w:val="24"/>
          <w:szCs w:val="24"/>
          <w:lang w:val="en-GB"/>
        </w:rPr>
        <w:t>Supplementary table 2. Incidence rates of VTE by time since second cancer diagnosis according</w:t>
      </w:r>
      <w:r>
        <w:rPr>
          <w:rFonts w:ascii="Times New Roman" w:hAnsi="Times New Roman" w:cs="Times New Roman"/>
          <w:sz w:val="24"/>
          <w:szCs w:val="24"/>
          <w:lang w:val="en-GB"/>
        </w:rPr>
        <w:t xml:space="preserve"> to</w:t>
      </w:r>
      <w:r w:rsidRPr="001A5779">
        <w:rPr>
          <w:rFonts w:ascii="Times New Roman" w:hAnsi="Times New Roman" w:cs="Times New Roman"/>
          <w:sz w:val="24"/>
          <w:szCs w:val="24"/>
          <w:lang w:val="en-GB"/>
        </w:rPr>
        <w:t xml:space="preserve"> second cancer VTE-risk group.</w:t>
      </w:r>
    </w:p>
    <w:tbl>
      <w:tblPr>
        <w:tblStyle w:val="Almindeligtabel2"/>
        <w:tblW w:w="0" w:type="auto"/>
        <w:tblLook w:val="04A0" w:firstRow="1" w:lastRow="0" w:firstColumn="1" w:lastColumn="0" w:noHBand="0" w:noVBand="1"/>
      </w:tblPr>
      <w:tblGrid>
        <w:gridCol w:w="1816"/>
        <w:gridCol w:w="1008"/>
        <w:gridCol w:w="622"/>
        <w:gridCol w:w="1072"/>
        <w:gridCol w:w="956"/>
        <w:gridCol w:w="589"/>
        <w:gridCol w:w="1015"/>
        <w:gridCol w:w="956"/>
        <w:gridCol w:w="589"/>
        <w:gridCol w:w="1015"/>
      </w:tblGrid>
      <w:tr w:rsidR="00A023CD" w:rsidRPr="00B10084" w:rsidTr="00782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rsidR="00A023CD" w:rsidRPr="005B5CC2" w:rsidRDefault="00A023CD" w:rsidP="00782EFD">
            <w:pPr>
              <w:rPr>
                <w:rFonts w:ascii="Times New Roman" w:hAnsi="Times New Roman" w:cs="Times New Roman"/>
                <w:sz w:val="20"/>
                <w:szCs w:val="20"/>
                <w:lang w:val="en-US"/>
              </w:rPr>
            </w:pPr>
            <w:r w:rsidRPr="005B5CC2">
              <w:rPr>
                <w:rFonts w:ascii="Times New Roman" w:hAnsi="Times New Roman" w:cs="Times New Roman"/>
                <w:sz w:val="20"/>
                <w:szCs w:val="20"/>
                <w:lang w:val="en-US"/>
              </w:rPr>
              <w:t>Time since second</w:t>
            </w:r>
          </w:p>
          <w:p w:rsidR="00A023CD" w:rsidRPr="005B5CC2" w:rsidRDefault="00A023CD" w:rsidP="00782EFD">
            <w:pPr>
              <w:rPr>
                <w:rFonts w:ascii="Times New Roman" w:hAnsi="Times New Roman" w:cs="Times New Roman"/>
                <w:sz w:val="20"/>
                <w:szCs w:val="20"/>
                <w:lang w:val="en-US"/>
              </w:rPr>
            </w:pPr>
            <w:r w:rsidRPr="005B5CC2">
              <w:rPr>
                <w:rFonts w:ascii="Times New Roman" w:hAnsi="Times New Roman" w:cs="Times New Roman"/>
                <w:sz w:val="20"/>
                <w:szCs w:val="20"/>
                <w:lang w:val="en-US"/>
              </w:rPr>
              <w:t>cancer diagnosis</w:t>
            </w:r>
          </w:p>
        </w:tc>
        <w:tc>
          <w:tcPr>
            <w:tcW w:w="0" w:type="auto"/>
            <w:gridSpan w:val="3"/>
          </w:tcPr>
          <w:p w:rsidR="00A023CD" w:rsidRPr="0006709D" w:rsidRDefault="00A023CD" w:rsidP="00782E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Intermediate</w:t>
            </w:r>
            <w:proofErr w:type="spellEnd"/>
            <w:r>
              <w:rPr>
                <w:rFonts w:ascii="Times New Roman" w:hAnsi="Times New Roman" w:cs="Times New Roman"/>
                <w:sz w:val="20"/>
                <w:szCs w:val="20"/>
              </w:rPr>
              <w:t>/low VTE-</w:t>
            </w:r>
            <w:proofErr w:type="spellStart"/>
            <w:r>
              <w:rPr>
                <w:rFonts w:ascii="Times New Roman" w:hAnsi="Times New Roman" w:cs="Times New Roman"/>
                <w:sz w:val="20"/>
                <w:szCs w:val="20"/>
              </w:rPr>
              <w:t>risk</w:t>
            </w:r>
            <w:r w:rsidRPr="00357E39">
              <w:rPr>
                <w:rFonts w:ascii="Times New Roman" w:hAnsi="Times New Roman" w:cs="Times New Roman"/>
                <w:sz w:val="20"/>
                <w:szCs w:val="20"/>
                <w:vertAlign w:val="superscript"/>
              </w:rPr>
              <w:t>a</w:t>
            </w:r>
            <w:proofErr w:type="spellEnd"/>
          </w:p>
        </w:tc>
        <w:tc>
          <w:tcPr>
            <w:tcW w:w="0" w:type="auto"/>
            <w:gridSpan w:val="3"/>
          </w:tcPr>
          <w:p w:rsidR="00A023CD" w:rsidRPr="0006709D" w:rsidRDefault="00A023CD" w:rsidP="00782E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High VTE-</w:t>
            </w:r>
            <w:proofErr w:type="spellStart"/>
            <w:r>
              <w:rPr>
                <w:rFonts w:ascii="Times New Roman" w:hAnsi="Times New Roman" w:cs="Times New Roman"/>
                <w:sz w:val="20"/>
                <w:szCs w:val="20"/>
              </w:rPr>
              <w:t>risk</w:t>
            </w:r>
            <w:r w:rsidRPr="00357E39">
              <w:rPr>
                <w:rFonts w:ascii="Times New Roman" w:hAnsi="Times New Roman" w:cs="Times New Roman"/>
                <w:sz w:val="20"/>
                <w:szCs w:val="20"/>
                <w:vertAlign w:val="superscript"/>
              </w:rPr>
              <w:t>b</w:t>
            </w:r>
            <w:proofErr w:type="spellEnd"/>
          </w:p>
        </w:tc>
        <w:tc>
          <w:tcPr>
            <w:tcW w:w="0" w:type="auto"/>
            <w:gridSpan w:val="3"/>
          </w:tcPr>
          <w:p w:rsidR="00A023CD" w:rsidRPr="0006709D" w:rsidRDefault="00A023CD" w:rsidP="00782E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Pr>
                <w:rFonts w:ascii="Times New Roman" w:hAnsi="Times New Roman" w:cs="Times New Roman"/>
                <w:sz w:val="20"/>
                <w:szCs w:val="20"/>
              </w:rPr>
              <w:t>Very</w:t>
            </w:r>
            <w:proofErr w:type="spellEnd"/>
            <w:r>
              <w:rPr>
                <w:rFonts w:ascii="Times New Roman" w:hAnsi="Times New Roman" w:cs="Times New Roman"/>
                <w:sz w:val="20"/>
                <w:szCs w:val="20"/>
              </w:rPr>
              <w:t xml:space="preserve"> high VTE-</w:t>
            </w:r>
            <w:proofErr w:type="spellStart"/>
            <w:r>
              <w:rPr>
                <w:rFonts w:ascii="Times New Roman" w:hAnsi="Times New Roman" w:cs="Times New Roman"/>
                <w:sz w:val="20"/>
                <w:szCs w:val="20"/>
              </w:rPr>
              <w:t>risk</w:t>
            </w:r>
            <w:r w:rsidRPr="00357E39">
              <w:rPr>
                <w:rFonts w:ascii="Times New Roman" w:hAnsi="Times New Roman" w:cs="Times New Roman"/>
                <w:sz w:val="20"/>
                <w:szCs w:val="20"/>
                <w:vertAlign w:val="superscript"/>
              </w:rPr>
              <w:t>c</w:t>
            </w:r>
            <w:proofErr w:type="spellEnd"/>
          </w:p>
        </w:tc>
      </w:tr>
      <w:tr w:rsidR="00A023CD" w:rsidRPr="00B10084" w:rsidTr="00782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A023CD" w:rsidRPr="005B5CC2" w:rsidRDefault="00A023CD" w:rsidP="00782EFD">
            <w:pPr>
              <w:rPr>
                <w:rFonts w:ascii="Times New Roman" w:hAnsi="Times New Roman" w:cs="Times New Roman"/>
                <w:sz w:val="20"/>
                <w:szCs w:val="20"/>
              </w:rPr>
            </w:pP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B5CC2">
              <w:rPr>
                <w:rFonts w:ascii="Times New Roman" w:hAnsi="Times New Roman" w:cs="Times New Roman"/>
                <w:b/>
                <w:sz w:val="20"/>
                <w:szCs w:val="20"/>
              </w:rPr>
              <w:t>n</w:t>
            </w:r>
            <w:proofErr w:type="gramEnd"/>
            <w:r w:rsidRPr="005B5CC2">
              <w:rPr>
                <w:rFonts w:ascii="Times New Roman" w:hAnsi="Times New Roman" w:cs="Times New Roman"/>
                <w:b/>
                <w:sz w:val="20"/>
                <w:szCs w:val="20"/>
              </w:rPr>
              <w:t xml:space="preserve"> (VTE)</w:t>
            </w: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IR</w:t>
            </w: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95% CI</w:t>
            </w: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B5CC2">
              <w:rPr>
                <w:rFonts w:ascii="Times New Roman" w:hAnsi="Times New Roman" w:cs="Times New Roman"/>
                <w:b/>
                <w:sz w:val="20"/>
                <w:szCs w:val="20"/>
              </w:rPr>
              <w:t>n</w:t>
            </w:r>
            <w:proofErr w:type="gramEnd"/>
            <w:r w:rsidRPr="005B5CC2">
              <w:rPr>
                <w:rFonts w:ascii="Times New Roman" w:hAnsi="Times New Roman" w:cs="Times New Roman"/>
                <w:b/>
                <w:sz w:val="20"/>
                <w:szCs w:val="20"/>
              </w:rPr>
              <w:t xml:space="preserve"> (VTE)</w:t>
            </w: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IR</w:t>
            </w: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95% CI</w:t>
            </w: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B5CC2">
              <w:rPr>
                <w:rFonts w:ascii="Times New Roman" w:hAnsi="Times New Roman" w:cs="Times New Roman"/>
                <w:b/>
                <w:sz w:val="20"/>
                <w:szCs w:val="20"/>
              </w:rPr>
              <w:t>n</w:t>
            </w:r>
            <w:proofErr w:type="gramEnd"/>
            <w:r w:rsidRPr="005B5CC2">
              <w:rPr>
                <w:rFonts w:ascii="Times New Roman" w:hAnsi="Times New Roman" w:cs="Times New Roman"/>
                <w:b/>
                <w:sz w:val="20"/>
                <w:szCs w:val="20"/>
              </w:rPr>
              <w:t xml:space="preserve"> (VTE)</w:t>
            </w: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IR</w:t>
            </w:r>
          </w:p>
        </w:tc>
        <w:tc>
          <w:tcPr>
            <w:tcW w:w="0" w:type="auto"/>
          </w:tcPr>
          <w:p w:rsidR="00A023CD" w:rsidRPr="005B5CC2"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95% CI</w:t>
            </w:r>
          </w:p>
        </w:tc>
      </w:tr>
      <w:tr w:rsidR="00A023CD" w:rsidRPr="00B10084" w:rsidTr="00782EF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00A023CD" w:rsidRPr="00B10084" w:rsidRDefault="00A023CD" w:rsidP="00782EFD">
            <w:pPr>
              <w:rPr>
                <w:rFonts w:ascii="Times New Roman" w:hAnsi="Times New Roman" w:cs="Times New Roman"/>
                <w:b w:val="0"/>
                <w:sz w:val="20"/>
                <w:szCs w:val="20"/>
                <w:lang w:val="en-US"/>
              </w:rPr>
            </w:pPr>
            <w:r w:rsidRPr="00B10084">
              <w:rPr>
                <w:rFonts w:ascii="Times New Roman" w:hAnsi="Times New Roman" w:cs="Times New Roman"/>
                <w:b w:val="0"/>
                <w:sz w:val="20"/>
                <w:szCs w:val="20"/>
                <w:lang w:val="en-US"/>
              </w:rPr>
              <w:t>0-6 months</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24</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17.7</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11.9-26.5</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266</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43.2</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38.3-48.7</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32</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69.2</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48.9-97.8</w:t>
            </w:r>
          </w:p>
        </w:tc>
      </w:tr>
      <w:tr w:rsidR="00A023CD" w:rsidRPr="00B10084" w:rsidTr="00782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23CD" w:rsidRPr="00B10084" w:rsidRDefault="00A023CD" w:rsidP="00782EFD">
            <w:pPr>
              <w:rPr>
                <w:rFonts w:ascii="Times New Roman" w:hAnsi="Times New Roman" w:cs="Times New Roman"/>
                <w:b w:val="0"/>
                <w:sz w:val="20"/>
                <w:szCs w:val="20"/>
                <w:lang w:val="en-US"/>
              </w:rPr>
            </w:pPr>
            <w:r w:rsidRPr="00B10084">
              <w:rPr>
                <w:rFonts w:ascii="Times New Roman" w:hAnsi="Times New Roman" w:cs="Times New Roman"/>
                <w:b w:val="0"/>
                <w:sz w:val="20"/>
                <w:szCs w:val="20"/>
                <w:lang w:val="en-US"/>
              </w:rPr>
              <w:t>6-12 months</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15.8</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10.0-25.1</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84</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18.1</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14.6-22.4</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40.4</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21.7-75.1</w:t>
            </w:r>
          </w:p>
        </w:tc>
      </w:tr>
      <w:tr w:rsidR="00A023CD" w:rsidRPr="00B10084" w:rsidTr="00782EFD">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rsidR="00A023CD" w:rsidRPr="00B10084" w:rsidRDefault="00A023CD" w:rsidP="00782EFD">
            <w:pPr>
              <w:rPr>
                <w:rFonts w:ascii="Times New Roman" w:hAnsi="Times New Roman" w:cs="Times New Roman"/>
                <w:b w:val="0"/>
                <w:sz w:val="20"/>
                <w:szCs w:val="20"/>
                <w:lang w:val="en-GB"/>
              </w:rPr>
            </w:pPr>
            <w:r w:rsidRPr="00B10084">
              <w:rPr>
                <w:rFonts w:ascii="Times New Roman" w:hAnsi="Times New Roman" w:cs="Times New Roman"/>
                <w:b w:val="0"/>
                <w:sz w:val="20"/>
                <w:szCs w:val="20"/>
                <w:lang w:val="en-US"/>
              </w:rPr>
              <w:t>1-2 years</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16</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8.8</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5.4-14.4</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103</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15.1</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12.5-18.4</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39.2</w:t>
            </w:r>
          </w:p>
        </w:tc>
        <w:tc>
          <w:tcPr>
            <w:tcW w:w="0" w:type="auto"/>
            <w:shd w:val="clear" w:color="auto" w:fill="F2F2F2" w:themeFill="background1" w:themeFillShade="F2"/>
          </w:tcPr>
          <w:p w:rsidR="00A023CD" w:rsidRPr="00B10084" w:rsidRDefault="00A023CD" w:rsidP="00782EF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21.1-72.9</w:t>
            </w:r>
          </w:p>
        </w:tc>
      </w:tr>
      <w:tr w:rsidR="00A023CD" w:rsidRPr="00B10084" w:rsidTr="00782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23CD" w:rsidRPr="00B10084" w:rsidRDefault="00A023CD" w:rsidP="00782EFD">
            <w:pPr>
              <w:rPr>
                <w:rFonts w:ascii="Times New Roman" w:hAnsi="Times New Roman" w:cs="Times New Roman"/>
                <w:b w:val="0"/>
                <w:sz w:val="20"/>
                <w:szCs w:val="20"/>
                <w:lang w:val="en-US"/>
              </w:rPr>
            </w:pPr>
            <w:r w:rsidRPr="00B10084">
              <w:rPr>
                <w:rFonts w:ascii="Times New Roman" w:hAnsi="Times New Roman" w:cs="Times New Roman"/>
                <w:b w:val="0"/>
                <w:sz w:val="20"/>
                <w:szCs w:val="20"/>
                <w:lang w:val="en-US"/>
              </w:rPr>
              <w:t>&gt;2 years</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49</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9.3</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7.0-12.3</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163</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8.9</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7.6-10.4</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23.5</w:t>
            </w:r>
          </w:p>
        </w:tc>
        <w:tc>
          <w:tcPr>
            <w:tcW w:w="0" w:type="auto"/>
          </w:tcPr>
          <w:p w:rsidR="00A023CD" w:rsidRPr="00B10084" w:rsidRDefault="00A023CD" w:rsidP="00782EF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12.7-43.8</w:t>
            </w:r>
          </w:p>
        </w:tc>
      </w:tr>
      <w:tr w:rsidR="00A023CD" w:rsidRPr="00B10084" w:rsidTr="00782EFD">
        <w:tc>
          <w:tcPr>
            <w:cnfStyle w:val="001000000000" w:firstRow="0" w:lastRow="0" w:firstColumn="1" w:lastColumn="0" w:oddVBand="0" w:evenVBand="0" w:oddHBand="0" w:evenHBand="0" w:firstRowFirstColumn="0" w:firstRowLastColumn="0" w:lastRowFirstColumn="0" w:lastRowLastColumn="0"/>
            <w:tcW w:w="0" w:type="auto"/>
            <w:gridSpan w:val="10"/>
          </w:tcPr>
          <w:p w:rsidR="00A023CD" w:rsidRPr="005B5CC2" w:rsidRDefault="00A023CD" w:rsidP="00782EFD">
            <w:pPr>
              <w:rPr>
                <w:rFonts w:ascii="Times New Roman" w:hAnsi="Times New Roman" w:cs="Times New Roman"/>
                <w:b w:val="0"/>
                <w:sz w:val="20"/>
                <w:szCs w:val="20"/>
                <w:lang w:val="en-GB"/>
              </w:rPr>
            </w:pPr>
            <w:r w:rsidRPr="00357E39">
              <w:rPr>
                <w:rFonts w:ascii="Times New Roman" w:hAnsi="Times New Roman" w:cs="Times New Roman"/>
                <w:b w:val="0"/>
                <w:sz w:val="20"/>
                <w:szCs w:val="20"/>
                <w:vertAlign w:val="superscript"/>
                <w:lang w:val="en-GB"/>
              </w:rPr>
              <w:t>a</w:t>
            </w:r>
            <w:r w:rsidRPr="005B5CC2">
              <w:rPr>
                <w:rFonts w:ascii="Times New Roman" w:hAnsi="Times New Roman" w:cs="Times New Roman"/>
                <w:b w:val="0"/>
                <w:sz w:val="20"/>
                <w:szCs w:val="20"/>
                <w:lang w:val="en-GB"/>
              </w:rPr>
              <w:t xml:space="preserve"> Breast, prostate, indolent lymphoma, chronic leukaemia</w:t>
            </w:r>
          </w:p>
          <w:p w:rsidR="00A023CD" w:rsidRPr="005B5CC2" w:rsidRDefault="00A023CD" w:rsidP="00782EFD">
            <w:pPr>
              <w:rPr>
                <w:rFonts w:ascii="Times New Roman" w:hAnsi="Times New Roman" w:cs="Times New Roman"/>
                <w:b w:val="0"/>
                <w:sz w:val="20"/>
                <w:szCs w:val="20"/>
                <w:lang w:val="en-GB"/>
              </w:rPr>
            </w:pPr>
            <w:r w:rsidRPr="00357E39">
              <w:rPr>
                <w:rFonts w:ascii="Times New Roman" w:hAnsi="Times New Roman" w:cs="Times New Roman"/>
                <w:b w:val="0"/>
                <w:sz w:val="20"/>
                <w:szCs w:val="20"/>
                <w:vertAlign w:val="superscript"/>
                <w:lang w:val="en-GB"/>
              </w:rPr>
              <w:t>b</w:t>
            </w:r>
            <w:r w:rsidRPr="005B5CC2">
              <w:rPr>
                <w:rFonts w:ascii="Times New Roman" w:hAnsi="Times New Roman" w:cs="Times New Roman"/>
                <w:b w:val="0"/>
                <w:sz w:val="20"/>
                <w:szCs w:val="20"/>
                <w:lang w:val="en-GB"/>
              </w:rPr>
              <w:t xml:space="preserve"> Lung, colorectal, oesophagus, kidney, aggressive lymphoma, myeloma, bladder, testicular, gynaecologic, other types</w:t>
            </w:r>
          </w:p>
          <w:p w:rsidR="00A023CD" w:rsidRPr="00B10084" w:rsidRDefault="00A023CD" w:rsidP="00782EFD">
            <w:pPr>
              <w:rPr>
                <w:rFonts w:ascii="Times New Roman" w:hAnsi="Times New Roman" w:cs="Times New Roman"/>
                <w:sz w:val="20"/>
                <w:szCs w:val="20"/>
                <w:lang w:val="en-US"/>
              </w:rPr>
            </w:pPr>
            <w:r w:rsidRPr="00357E39">
              <w:rPr>
                <w:rFonts w:ascii="Times New Roman" w:hAnsi="Times New Roman" w:cs="Times New Roman"/>
                <w:b w:val="0"/>
                <w:sz w:val="20"/>
                <w:szCs w:val="20"/>
                <w:vertAlign w:val="superscript"/>
                <w:lang w:val="en-GB"/>
              </w:rPr>
              <w:t>c</w:t>
            </w:r>
            <w:r w:rsidRPr="005B5CC2">
              <w:rPr>
                <w:rFonts w:ascii="Times New Roman" w:hAnsi="Times New Roman" w:cs="Times New Roman"/>
                <w:b w:val="0"/>
                <w:sz w:val="20"/>
                <w:szCs w:val="20"/>
                <w:lang w:val="en-US"/>
              </w:rPr>
              <w:t xml:space="preserve"> Stomach, pancreas, brain</w:t>
            </w:r>
          </w:p>
        </w:tc>
      </w:tr>
    </w:tbl>
    <w:p w:rsidR="00F0206F" w:rsidRDefault="00F0206F" w:rsidP="00F0206F">
      <w:pPr>
        <w:rPr>
          <w:rFonts w:ascii="Times New Roman" w:hAnsi="Times New Roman" w:cs="Times New Roman"/>
          <w:sz w:val="24"/>
          <w:szCs w:val="24"/>
          <w:lang w:val="en-US"/>
        </w:rPr>
        <w:sectPr w:rsidR="00F0206F" w:rsidSect="00AD4F6E">
          <w:pgSz w:w="11906" w:h="16838"/>
          <w:pgMar w:top="1701" w:right="1134" w:bottom="1701" w:left="1134" w:header="708" w:footer="708" w:gutter="0"/>
          <w:cols w:space="708"/>
          <w:docGrid w:linePitch="360"/>
        </w:sectPr>
      </w:pPr>
    </w:p>
    <w:p w:rsidR="00F0206F" w:rsidRPr="001A5779" w:rsidRDefault="00F0206F" w:rsidP="00F0206F">
      <w:pPr>
        <w:rPr>
          <w:rFonts w:ascii="Times New Roman" w:hAnsi="Times New Roman" w:cs="Times New Roman"/>
          <w:sz w:val="24"/>
          <w:szCs w:val="24"/>
          <w:lang w:val="en-US"/>
        </w:rPr>
      </w:pPr>
      <w:r w:rsidRPr="001A5779">
        <w:rPr>
          <w:rFonts w:ascii="Times New Roman" w:hAnsi="Times New Roman" w:cs="Times New Roman"/>
          <w:sz w:val="24"/>
          <w:szCs w:val="24"/>
          <w:lang w:val="en-US"/>
        </w:rPr>
        <w:lastRenderedPageBreak/>
        <w:t xml:space="preserve">Supplementary table 3. Sensitivity analysis. Incidence rates (per 1000 p-y) of VTE by increasing time since first/second cancer diagnosis according to when patients </w:t>
      </w:r>
      <w:proofErr w:type="gramStart"/>
      <w:r w:rsidRPr="001A5779">
        <w:rPr>
          <w:rFonts w:ascii="Times New Roman" w:hAnsi="Times New Roman" w:cs="Times New Roman"/>
          <w:sz w:val="24"/>
          <w:szCs w:val="24"/>
          <w:lang w:val="en-US"/>
        </w:rPr>
        <w:t>were diagnosed</w:t>
      </w:r>
      <w:proofErr w:type="gramEnd"/>
      <w:r w:rsidRPr="001A5779">
        <w:rPr>
          <w:rFonts w:ascii="Times New Roman" w:hAnsi="Times New Roman" w:cs="Times New Roman"/>
          <w:sz w:val="24"/>
          <w:szCs w:val="24"/>
          <w:lang w:val="en-US"/>
        </w:rPr>
        <w:t xml:space="preserve"> with second cancer. </w:t>
      </w:r>
    </w:p>
    <w:tbl>
      <w:tblPr>
        <w:tblStyle w:val="Almindeligtabel2"/>
        <w:tblW w:w="15168" w:type="dxa"/>
        <w:tblLayout w:type="fixed"/>
        <w:tblLook w:val="04A0" w:firstRow="1" w:lastRow="0" w:firstColumn="1" w:lastColumn="0" w:noHBand="0" w:noVBand="1"/>
      </w:tblPr>
      <w:tblGrid>
        <w:gridCol w:w="1844"/>
        <w:gridCol w:w="992"/>
        <w:gridCol w:w="567"/>
        <w:gridCol w:w="992"/>
        <w:gridCol w:w="993"/>
        <w:gridCol w:w="567"/>
        <w:gridCol w:w="1134"/>
        <w:gridCol w:w="992"/>
        <w:gridCol w:w="709"/>
        <w:gridCol w:w="1134"/>
        <w:gridCol w:w="991"/>
        <w:gridCol w:w="635"/>
        <w:gridCol w:w="1067"/>
        <w:gridCol w:w="992"/>
        <w:gridCol w:w="567"/>
        <w:gridCol w:w="992"/>
      </w:tblGrid>
      <w:tr w:rsidR="00F0206F" w:rsidRPr="00A023CD" w:rsidTr="00AD4F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Merge w:val="restart"/>
          </w:tcPr>
          <w:p w:rsidR="00F0206F" w:rsidRPr="0006709D" w:rsidRDefault="00F0206F" w:rsidP="00AD4F6E">
            <w:pPr>
              <w:rPr>
                <w:rFonts w:ascii="Times New Roman" w:hAnsi="Times New Roman" w:cs="Times New Roman"/>
                <w:sz w:val="20"/>
                <w:szCs w:val="20"/>
                <w:lang w:val="en-US"/>
              </w:rPr>
            </w:pPr>
            <w:r w:rsidRPr="0006709D">
              <w:rPr>
                <w:rFonts w:ascii="Times New Roman" w:hAnsi="Times New Roman" w:cs="Times New Roman"/>
                <w:sz w:val="20"/>
                <w:szCs w:val="20"/>
                <w:lang w:val="en-US"/>
              </w:rPr>
              <w:t>First cancer type</w:t>
            </w:r>
          </w:p>
          <w:p w:rsidR="00F0206F" w:rsidRPr="0006709D" w:rsidRDefault="00F0206F" w:rsidP="00AD4F6E">
            <w:pPr>
              <w:rPr>
                <w:rFonts w:ascii="Times New Roman" w:hAnsi="Times New Roman" w:cs="Times New Roman"/>
                <w:sz w:val="20"/>
                <w:szCs w:val="20"/>
                <w:lang w:val="en-GB"/>
              </w:rPr>
            </w:pPr>
            <w:r w:rsidRPr="0006709D">
              <w:rPr>
                <w:rFonts w:ascii="Times New Roman" w:hAnsi="Times New Roman" w:cs="Times New Roman"/>
                <w:sz w:val="20"/>
                <w:szCs w:val="20"/>
                <w:lang w:val="en-US"/>
              </w:rPr>
              <w:t>Time since first cancer diagnosis</w:t>
            </w:r>
          </w:p>
        </w:tc>
        <w:tc>
          <w:tcPr>
            <w:tcW w:w="2551" w:type="dxa"/>
            <w:gridSpan w:val="3"/>
            <w:vMerge w:val="restart"/>
          </w:tcPr>
          <w:p w:rsidR="00F0206F" w:rsidRPr="0006709D" w:rsidRDefault="00F0206F" w:rsidP="00AD4F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06709D">
              <w:rPr>
                <w:rFonts w:ascii="Times New Roman" w:hAnsi="Times New Roman" w:cs="Times New Roman"/>
                <w:sz w:val="20"/>
                <w:szCs w:val="20"/>
                <w:lang w:val="en-US"/>
              </w:rPr>
              <w:t>Without second cancer</w:t>
            </w:r>
          </w:p>
        </w:tc>
        <w:tc>
          <w:tcPr>
            <w:tcW w:w="10773" w:type="dxa"/>
            <w:gridSpan w:val="12"/>
            <w:tcBorders>
              <w:top w:val="single" w:sz="4" w:space="0" w:color="auto"/>
            </w:tcBorders>
          </w:tcPr>
          <w:p w:rsidR="00F0206F" w:rsidRPr="0006709D" w:rsidRDefault="00F0206F" w:rsidP="00AD4F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06709D">
              <w:rPr>
                <w:rFonts w:ascii="Times New Roman" w:hAnsi="Times New Roman" w:cs="Times New Roman"/>
                <w:sz w:val="20"/>
                <w:szCs w:val="20"/>
                <w:lang w:val="en-GB"/>
              </w:rPr>
              <w:t xml:space="preserve">Second cancer, all VTE risk groups combined </w:t>
            </w:r>
          </w:p>
        </w:tc>
      </w:tr>
      <w:tr w:rsidR="00F0206F" w:rsidRPr="00801C39"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vMerge/>
          </w:tcPr>
          <w:p w:rsidR="00F0206F" w:rsidRPr="0006709D" w:rsidRDefault="00F0206F" w:rsidP="00AD4F6E">
            <w:pPr>
              <w:rPr>
                <w:rFonts w:ascii="Times New Roman" w:hAnsi="Times New Roman" w:cs="Times New Roman"/>
                <w:sz w:val="20"/>
                <w:szCs w:val="20"/>
                <w:lang w:val="en-GB"/>
              </w:rPr>
            </w:pPr>
          </w:p>
        </w:tc>
        <w:tc>
          <w:tcPr>
            <w:tcW w:w="2551" w:type="dxa"/>
            <w:gridSpan w:val="3"/>
            <w:vMerge/>
          </w:tcPr>
          <w:p w:rsidR="00F0206F" w:rsidRPr="0006709D" w:rsidRDefault="00F0206F" w:rsidP="00AD4F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p>
        </w:tc>
        <w:tc>
          <w:tcPr>
            <w:tcW w:w="10773" w:type="dxa"/>
            <w:gridSpan w:val="12"/>
            <w:tcBorders>
              <w:bottom w:val="nil"/>
            </w:tcBorders>
          </w:tcPr>
          <w:p w:rsidR="00F0206F" w:rsidRPr="0006709D" w:rsidRDefault="00F0206F" w:rsidP="00AD4F6E">
            <w:pPr>
              <w:tabs>
                <w:tab w:val="left" w:pos="4050"/>
                <w:tab w:val="center" w:pos="527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06709D">
              <w:rPr>
                <w:rFonts w:ascii="Times New Roman" w:hAnsi="Times New Roman" w:cs="Times New Roman"/>
                <w:b/>
                <w:sz w:val="20"/>
                <w:szCs w:val="20"/>
                <w:lang w:val="en-GB"/>
              </w:rPr>
              <w:tab/>
            </w:r>
            <w:r w:rsidRPr="0006709D">
              <w:rPr>
                <w:rFonts w:ascii="Times New Roman" w:hAnsi="Times New Roman" w:cs="Times New Roman"/>
                <w:b/>
                <w:sz w:val="20"/>
                <w:szCs w:val="20"/>
                <w:lang w:val="en-GB"/>
              </w:rPr>
              <w:tab/>
              <w:t>Time since second cancer</w:t>
            </w:r>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vMerge/>
          </w:tcPr>
          <w:p w:rsidR="00F0206F" w:rsidRPr="0006709D" w:rsidRDefault="00F0206F" w:rsidP="00AD4F6E">
            <w:pPr>
              <w:rPr>
                <w:rFonts w:ascii="Times New Roman" w:hAnsi="Times New Roman" w:cs="Times New Roman"/>
                <w:sz w:val="20"/>
                <w:szCs w:val="20"/>
                <w:lang w:val="en-US"/>
              </w:rPr>
            </w:pPr>
          </w:p>
        </w:tc>
        <w:tc>
          <w:tcPr>
            <w:tcW w:w="2551" w:type="dxa"/>
            <w:gridSpan w:val="3"/>
            <w:vMerge/>
          </w:tcPr>
          <w:p w:rsidR="00F0206F" w:rsidRPr="0006709D"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2694" w:type="dxa"/>
            <w:gridSpan w:val="3"/>
            <w:tcBorders>
              <w:top w:val="nil"/>
            </w:tcBorders>
          </w:tcPr>
          <w:p w:rsidR="00F0206F" w:rsidRPr="0006709D" w:rsidRDefault="00F0206F" w:rsidP="00AD4F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6709D">
              <w:rPr>
                <w:rFonts w:ascii="Times New Roman" w:hAnsi="Times New Roman" w:cs="Times New Roman"/>
                <w:b/>
                <w:sz w:val="20"/>
                <w:szCs w:val="20"/>
              </w:rPr>
              <w:t xml:space="preserve">0-6 </w:t>
            </w:r>
            <w:proofErr w:type="spellStart"/>
            <w:r w:rsidRPr="0006709D">
              <w:rPr>
                <w:rFonts w:ascii="Times New Roman" w:hAnsi="Times New Roman" w:cs="Times New Roman"/>
                <w:b/>
                <w:sz w:val="20"/>
                <w:szCs w:val="20"/>
              </w:rPr>
              <w:t>months</w:t>
            </w:r>
            <w:proofErr w:type="spellEnd"/>
          </w:p>
        </w:tc>
        <w:tc>
          <w:tcPr>
            <w:tcW w:w="2835" w:type="dxa"/>
            <w:gridSpan w:val="3"/>
            <w:tcBorders>
              <w:top w:val="nil"/>
            </w:tcBorders>
          </w:tcPr>
          <w:p w:rsidR="00F0206F" w:rsidRPr="0006709D" w:rsidRDefault="00F0206F" w:rsidP="00AD4F6E">
            <w:pPr>
              <w:pStyle w:val="Listeafsnit"/>
              <w:numPr>
                <w:ilvl w:val="1"/>
                <w:numId w:val="1"/>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6709D">
              <w:rPr>
                <w:rFonts w:ascii="Times New Roman" w:hAnsi="Times New Roman" w:cs="Times New Roman"/>
                <w:b/>
                <w:sz w:val="20"/>
                <w:szCs w:val="20"/>
              </w:rPr>
              <w:t xml:space="preserve"> </w:t>
            </w:r>
            <w:proofErr w:type="spellStart"/>
            <w:proofErr w:type="gramStart"/>
            <w:r w:rsidRPr="0006709D">
              <w:rPr>
                <w:rFonts w:ascii="Times New Roman" w:hAnsi="Times New Roman" w:cs="Times New Roman"/>
                <w:b/>
                <w:sz w:val="20"/>
                <w:szCs w:val="20"/>
              </w:rPr>
              <w:t>months</w:t>
            </w:r>
            <w:proofErr w:type="spellEnd"/>
            <w:proofErr w:type="gramEnd"/>
          </w:p>
        </w:tc>
        <w:tc>
          <w:tcPr>
            <w:tcW w:w="2693" w:type="dxa"/>
            <w:gridSpan w:val="3"/>
            <w:tcBorders>
              <w:top w:val="nil"/>
            </w:tcBorders>
          </w:tcPr>
          <w:p w:rsidR="00F0206F" w:rsidRPr="0006709D" w:rsidRDefault="00F0206F" w:rsidP="00AD4F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6709D">
              <w:rPr>
                <w:rFonts w:ascii="Times New Roman" w:hAnsi="Times New Roman" w:cs="Times New Roman"/>
                <w:b/>
                <w:sz w:val="20"/>
                <w:szCs w:val="20"/>
              </w:rPr>
              <w:t>1-2 years</w:t>
            </w:r>
          </w:p>
        </w:tc>
        <w:tc>
          <w:tcPr>
            <w:tcW w:w="2551" w:type="dxa"/>
            <w:gridSpan w:val="3"/>
            <w:tcBorders>
              <w:top w:val="nil"/>
            </w:tcBorders>
          </w:tcPr>
          <w:p w:rsidR="00F0206F" w:rsidRPr="0006709D" w:rsidRDefault="00F0206F" w:rsidP="00AD4F6E">
            <w:pPr>
              <w:pStyle w:val="Listeafsni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6709D">
              <w:rPr>
                <w:rFonts w:ascii="Times New Roman" w:hAnsi="Times New Roman" w:cs="Times New Roman"/>
                <w:b/>
                <w:sz w:val="18"/>
                <w:szCs w:val="20"/>
              </w:rPr>
              <w:t xml:space="preserve">&gt; </w:t>
            </w:r>
            <w:r w:rsidRPr="0006709D">
              <w:rPr>
                <w:rFonts w:ascii="Times New Roman" w:hAnsi="Times New Roman" w:cs="Times New Roman"/>
                <w:b/>
                <w:sz w:val="20"/>
                <w:szCs w:val="20"/>
              </w:rPr>
              <w:t>2 years</w:t>
            </w:r>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F0206F" w:rsidRPr="005B5CC2" w:rsidRDefault="00F0206F" w:rsidP="00AD4F6E">
            <w:pPr>
              <w:rPr>
                <w:rFonts w:ascii="Times New Roman" w:hAnsi="Times New Roman" w:cs="Times New Roman"/>
                <w:sz w:val="20"/>
                <w:szCs w:val="20"/>
                <w:lang w:val="en-US"/>
              </w:rPr>
            </w:pPr>
          </w:p>
        </w:tc>
        <w:tc>
          <w:tcPr>
            <w:tcW w:w="992"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B5CC2">
              <w:rPr>
                <w:rFonts w:ascii="Times New Roman" w:hAnsi="Times New Roman" w:cs="Times New Roman"/>
                <w:b/>
                <w:sz w:val="20"/>
                <w:szCs w:val="20"/>
              </w:rPr>
              <w:t>n</w:t>
            </w:r>
            <w:proofErr w:type="gramEnd"/>
            <w:r w:rsidRPr="005B5CC2">
              <w:rPr>
                <w:rFonts w:ascii="Times New Roman" w:hAnsi="Times New Roman" w:cs="Times New Roman"/>
                <w:b/>
                <w:sz w:val="20"/>
                <w:szCs w:val="20"/>
              </w:rPr>
              <w:t xml:space="preserve"> (VTE)</w:t>
            </w:r>
          </w:p>
        </w:tc>
        <w:tc>
          <w:tcPr>
            <w:tcW w:w="567"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IR</w:t>
            </w:r>
          </w:p>
        </w:tc>
        <w:tc>
          <w:tcPr>
            <w:tcW w:w="992"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95% CI</w:t>
            </w:r>
          </w:p>
        </w:tc>
        <w:tc>
          <w:tcPr>
            <w:tcW w:w="993"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B5CC2">
              <w:rPr>
                <w:rFonts w:ascii="Times New Roman" w:hAnsi="Times New Roman" w:cs="Times New Roman"/>
                <w:b/>
                <w:sz w:val="20"/>
                <w:szCs w:val="20"/>
              </w:rPr>
              <w:t>n</w:t>
            </w:r>
            <w:proofErr w:type="gramEnd"/>
            <w:r w:rsidRPr="005B5CC2">
              <w:rPr>
                <w:rFonts w:ascii="Times New Roman" w:hAnsi="Times New Roman" w:cs="Times New Roman"/>
                <w:b/>
                <w:sz w:val="20"/>
                <w:szCs w:val="20"/>
              </w:rPr>
              <w:t xml:space="preserve"> (VTE)</w:t>
            </w:r>
          </w:p>
        </w:tc>
        <w:tc>
          <w:tcPr>
            <w:tcW w:w="567"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IR</w:t>
            </w:r>
          </w:p>
        </w:tc>
        <w:tc>
          <w:tcPr>
            <w:tcW w:w="1134"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95% CI</w:t>
            </w:r>
          </w:p>
        </w:tc>
        <w:tc>
          <w:tcPr>
            <w:tcW w:w="992"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B5CC2">
              <w:rPr>
                <w:rFonts w:ascii="Times New Roman" w:hAnsi="Times New Roman" w:cs="Times New Roman"/>
                <w:b/>
                <w:sz w:val="20"/>
                <w:szCs w:val="20"/>
              </w:rPr>
              <w:t>n</w:t>
            </w:r>
            <w:proofErr w:type="gramEnd"/>
            <w:r w:rsidRPr="005B5CC2">
              <w:rPr>
                <w:rFonts w:ascii="Times New Roman" w:hAnsi="Times New Roman" w:cs="Times New Roman"/>
                <w:b/>
                <w:sz w:val="20"/>
                <w:szCs w:val="20"/>
              </w:rPr>
              <w:t xml:space="preserve"> (VTE)</w:t>
            </w:r>
          </w:p>
        </w:tc>
        <w:tc>
          <w:tcPr>
            <w:tcW w:w="709"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IR</w:t>
            </w:r>
          </w:p>
        </w:tc>
        <w:tc>
          <w:tcPr>
            <w:tcW w:w="1134"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95% CI</w:t>
            </w:r>
          </w:p>
        </w:tc>
        <w:tc>
          <w:tcPr>
            <w:tcW w:w="991"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B5CC2">
              <w:rPr>
                <w:rFonts w:ascii="Times New Roman" w:hAnsi="Times New Roman" w:cs="Times New Roman"/>
                <w:b/>
                <w:sz w:val="20"/>
                <w:szCs w:val="20"/>
              </w:rPr>
              <w:t>n</w:t>
            </w:r>
            <w:proofErr w:type="gramEnd"/>
            <w:r w:rsidRPr="005B5CC2">
              <w:rPr>
                <w:rFonts w:ascii="Times New Roman" w:hAnsi="Times New Roman" w:cs="Times New Roman"/>
                <w:b/>
                <w:sz w:val="20"/>
                <w:szCs w:val="20"/>
              </w:rPr>
              <w:t xml:space="preserve"> (VTE)</w:t>
            </w:r>
          </w:p>
        </w:tc>
        <w:tc>
          <w:tcPr>
            <w:tcW w:w="635"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IR</w:t>
            </w:r>
          </w:p>
        </w:tc>
        <w:tc>
          <w:tcPr>
            <w:tcW w:w="1067"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95% CI</w:t>
            </w:r>
          </w:p>
        </w:tc>
        <w:tc>
          <w:tcPr>
            <w:tcW w:w="992"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roofErr w:type="gramStart"/>
            <w:r w:rsidRPr="005B5CC2">
              <w:rPr>
                <w:rFonts w:ascii="Times New Roman" w:hAnsi="Times New Roman" w:cs="Times New Roman"/>
                <w:b/>
                <w:sz w:val="20"/>
                <w:szCs w:val="20"/>
              </w:rPr>
              <w:t>n</w:t>
            </w:r>
            <w:proofErr w:type="gramEnd"/>
            <w:r w:rsidRPr="005B5CC2">
              <w:rPr>
                <w:rFonts w:ascii="Times New Roman" w:hAnsi="Times New Roman" w:cs="Times New Roman"/>
                <w:b/>
                <w:sz w:val="20"/>
                <w:szCs w:val="20"/>
              </w:rPr>
              <w:t xml:space="preserve"> (VTE)</w:t>
            </w:r>
          </w:p>
        </w:tc>
        <w:tc>
          <w:tcPr>
            <w:tcW w:w="567"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IR</w:t>
            </w:r>
          </w:p>
        </w:tc>
        <w:tc>
          <w:tcPr>
            <w:tcW w:w="992" w:type="dxa"/>
          </w:tcPr>
          <w:p w:rsidR="00F0206F" w:rsidRPr="005B5CC2"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5B5CC2">
              <w:rPr>
                <w:rFonts w:ascii="Times New Roman" w:hAnsi="Times New Roman" w:cs="Times New Roman"/>
                <w:b/>
                <w:sz w:val="20"/>
                <w:szCs w:val="20"/>
              </w:rPr>
              <w:t>95% CI</w:t>
            </w:r>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rPr>
            </w:pPr>
            <w:r w:rsidRPr="0006709D">
              <w:rPr>
                <w:rFonts w:ascii="Times New Roman" w:hAnsi="Times New Roman" w:cs="Times New Roman"/>
                <w:b w:val="0"/>
                <w:sz w:val="20"/>
                <w:szCs w:val="20"/>
              </w:rPr>
              <w:t>First cancer, total</w:t>
            </w:r>
          </w:p>
        </w:tc>
        <w:tc>
          <w:tcPr>
            <w:tcW w:w="992"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34"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1"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35"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67"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67"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2" w:type="dxa"/>
            <w:shd w:val="clear" w:color="auto" w:fill="F2F2F2" w:themeFill="background1" w:themeFillShade="F2"/>
          </w:tcPr>
          <w:p w:rsidR="00F0206F" w:rsidRPr="00B10084" w:rsidRDefault="00F0206F" w:rsidP="00AD4F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0-6 months</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3380</w:t>
            </w:r>
          </w:p>
        </w:tc>
        <w:tc>
          <w:tcPr>
            <w:tcW w:w="5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26.3</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25.4-27.2</w:t>
            </w:r>
          </w:p>
        </w:tc>
        <w:tc>
          <w:tcPr>
            <w:tcW w:w="993"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51</w:t>
            </w:r>
          </w:p>
        </w:tc>
        <w:tc>
          <w:tcPr>
            <w:tcW w:w="5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35.2</w:t>
            </w:r>
          </w:p>
        </w:tc>
        <w:tc>
          <w:tcPr>
            <w:tcW w:w="1134"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26.8-46.4</w:t>
            </w:r>
          </w:p>
        </w:tc>
        <w:tc>
          <w:tcPr>
            <w:tcW w:w="992"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709"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991"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635"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14.0</w:t>
            </w:r>
          </w:p>
        </w:tc>
        <w:tc>
          <w:tcPr>
            <w:tcW w:w="10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9.3-21.1</w:t>
            </w:r>
          </w:p>
        </w:tc>
        <w:tc>
          <w:tcPr>
            <w:tcW w:w="992"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6-12 months</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1106</w:t>
            </w:r>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9.7-10.9</w:t>
            </w:r>
          </w:p>
        </w:tc>
        <w:tc>
          <w:tcPr>
            <w:tcW w:w="993"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31.4</w:t>
            </w:r>
          </w:p>
        </w:tc>
        <w:tc>
          <w:tcPr>
            <w:tcW w:w="1134"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18.9-52.0</w:t>
            </w:r>
          </w:p>
        </w:tc>
        <w:tc>
          <w:tcPr>
            <w:tcW w:w="992"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709"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991"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635"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1067"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1-2 years</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1198</w:t>
            </w:r>
          </w:p>
        </w:tc>
        <w:tc>
          <w:tcPr>
            <w:tcW w:w="5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6.4-7.1</w:t>
            </w:r>
          </w:p>
        </w:tc>
        <w:tc>
          <w:tcPr>
            <w:tcW w:w="993"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w:t>
            </w:r>
          </w:p>
        </w:tc>
        <w:tc>
          <w:tcPr>
            <w:tcW w:w="5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40.2</w:t>
            </w:r>
          </w:p>
        </w:tc>
        <w:tc>
          <w:tcPr>
            <w:tcW w:w="1134"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28.7-56.3</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709"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11.0</w:t>
            </w:r>
          </w:p>
        </w:tc>
        <w:tc>
          <w:tcPr>
            <w:tcW w:w="1134"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5.2-23.1</w:t>
            </w:r>
          </w:p>
        </w:tc>
        <w:tc>
          <w:tcPr>
            <w:tcW w:w="991"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635"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15.9</w:t>
            </w:r>
          </w:p>
        </w:tc>
        <w:tc>
          <w:tcPr>
            <w:tcW w:w="10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9.6-26.4</w:t>
            </w:r>
          </w:p>
        </w:tc>
        <w:tc>
          <w:tcPr>
            <w:tcW w:w="992"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rPr>
            </w:pPr>
            <w:proofErr w:type="spellStart"/>
            <w:r>
              <w:rPr>
                <w:rFonts w:ascii="Times New Roman" w:hAnsi="Times New Roman" w:cs="Times New Roman"/>
                <w:sz w:val="20"/>
                <w:szCs w:val="20"/>
                <w:lang w:val="en-US"/>
              </w:rPr>
              <w:t>na</w:t>
            </w:r>
            <w:proofErr w:type="spellEnd"/>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&gt;2 years</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4079</w:t>
            </w:r>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4.8-5.1</w:t>
            </w:r>
          </w:p>
        </w:tc>
        <w:tc>
          <w:tcPr>
            <w:tcW w:w="993"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w:t>
            </w:r>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40.7</w:t>
            </w:r>
          </w:p>
        </w:tc>
        <w:tc>
          <w:tcPr>
            <w:tcW w:w="1134"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35.5-46.7</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w:t>
            </w:r>
          </w:p>
        </w:tc>
        <w:tc>
          <w:tcPr>
            <w:tcW w:w="709"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18.0</w:t>
            </w:r>
          </w:p>
        </w:tc>
        <w:tc>
          <w:tcPr>
            <w:tcW w:w="1134"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14.2-22.8</w:t>
            </w:r>
          </w:p>
        </w:tc>
        <w:tc>
          <w:tcPr>
            <w:tcW w:w="991"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74</w:t>
            </w:r>
          </w:p>
        </w:tc>
        <w:tc>
          <w:tcPr>
            <w:tcW w:w="635"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13.3</w:t>
            </w:r>
          </w:p>
        </w:tc>
        <w:tc>
          <w:tcPr>
            <w:tcW w:w="10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10.6-16.6</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131</w:t>
            </w:r>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9.4</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7.9-111.1</w:t>
            </w:r>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sidRPr="0006709D">
              <w:rPr>
                <w:rFonts w:ascii="Times New Roman" w:hAnsi="Times New Roman" w:cs="Times New Roman"/>
                <w:b w:val="0"/>
                <w:sz w:val="20"/>
                <w:szCs w:val="20"/>
                <w:lang w:val="en-US"/>
              </w:rPr>
              <w:t>Breast</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567"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2"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3"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567"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34"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2"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709"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34"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1"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635"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067"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2"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567"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2"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0-6 months</w:t>
            </w:r>
          </w:p>
        </w:tc>
        <w:tc>
          <w:tcPr>
            <w:tcW w:w="992"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400</w:t>
            </w:r>
          </w:p>
        </w:tc>
        <w:tc>
          <w:tcPr>
            <w:tcW w:w="567"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9.8</w:t>
            </w:r>
          </w:p>
        </w:tc>
        <w:tc>
          <w:tcPr>
            <w:tcW w:w="992"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8.9-10.8</w:t>
            </w:r>
          </w:p>
        </w:tc>
        <w:tc>
          <w:tcPr>
            <w:tcW w:w="993"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567"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32.0</w:t>
            </w:r>
          </w:p>
        </w:tc>
        <w:tc>
          <w:tcPr>
            <w:tcW w:w="1134"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16.0-64.0</w:t>
            </w:r>
          </w:p>
        </w:tc>
        <w:tc>
          <w:tcPr>
            <w:tcW w:w="992"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14.6</w:t>
            </w:r>
          </w:p>
        </w:tc>
        <w:tc>
          <w:tcPr>
            <w:tcW w:w="1134"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4.7-45.3</w:t>
            </w:r>
          </w:p>
        </w:tc>
        <w:tc>
          <w:tcPr>
            <w:tcW w:w="991"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635"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067"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tcPr>
          <w:p w:rsidR="00F0206F" w:rsidRPr="00B10084" w:rsidRDefault="00F0206F" w:rsidP="00AD4F6E">
            <w:pPr>
              <w:tabs>
                <w:tab w:val="left" w:pos="420"/>
              </w:tabs>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567"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4.2</w:t>
            </w:r>
          </w:p>
        </w:tc>
        <w:tc>
          <w:tcPr>
            <w:tcW w:w="992"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1.7-10.0</w:t>
            </w:r>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6-12 months</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239</w:t>
            </w:r>
          </w:p>
        </w:tc>
        <w:tc>
          <w:tcPr>
            <w:tcW w:w="567"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6.2</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5.5-7.1</w:t>
            </w:r>
          </w:p>
        </w:tc>
        <w:tc>
          <w:tcPr>
            <w:tcW w:w="993"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567"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134"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709"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1134"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991"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635"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1067"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992"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567"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4.9</w:t>
            </w:r>
          </w:p>
        </w:tc>
        <w:tc>
          <w:tcPr>
            <w:tcW w:w="992"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1.6-15.2</w:t>
            </w:r>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1-2 years</w:t>
            </w:r>
          </w:p>
        </w:tc>
        <w:tc>
          <w:tcPr>
            <w:tcW w:w="992"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305</w:t>
            </w:r>
          </w:p>
        </w:tc>
        <w:tc>
          <w:tcPr>
            <w:tcW w:w="567"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4.4</w:t>
            </w:r>
          </w:p>
        </w:tc>
        <w:tc>
          <w:tcPr>
            <w:tcW w:w="992"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3.9-4.9</w:t>
            </w:r>
          </w:p>
        </w:tc>
        <w:tc>
          <w:tcPr>
            <w:tcW w:w="993"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9</w:t>
            </w:r>
          </w:p>
        </w:tc>
        <w:tc>
          <w:tcPr>
            <w:tcW w:w="567"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38.1</w:t>
            </w:r>
          </w:p>
        </w:tc>
        <w:tc>
          <w:tcPr>
            <w:tcW w:w="1134"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19.8-73.2</w:t>
            </w:r>
          </w:p>
        </w:tc>
        <w:tc>
          <w:tcPr>
            <w:tcW w:w="992"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709"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1134"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991"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635"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18.1</w:t>
            </w:r>
          </w:p>
        </w:tc>
        <w:tc>
          <w:tcPr>
            <w:tcW w:w="1067"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7.5-43.5</w:t>
            </w:r>
          </w:p>
        </w:tc>
        <w:tc>
          <w:tcPr>
            <w:tcW w:w="992"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567"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9.3</w:t>
            </w:r>
          </w:p>
        </w:tc>
        <w:tc>
          <w:tcPr>
            <w:tcW w:w="992"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5.0-17.3</w:t>
            </w:r>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&gt;2 years</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1573</w:t>
            </w:r>
          </w:p>
        </w:tc>
        <w:tc>
          <w:tcPr>
            <w:tcW w:w="567"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3.8</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3.8-4.0</w:t>
            </w:r>
          </w:p>
        </w:tc>
        <w:tc>
          <w:tcPr>
            <w:tcW w:w="993"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567"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1134"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2"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709"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1134"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1"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30</w:t>
            </w:r>
          </w:p>
        </w:tc>
        <w:tc>
          <w:tcPr>
            <w:tcW w:w="635"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12.8</w:t>
            </w:r>
          </w:p>
        </w:tc>
        <w:tc>
          <w:tcPr>
            <w:tcW w:w="1067"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8.9-18.3</w:t>
            </w:r>
          </w:p>
        </w:tc>
        <w:tc>
          <w:tcPr>
            <w:tcW w:w="992"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567"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2"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r>
      <w:tr w:rsidR="00F0206F"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sidRPr="0006709D">
              <w:rPr>
                <w:rFonts w:ascii="Times New Roman" w:hAnsi="Times New Roman" w:cs="Times New Roman"/>
                <w:b w:val="0"/>
                <w:sz w:val="20"/>
                <w:szCs w:val="20"/>
                <w:lang w:val="en-US"/>
              </w:rPr>
              <w:t>Prostate</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567"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3"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567"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34"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09"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34"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1"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635"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067"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567"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0-6 months</w:t>
            </w:r>
          </w:p>
        </w:tc>
        <w:tc>
          <w:tcPr>
            <w:tcW w:w="992"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365</w:t>
            </w:r>
          </w:p>
        </w:tc>
        <w:tc>
          <w:tcPr>
            <w:tcW w:w="567"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12.5</w:t>
            </w:r>
          </w:p>
        </w:tc>
        <w:tc>
          <w:tcPr>
            <w:tcW w:w="992"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11.4-13.8</w:t>
            </w:r>
          </w:p>
        </w:tc>
        <w:tc>
          <w:tcPr>
            <w:tcW w:w="993"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25.2</w:t>
            </w:r>
          </w:p>
        </w:tc>
        <w:tc>
          <w:tcPr>
            <w:tcW w:w="1134"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12.0-52.8</w:t>
            </w:r>
          </w:p>
        </w:tc>
        <w:tc>
          <w:tcPr>
            <w:tcW w:w="991"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635"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16.7</w:t>
            </w:r>
          </w:p>
        </w:tc>
        <w:tc>
          <w:tcPr>
            <w:tcW w:w="10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8.0-35.0</w:t>
            </w:r>
          </w:p>
        </w:tc>
        <w:tc>
          <w:tcPr>
            <w:tcW w:w="992"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6-12 months</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149</w:t>
            </w:r>
          </w:p>
        </w:tc>
        <w:tc>
          <w:tcPr>
            <w:tcW w:w="567"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5.6</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4.7-6.5</w:t>
            </w:r>
          </w:p>
        </w:tc>
        <w:tc>
          <w:tcPr>
            <w:tcW w:w="993"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28.6</w:t>
            </w:r>
          </w:p>
        </w:tc>
        <w:tc>
          <w:tcPr>
            <w:tcW w:w="1134"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9.2-88.8</w:t>
            </w:r>
          </w:p>
        </w:tc>
        <w:tc>
          <w:tcPr>
            <w:tcW w:w="991"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635"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10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1-2 years</w:t>
            </w:r>
          </w:p>
        </w:tc>
        <w:tc>
          <w:tcPr>
            <w:tcW w:w="992"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281</w:t>
            </w:r>
          </w:p>
        </w:tc>
        <w:tc>
          <w:tcPr>
            <w:tcW w:w="567"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6.1</w:t>
            </w:r>
          </w:p>
        </w:tc>
        <w:tc>
          <w:tcPr>
            <w:tcW w:w="992"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5.4-6.8</w:t>
            </w:r>
          </w:p>
        </w:tc>
        <w:tc>
          <w:tcPr>
            <w:tcW w:w="993"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709"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20.4</w:t>
            </w:r>
          </w:p>
        </w:tc>
        <w:tc>
          <w:tcPr>
            <w:tcW w:w="1134"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7.7-54.3</w:t>
            </w:r>
          </w:p>
        </w:tc>
        <w:tc>
          <w:tcPr>
            <w:tcW w:w="991"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635"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21.9</w:t>
            </w:r>
          </w:p>
        </w:tc>
        <w:tc>
          <w:tcPr>
            <w:tcW w:w="10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9.8-48.7</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w:t>
            </w:r>
          </w:p>
        </w:tc>
        <w:tc>
          <w:tcPr>
            <w:tcW w:w="5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13.2</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6.6-26.3</w:t>
            </w:r>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&gt;2 years</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1073</w:t>
            </w:r>
          </w:p>
        </w:tc>
        <w:tc>
          <w:tcPr>
            <w:tcW w:w="567"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6.4</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6.0-6.8</w:t>
            </w:r>
          </w:p>
        </w:tc>
        <w:tc>
          <w:tcPr>
            <w:tcW w:w="993"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709"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1"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19</w:t>
            </w:r>
          </w:p>
        </w:tc>
        <w:tc>
          <w:tcPr>
            <w:tcW w:w="635"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17.8</w:t>
            </w:r>
          </w:p>
        </w:tc>
        <w:tc>
          <w:tcPr>
            <w:tcW w:w="10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11.3-27.8</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25</w:t>
            </w:r>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12.6</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8.5-18.6</w:t>
            </w:r>
          </w:p>
        </w:tc>
      </w:tr>
      <w:tr w:rsidR="00F0206F"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sidRPr="0006709D">
              <w:rPr>
                <w:rFonts w:ascii="Times New Roman" w:hAnsi="Times New Roman" w:cs="Times New Roman"/>
                <w:b w:val="0"/>
                <w:sz w:val="20"/>
                <w:szCs w:val="20"/>
                <w:lang w:val="en-US"/>
              </w:rPr>
              <w:t>Colorectal</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567"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2"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3"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567"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34"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2"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709"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34"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1"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635"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067"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2"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567"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992" w:type="dxa"/>
          </w:tcPr>
          <w:p w:rsidR="00F0206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0-6 months</w:t>
            </w:r>
          </w:p>
        </w:tc>
        <w:tc>
          <w:tcPr>
            <w:tcW w:w="992"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1217</w:t>
            </w:r>
          </w:p>
        </w:tc>
        <w:tc>
          <w:tcPr>
            <w:tcW w:w="567"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37.0</w:t>
            </w:r>
          </w:p>
        </w:tc>
        <w:tc>
          <w:tcPr>
            <w:tcW w:w="992"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35.0-39.1</w:t>
            </w:r>
          </w:p>
        </w:tc>
        <w:tc>
          <w:tcPr>
            <w:tcW w:w="993"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23</w:t>
            </w:r>
          </w:p>
        </w:tc>
        <w:tc>
          <w:tcPr>
            <w:tcW w:w="567"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38.9</w:t>
            </w:r>
          </w:p>
        </w:tc>
        <w:tc>
          <w:tcPr>
            <w:tcW w:w="1134"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25.8-58.5</w:t>
            </w:r>
          </w:p>
        </w:tc>
        <w:tc>
          <w:tcPr>
            <w:tcW w:w="992"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709"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134"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1"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635"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067" w:type="dxa"/>
          </w:tcPr>
          <w:p w:rsidR="00F0206F" w:rsidRPr="0083180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567" w:type="dxa"/>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6-12 months</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341</w:t>
            </w:r>
          </w:p>
        </w:tc>
        <w:tc>
          <w:tcPr>
            <w:tcW w:w="567"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12.4</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11.1-13.8</w:t>
            </w:r>
          </w:p>
        </w:tc>
        <w:tc>
          <w:tcPr>
            <w:tcW w:w="993"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567"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134"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709"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1134"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991"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635"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31.8</w:t>
            </w:r>
          </w:p>
        </w:tc>
        <w:tc>
          <w:tcPr>
            <w:tcW w:w="1067"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14.3-70.7</w:t>
            </w:r>
          </w:p>
        </w:tc>
        <w:tc>
          <w:tcPr>
            <w:tcW w:w="992" w:type="dxa"/>
          </w:tcPr>
          <w:p w:rsidR="00F0206F" w:rsidRPr="00754C4D"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567" w:type="dxa"/>
          </w:tcPr>
          <w:p w:rsidR="00F0206F" w:rsidRPr="00754C4D"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tcPr>
          <w:p w:rsidR="00F0206F" w:rsidRPr="00754C4D"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1-2 years</w:t>
            </w:r>
          </w:p>
        </w:tc>
        <w:tc>
          <w:tcPr>
            <w:tcW w:w="992"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323</w:t>
            </w:r>
          </w:p>
        </w:tc>
        <w:tc>
          <w:tcPr>
            <w:tcW w:w="567"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7.2</w:t>
            </w:r>
          </w:p>
        </w:tc>
        <w:tc>
          <w:tcPr>
            <w:tcW w:w="992" w:type="dxa"/>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6.5-8.0</w:t>
            </w:r>
          </w:p>
        </w:tc>
        <w:tc>
          <w:tcPr>
            <w:tcW w:w="993"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w:t>
            </w:r>
          </w:p>
        </w:tc>
        <w:tc>
          <w:tcPr>
            <w:tcW w:w="567"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39.1</w:t>
            </w:r>
          </w:p>
        </w:tc>
        <w:tc>
          <w:tcPr>
            <w:tcW w:w="1134"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21.0-72.7</w:t>
            </w:r>
          </w:p>
        </w:tc>
        <w:tc>
          <w:tcPr>
            <w:tcW w:w="992"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709"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1134"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991"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635"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13.1</w:t>
            </w:r>
          </w:p>
        </w:tc>
        <w:tc>
          <w:tcPr>
            <w:tcW w:w="1067" w:type="dxa"/>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4.9-35.0</w:t>
            </w:r>
          </w:p>
        </w:tc>
        <w:tc>
          <w:tcPr>
            <w:tcW w:w="992" w:type="dxa"/>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567" w:type="dxa"/>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2" w:type="dxa"/>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&gt;2 years</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1078</w:t>
            </w:r>
          </w:p>
        </w:tc>
        <w:tc>
          <w:tcPr>
            <w:tcW w:w="567"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5.4</w:t>
            </w:r>
          </w:p>
        </w:tc>
        <w:tc>
          <w:tcPr>
            <w:tcW w:w="992" w:type="dxa"/>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5.1-5.7</w:t>
            </w:r>
          </w:p>
        </w:tc>
        <w:tc>
          <w:tcPr>
            <w:tcW w:w="993"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567"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1134" w:type="dxa"/>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2"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17</w:t>
            </w:r>
          </w:p>
        </w:tc>
        <w:tc>
          <w:tcPr>
            <w:tcW w:w="709"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14.4</w:t>
            </w:r>
          </w:p>
        </w:tc>
        <w:tc>
          <w:tcPr>
            <w:tcW w:w="1134"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8.9-23.1</w:t>
            </w:r>
          </w:p>
        </w:tc>
        <w:tc>
          <w:tcPr>
            <w:tcW w:w="991"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21</w:t>
            </w:r>
          </w:p>
        </w:tc>
        <w:tc>
          <w:tcPr>
            <w:tcW w:w="635"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11.5</w:t>
            </w:r>
          </w:p>
        </w:tc>
        <w:tc>
          <w:tcPr>
            <w:tcW w:w="1067" w:type="dxa"/>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7.5-17.6</w:t>
            </w:r>
          </w:p>
        </w:tc>
        <w:tc>
          <w:tcPr>
            <w:tcW w:w="992" w:type="dxa"/>
          </w:tcPr>
          <w:p w:rsidR="00F0206F" w:rsidRPr="00754C4D"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567" w:type="dxa"/>
          </w:tcPr>
          <w:p w:rsidR="00F0206F" w:rsidRPr="00754C4D"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GB"/>
              </w:rPr>
            </w:pPr>
            <w:proofErr w:type="spellStart"/>
            <w:r>
              <w:rPr>
                <w:rFonts w:ascii="Times New Roman" w:hAnsi="Times New Roman" w:cs="Times New Roman"/>
                <w:sz w:val="20"/>
                <w:szCs w:val="20"/>
                <w:lang w:val="en-US"/>
              </w:rPr>
              <w:t>na</w:t>
            </w:r>
            <w:proofErr w:type="spellEnd"/>
          </w:p>
        </w:tc>
        <w:tc>
          <w:tcPr>
            <w:tcW w:w="992" w:type="dxa"/>
          </w:tcPr>
          <w:p w:rsidR="00F0206F" w:rsidRPr="00754C4D"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US"/>
              </w:rPr>
              <w:t>na</w:t>
            </w:r>
            <w:proofErr w:type="spellEnd"/>
          </w:p>
        </w:tc>
      </w:tr>
      <w:tr w:rsidR="00F0206F"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sidRPr="0006709D">
              <w:rPr>
                <w:rFonts w:ascii="Times New Roman" w:hAnsi="Times New Roman" w:cs="Times New Roman"/>
                <w:b w:val="0"/>
                <w:sz w:val="20"/>
                <w:szCs w:val="20"/>
                <w:lang w:val="en-US"/>
              </w:rPr>
              <w:t>Lung</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567"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3"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567"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34"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09"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34"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1"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635"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067" w:type="dxa"/>
            <w:shd w:val="clear" w:color="auto" w:fill="F2F2F2" w:themeFill="background1" w:themeFillShade="F2"/>
          </w:tcPr>
          <w:p w:rsidR="00F0206F"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992" w:type="dxa"/>
            <w:shd w:val="clear" w:color="auto" w:fill="F2F2F2" w:themeFill="background1" w:themeFillShade="F2"/>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
        </w:tc>
        <w:tc>
          <w:tcPr>
            <w:tcW w:w="567" w:type="dxa"/>
            <w:shd w:val="clear" w:color="auto" w:fill="F2F2F2" w:themeFill="background1" w:themeFillShade="F2"/>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
        </w:tc>
        <w:tc>
          <w:tcPr>
            <w:tcW w:w="992" w:type="dxa"/>
            <w:shd w:val="clear" w:color="auto" w:fill="F2F2F2" w:themeFill="background1" w:themeFillShade="F2"/>
          </w:tcPr>
          <w:p w:rsidR="00F0206F" w:rsidRPr="00754C4D"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black"/>
                <w:lang w:val="en-US"/>
              </w:rPr>
            </w:pPr>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0-6 months</w:t>
            </w:r>
          </w:p>
        </w:tc>
        <w:tc>
          <w:tcPr>
            <w:tcW w:w="992"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1398</w:t>
            </w:r>
          </w:p>
        </w:tc>
        <w:tc>
          <w:tcPr>
            <w:tcW w:w="567"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54.3</w:t>
            </w:r>
          </w:p>
        </w:tc>
        <w:tc>
          <w:tcPr>
            <w:tcW w:w="992"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51.5-57.2</w:t>
            </w:r>
          </w:p>
        </w:tc>
        <w:tc>
          <w:tcPr>
            <w:tcW w:w="993"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709"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83180F"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black"/>
                <w:lang w:val="en-US"/>
              </w:rPr>
            </w:pPr>
            <w:proofErr w:type="spellStart"/>
            <w:r>
              <w:rPr>
                <w:rFonts w:ascii="Times New Roman" w:hAnsi="Times New Roman" w:cs="Times New Roman"/>
                <w:sz w:val="20"/>
                <w:szCs w:val="20"/>
                <w:lang w:val="en-US"/>
              </w:rPr>
              <w:t>na</w:t>
            </w:r>
            <w:proofErr w:type="spellEnd"/>
          </w:p>
        </w:tc>
        <w:tc>
          <w:tcPr>
            <w:tcW w:w="991"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635"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10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5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18.2</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8.2-40.6</w:t>
            </w:r>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6-12 months</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377</w:t>
            </w:r>
          </w:p>
        </w:tc>
        <w:tc>
          <w:tcPr>
            <w:tcW w:w="567"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25.6</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23.1-28.3</w:t>
            </w:r>
          </w:p>
        </w:tc>
        <w:tc>
          <w:tcPr>
            <w:tcW w:w="993"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1134"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108.7</w:t>
            </w:r>
          </w:p>
        </w:tc>
        <w:tc>
          <w:tcPr>
            <w:tcW w:w="1134"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40.8-289.6</w:t>
            </w:r>
          </w:p>
        </w:tc>
        <w:tc>
          <w:tcPr>
            <w:tcW w:w="991"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635"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0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roofErr w:type="spellStart"/>
            <w:r>
              <w:rPr>
                <w:rFonts w:ascii="Times New Roman" w:hAnsi="Times New Roman" w:cs="Times New Roman"/>
                <w:sz w:val="20"/>
                <w:szCs w:val="20"/>
                <w:lang w:val="en-US"/>
              </w:rPr>
              <w:t>na</w:t>
            </w:r>
            <w:proofErr w:type="spellEnd"/>
          </w:p>
        </w:tc>
      </w:tr>
      <w:tr w:rsidR="00F0206F" w:rsidRPr="00B10084" w:rsidTr="00AD4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1-2 years</w:t>
            </w:r>
          </w:p>
        </w:tc>
        <w:tc>
          <w:tcPr>
            <w:tcW w:w="992"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289</w:t>
            </w:r>
          </w:p>
        </w:tc>
        <w:tc>
          <w:tcPr>
            <w:tcW w:w="567"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17.4</w:t>
            </w:r>
          </w:p>
        </w:tc>
        <w:tc>
          <w:tcPr>
            <w:tcW w:w="992" w:type="dxa"/>
            <w:shd w:val="clear" w:color="auto" w:fill="F2F2F2" w:themeFill="background1" w:themeFillShade="F2"/>
          </w:tcPr>
          <w:p w:rsidR="00F0206F" w:rsidRPr="00AC1D97"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15.5-19.5</w:t>
            </w:r>
          </w:p>
        </w:tc>
        <w:tc>
          <w:tcPr>
            <w:tcW w:w="993"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5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60.4</w:t>
            </w:r>
          </w:p>
        </w:tc>
        <w:tc>
          <w:tcPr>
            <w:tcW w:w="1134"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25.1-145.2</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709"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1134"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roofErr w:type="spellStart"/>
            <w:r>
              <w:rPr>
                <w:rFonts w:ascii="Times New Roman" w:hAnsi="Times New Roman" w:cs="Times New Roman"/>
                <w:sz w:val="20"/>
                <w:szCs w:val="20"/>
                <w:lang w:val="en-GB"/>
              </w:rPr>
              <w:t>na</w:t>
            </w:r>
            <w:proofErr w:type="spellEnd"/>
          </w:p>
        </w:tc>
        <w:tc>
          <w:tcPr>
            <w:tcW w:w="991"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0</w:t>
            </w:r>
          </w:p>
        </w:tc>
        <w:tc>
          <w:tcPr>
            <w:tcW w:w="635"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0</w:t>
            </w:r>
          </w:p>
        </w:tc>
        <w:tc>
          <w:tcPr>
            <w:tcW w:w="10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0</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0</w:t>
            </w:r>
          </w:p>
        </w:tc>
        <w:tc>
          <w:tcPr>
            <w:tcW w:w="567"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0</w:t>
            </w:r>
          </w:p>
        </w:tc>
        <w:tc>
          <w:tcPr>
            <w:tcW w:w="992" w:type="dxa"/>
            <w:shd w:val="clear" w:color="auto" w:fill="F2F2F2" w:themeFill="background1" w:themeFillShade="F2"/>
          </w:tcPr>
          <w:p w:rsidR="00F0206F" w:rsidRPr="00B10084" w:rsidRDefault="00F0206F" w:rsidP="00AD4F6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0</w:t>
            </w:r>
          </w:p>
        </w:tc>
      </w:tr>
      <w:tr w:rsidR="00F0206F" w:rsidRPr="00B10084" w:rsidTr="00AD4F6E">
        <w:tc>
          <w:tcPr>
            <w:cnfStyle w:val="001000000000" w:firstRow="0" w:lastRow="0" w:firstColumn="1" w:lastColumn="0" w:oddVBand="0" w:evenVBand="0" w:oddHBand="0" w:evenHBand="0" w:firstRowFirstColumn="0" w:firstRowLastColumn="0" w:lastRowFirstColumn="0" w:lastRowLastColumn="0"/>
            <w:tcW w:w="1844" w:type="dxa"/>
            <w:shd w:val="clear" w:color="auto" w:fill="F2F2F2" w:themeFill="background1" w:themeFillShade="F2"/>
          </w:tcPr>
          <w:p w:rsidR="00F0206F" w:rsidRPr="0006709D" w:rsidRDefault="00F0206F" w:rsidP="00AD4F6E">
            <w:pPr>
              <w:rPr>
                <w:rFonts w:ascii="Times New Roman" w:hAnsi="Times New Roman" w:cs="Times New Roman"/>
                <w:b w:val="0"/>
                <w:sz w:val="20"/>
                <w:szCs w:val="20"/>
                <w:lang w:val="en-US"/>
              </w:rPr>
            </w:pPr>
            <w:r>
              <w:rPr>
                <w:rFonts w:ascii="Times New Roman" w:hAnsi="Times New Roman" w:cs="Times New Roman"/>
                <w:b w:val="0"/>
                <w:sz w:val="20"/>
                <w:szCs w:val="20"/>
                <w:lang w:val="en-US"/>
              </w:rPr>
              <w:t xml:space="preserve">   </w:t>
            </w:r>
            <w:r w:rsidRPr="0006709D">
              <w:rPr>
                <w:rFonts w:ascii="Times New Roman" w:hAnsi="Times New Roman" w:cs="Times New Roman"/>
                <w:b w:val="0"/>
                <w:sz w:val="20"/>
                <w:szCs w:val="20"/>
                <w:lang w:val="en-US"/>
              </w:rPr>
              <w:t>&gt;2 years</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355</w:t>
            </w:r>
          </w:p>
        </w:tc>
        <w:tc>
          <w:tcPr>
            <w:tcW w:w="567"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7.7</w:t>
            </w:r>
          </w:p>
        </w:tc>
        <w:tc>
          <w:tcPr>
            <w:tcW w:w="992" w:type="dxa"/>
            <w:shd w:val="clear" w:color="auto" w:fill="F2F2F2" w:themeFill="background1" w:themeFillShade="F2"/>
          </w:tcPr>
          <w:p w:rsidR="00F0206F" w:rsidRPr="00AC1D97"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7.0-8.6</w:t>
            </w:r>
          </w:p>
        </w:tc>
        <w:tc>
          <w:tcPr>
            <w:tcW w:w="993"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w:t>
            </w:r>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25.8</w:t>
            </w:r>
          </w:p>
        </w:tc>
        <w:tc>
          <w:tcPr>
            <w:tcW w:w="1134"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12.9-51.6</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w:t>
            </w:r>
          </w:p>
        </w:tc>
        <w:tc>
          <w:tcPr>
            <w:tcW w:w="709"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34.4</w:t>
            </w:r>
          </w:p>
        </w:tc>
        <w:tc>
          <w:tcPr>
            <w:tcW w:w="1134"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17.2-68.9</w:t>
            </w:r>
          </w:p>
        </w:tc>
        <w:tc>
          <w:tcPr>
            <w:tcW w:w="991"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635"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12.0</w:t>
            </w:r>
          </w:p>
        </w:tc>
        <w:tc>
          <w:tcPr>
            <w:tcW w:w="10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4.5-31.9</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7</w:t>
            </w:r>
          </w:p>
        </w:tc>
        <w:tc>
          <w:tcPr>
            <w:tcW w:w="567"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8.4</w:t>
            </w:r>
          </w:p>
        </w:tc>
        <w:tc>
          <w:tcPr>
            <w:tcW w:w="992" w:type="dxa"/>
            <w:shd w:val="clear" w:color="auto" w:fill="F2F2F2" w:themeFill="background1" w:themeFillShade="F2"/>
          </w:tcPr>
          <w:p w:rsidR="00F0206F" w:rsidRPr="00B10084" w:rsidRDefault="00F0206F" w:rsidP="00AD4F6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4.0-17.6</w:t>
            </w:r>
          </w:p>
        </w:tc>
      </w:tr>
    </w:tbl>
    <w:p w:rsidR="00F0206F" w:rsidRPr="0083168F" w:rsidRDefault="00F0206F" w:rsidP="00F0206F">
      <w:pPr>
        <w:rPr>
          <w:rFonts w:ascii="Times New Roman" w:hAnsi="Times New Roman" w:cs="Times New Roman"/>
          <w:sz w:val="24"/>
          <w:szCs w:val="24"/>
          <w:lang w:val="en-US"/>
        </w:rPr>
        <w:sectPr w:rsidR="00F0206F" w:rsidRPr="0083168F" w:rsidSect="00AD4F6E">
          <w:pgSz w:w="16838" w:h="11906" w:orient="landscape"/>
          <w:pgMar w:top="720" w:right="720" w:bottom="720" w:left="720" w:header="708" w:footer="708" w:gutter="0"/>
          <w:cols w:space="708"/>
          <w:docGrid w:linePitch="360"/>
        </w:sectPr>
      </w:pPr>
    </w:p>
    <w:p w:rsidR="00AD4F6E" w:rsidRDefault="00AD4F6E" w:rsidP="00F0206F">
      <w:pPr>
        <w:rPr>
          <w:rFonts w:ascii="Times New Roman" w:hAnsi="Times New Roman"/>
          <w:noProof/>
          <w:sz w:val="24"/>
          <w:szCs w:val="24"/>
          <w:lang w:eastAsia="da-DK"/>
        </w:rPr>
      </w:pPr>
    </w:p>
    <w:p w:rsidR="00AD4F6E" w:rsidRDefault="00AD4F6E" w:rsidP="00F0206F">
      <w:pPr>
        <w:rPr>
          <w:rFonts w:ascii="Times New Roman" w:hAnsi="Times New Roman"/>
          <w:sz w:val="24"/>
          <w:szCs w:val="24"/>
          <w:lang w:val="en-US"/>
        </w:rPr>
      </w:pPr>
      <w:r>
        <w:rPr>
          <w:rFonts w:ascii="Times New Roman" w:hAnsi="Times New Roman"/>
          <w:noProof/>
          <w:sz w:val="24"/>
          <w:szCs w:val="24"/>
          <w:lang w:eastAsia="da-DK"/>
        </w:rPr>
        <w:drawing>
          <wp:inline distT="0" distB="0" distL="0" distR="0">
            <wp:extent cx="8531860" cy="4225290"/>
            <wp:effectExtent l="0" t="0" r="254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sort diagram.png"/>
                    <pic:cNvPicPr/>
                  </pic:nvPicPr>
                  <pic:blipFill>
                    <a:blip r:embed="rId8">
                      <a:extLst>
                        <a:ext uri="{28A0092B-C50C-407E-A947-70E740481C1C}">
                          <a14:useLocalDpi xmlns:a14="http://schemas.microsoft.com/office/drawing/2010/main" val="0"/>
                        </a:ext>
                      </a:extLst>
                    </a:blip>
                    <a:stretch>
                      <a:fillRect/>
                    </a:stretch>
                  </pic:blipFill>
                  <pic:spPr>
                    <a:xfrm>
                      <a:off x="0" y="0"/>
                      <a:ext cx="8531860" cy="4225290"/>
                    </a:xfrm>
                    <a:prstGeom prst="rect">
                      <a:avLst/>
                    </a:prstGeom>
                  </pic:spPr>
                </pic:pic>
              </a:graphicData>
            </a:graphic>
          </wp:inline>
        </w:drawing>
      </w:r>
    </w:p>
    <w:p w:rsidR="00F0206F" w:rsidRDefault="00F0206F" w:rsidP="00F0206F">
      <w:pPr>
        <w:rPr>
          <w:rFonts w:ascii="Times New Roman" w:hAnsi="Times New Roman"/>
          <w:color w:val="000000" w:themeColor="text1"/>
          <w:kern w:val="24"/>
          <w:sz w:val="24"/>
          <w:szCs w:val="24"/>
          <w:lang w:val="en-US"/>
        </w:rPr>
      </w:pPr>
      <w:r w:rsidRPr="001A5779">
        <w:rPr>
          <w:rFonts w:ascii="Times New Roman" w:hAnsi="Times New Roman"/>
          <w:sz w:val="24"/>
          <w:szCs w:val="24"/>
          <w:lang w:val="en-US"/>
        </w:rPr>
        <w:t xml:space="preserve">Supplementary figure 1. </w:t>
      </w:r>
      <w:r w:rsidR="00AD4F6E">
        <w:rPr>
          <w:rFonts w:ascii="Times New Roman" w:hAnsi="Times New Roman"/>
          <w:sz w:val="24"/>
          <w:szCs w:val="24"/>
          <w:lang w:val="en-US"/>
        </w:rPr>
        <w:t>Consort diagram showing the study population and outcome.</w:t>
      </w:r>
    </w:p>
    <w:p w:rsidR="00F0206F" w:rsidRPr="000B4DAD" w:rsidRDefault="00F0206F" w:rsidP="00F0206F">
      <w:pPr>
        <w:rPr>
          <w:rFonts w:ascii="Times New Roman" w:hAnsi="Times New Roman" w:cs="Times New Roman"/>
          <w:sz w:val="24"/>
          <w:szCs w:val="24"/>
          <w:lang w:val="en-US"/>
        </w:rPr>
      </w:pPr>
      <w:r>
        <w:rPr>
          <w:rFonts w:ascii="Times New Roman" w:hAnsi="Times New Roman" w:cs="Times New Roman"/>
          <w:noProof/>
          <w:sz w:val="24"/>
          <w:szCs w:val="24"/>
          <w:lang w:eastAsia="da-DK"/>
        </w:rPr>
        <w:lastRenderedPageBreak/>
        <w:drawing>
          <wp:inline distT="0" distB="0" distL="0" distR="0">
            <wp:extent cx="8531860" cy="5019040"/>
            <wp:effectExtent l="0" t="0" r="254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ry Figure 2.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1860" cy="5019040"/>
                    </a:xfrm>
                    <a:prstGeom prst="rect">
                      <a:avLst/>
                    </a:prstGeom>
                  </pic:spPr>
                </pic:pic>
              </a:graphicData>
            </a:graphic>
          </wp:inline>
        </w:drawing>
      </w:r>
    </w:p>
    <w:p w:rsidR="00F0206F" w:rsidRDefault="00F0206F" w:rsidP="00F0206F">
      <w:pPr>
        <w:spacing w:line="480" w:lineRule="auto"/>
        <w:rPr>
          <w:rFonts w:ascii="Times New Roman" w:hAnsi="Times New Roman" w:cs="Times New Roman"/>
          <w:sz w:val="24"/>
          <w:szCs w:val="24"/>
          <w:lang w:val="en-GB"/>
        </w:rPr>
      </w:pPr>
      <w:r w:rsidRPr="001A5779">
        <w:rPr>
          <w:rFonts w:ascii="Times New Roman" w:hAnsi="Times New Roman" w:cs="Times New Roman"/>
          <w:sz w:val="24"/>
          <w:szCs w:val="24"/>
          <w:lang w:val="en-US"/>
        </w:rPr>
        <w:t>Supplementary figure 2.</w:t>
      </w:r>
      <w:r w:rsidRPr="001A5779">
        <w:rPr>
          <w:rFonts w:ascii="Times New Roman" w:hAnsi="Times New Roman" w:cs="Times New Roman"/>
          <w:sz w:val="24"/>
          <w:szCs w:val="24"/>
          <w:lang w:val="en-GB"/>
        </w:rPr>
        <w:t xml:space="preserve"> </w:t>
      </w:r>
      <w:r>
        <w:rPr>
          <w:rFonts w:ascii="Times New Roman" w:hAnsi="Times New Roman" w:cs="Times New Roman"/>
          <w:sz w:val="24"/>
          <w:szCs w:val="24"/>
          <w:lang w:val="en-GB"/>
        </w:rPr>
        <w:t>Incidence rates (per 1000 person years) and adjusted incidence rate</w:t>
      </w:r>
      <w:r w:rsidRPr="00915293">
        <w:rPr>
          <w:rFonts w:ascii="Times New Roman" w:hAnsi="Times New Roman" w:cs="Times New Roman"/>
          <w:sz w:val="24"/>
          <w:szCs w:val="24"/>
          <w:lang w:val="en-GB"/>
        </w:rPr>
        <w:t xml:space="preserve"> ratios</w:t>
      </w:r>
      <w:r>
        <w:rPr>
          <w:rFonts w:ascii="Times New Roman" w:hAnsi="Times New Roman" w:cs="Times New Roman"/>
          <w:sz w:val="24"/>
          <w:szCs w:val="24"/>
          <w:lang w:val="en-GB"/>
        </w:rPr>
        <w:t xml:space="preserve"> </w:t>
      </w:r>
      <w:r w:rsidRPr="00915293">
        <w:rPr>
          <w:rFonts w:ascii="Times New Roman" w:hAnsi="Times New Roman" w:cs="Times New Roman"/>
          <w:sz w:val="24"/>
          <w:szCs w:val="24"/>
          <w:lang w:val="en-GB"/>
        </w:rPr>
        <w:t>of VTE</w:t>
      </w:r>
      <w:r>
        <w:rPr>
          <w:rFonts w:ascii="Times New Roman" w:hAnsi="Times New Roman" w:cs="Times New Roman"/>
          <w:sz w:val="24"/>
          <w:szCs w:val="24"/>
          <w:lang w:val="en-GB"/>
        </w:rPr>
        <w:t>,</w:t>
      </w:r>
      <w:r w:rsidRPr="00915293">
        <w:rPr>
          <w:rFonts w:ascii="Times New Roman" w:hAnsi="Times New Roman" w:cs="Times New Roman"/>
          <w:sz w:val="24"/>
          <w:szCs w:val="24"/>
          <w:lang w:val="en-GB"/>
        </w:rPr>
        <w:t xml:space="preserve"> adjusted estimates</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are depicted</w:t>
      </w:r>
      <w:proofErr w:type="gramEnd"/>
      <w:r>
        <w:rPr>
          <w:rFonts w:ascii="Times New Roman" w:hAnsi="Times New Roman" w:cs="Times New Roman"/>
          <w:sz w:val="24"/>
          <w:szCs w:val="24"/>
          <w:lang w:val="en-GB"/>
        </w:rPr>
        <w:t xml:space="preserve"> in the forest plot.</w:t>
      </w:r>
    </w:p>
    <w:p w:rsidR="00F0206F" w:rsidRDefault="00F0206F" w:rsidP="00F0206F">
      <w:pPr>
        <w:spacing w:line="240" w:lineRule="auto"/>
        <w:rPr>
          <w:rFonts w:ascii="Times New Roman" w:hAnsi="Times New Roman" w:cs="Times New Roman"/>
          <w:sz w:val="24"/>
          <w:szCs w:val="24"/>
          <w:lang w:val="en-US"/>
        </w:rPr>
      </w:pPr>
      <w:r>
        <w:rPr>
          <w:rFonts w:ascii="Times New Roman" w:hAnsi="Times New Roman" w:cs="Times New Roman"/>
          <w:noProof/>
          <w:sz w:val="24"/>
          <w:szCs w:val="24"/>
          <w:lang w:eastAsia="da-DK"/>
        </w:rPr>
        <w:lastRenderedPageBreak/>
        <w:drawing>
          <wp:inline distT="0" distB="0" distL="0" distR="0">
            <wp:extent cx="8531860" cy="5019040"/>
            <wp:effectExtent l="0" t="0" r="254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ry Figure 3.tif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1860" cy="5019040"/>
                    </a:xfrm>
                    <a:prstGeom prst="rect">
                      <a:avLst/>
                    </a:prstGeom>
                  </pic:spPr>
                </pic:pic>
              </a:graphicData>
            </a:graphic>
          </wp:inline>
        </w:drawing>
      </w:r>
    </w:p>
    <w:p w:rsidR="00F0206F" w:rsidRDefault="00F0206F" w:rsidP="00F0206F">
      <w:pPr>
        <w:spacing w:line="240" w:lineRule="auto"/>
        <w:rPr>
          <w:rFonts w:ascii="Times New Roman" w:hAnsi="Times New Roman" w:cs="Times New Roman"/>
          <w:sz w:val="24"/>
          <w:szCs w:val="24"/>
          <w:lang w:val="en-GB"/>
        </w:rPr>
        <w:sectPr w:rsidR="00F0206F" w:rsidSect="00AD4F6E">
          <w:pgSz w:w="16838" w:h="11906" w:orient="landscape"/>
          <w:pgMar w:top="1134" w:right="1701" w:bottom="1134" w:left="1701" w:header="708" w:footer="708" w:gutter="0"/>
          <w:cols w:space="708"/>
          <w:docGrid w:linePitch="360"/>
        </w:sectPr>
      </w:pPr>
      <w:r w:rsidRPr="001A5779">
        <w:rPr>
          <w:rFonts w:ascii="Times New Roman" w:hAnsi="Times New Roman" w:cs="Times New Roman"/>
          <w:sz w:val="24"/>
          <w:szCs w:val="24"/>
          <w:lang w:val="en-US"/>
        </w:rPr>
        <w:t>Supplementary figure 3.</w:t>
      </w:r>
      <w:r w:rsidRPr="001A5779">
        <w:rPr>
          <w:rFonts w:ascii="Times New Roman" w:hAnsi="Times New Roman" w:cs="Times New Roman"/>
          <w:sz w:val="24"/>
          <w:szCs w:val="24"/>
          <w:lang w:val="en-GB"/>
        </w:rPr>
        <w:t xml:space="preserve"> Adjusted incidence rate ratios of VTE for subjects free of VTE at study entry, estimates </w:t>
      </w:r>
      <w:proofErr w:type="gramStart"/>
      <w:r w:rsidRPr="001A5779">
        <w:rPr>
          <w:rFonts w:ascii="Times New Roman" w:hAnsi="Times New Roman" w:cs="Times New Roman"/>
          <w:sz w:val="24"/>
          <w:szCs w:val="24"/>
          <w:lang w:val="en-GB"/>
        </w:rPr>
        <w:t>are depicted</w:t>
      </w:r>
      <w:proofErr w:type="gramEnd"/>
      <w:r w:rsidRPr="001A5779">
        <w:rPr>
          <w:rFonts w:ascii="Times New Roman" w:hAnsi="Times New Roman" w:cs="Times New Roman"/>
          <w:sz w:val="24"/>
          <w:szCs w:val="24"/>
          <w:lang w:val="en-GB"/>
        </w:rPr>
        <w:t xml:space="preserve"> in the forest plot</w:t>
      </w:r>
    </w:p>
    <w:p w:rsidR="00F0206F" w:rsidRDefault="00F0206F" w:rsidP="00F0206F">
      <w:pPr>
        <w:spacing w:line="480" w:lineRule="auto"/>
        <w:rPr>
          <w:rFonts w:ascii="Times New Roman" w:hAnsi="Times New Roman" w:cs="Times New Roman"/>
          <w:sz w:val="24"/>
          <w:szCs w:val="24"/>
          <w:lang w:val="en-GB"/>
        </w:rPr>
        <w:sectPr w:rsidR="00F0206F" w:rsidSect="00AD4F6E">
          <w:pgSz w:w="16838" w:h="11906" w:orient="landscape"/>
          <w:pgMar w:top="1134" w:right="1701" w:bottom="1134" w:left="1701" w:header="708" w:footer="708" w:gutter="0"/>
          <w:cols w:space="708"/>
          <w:docGrid w:linePitch="360"/>
        </w:sectPr>
      </w:pPr>
    </w:p>
    <w:p w:rsidR="00F0206F" w:rsidRPr="001A5779" w:rsidRDefault="00F0206F" w:rsidP="00F0206F">
      <w:pPr>
        <w:spacing w:line="240" w:lineRule="auto"/>
        <w:rPr>
          <w:rFonts w:ascii="Times New Roman" w:hAnsi="Times New Roman" w:cs="Times New Roman"/>
          <w:sz w:val="24"/>
          <w:szCs w:val="24"/>
          <w:lang w:val="en-GB"/>
        </w:rPr>
      </w:pPr>
    </w:p>
    <w:p w:rsidR="00E340AC" w:rsidRPr="00F0206F" w:rsidRDefault="00E340AC">
      <w:pPr>
        <w:rPr>
          <w:lang w:val="en-GB"/>
        </w:rPr>
      </w:pPr>
    </w:p>
    <w:sectPr w:rsidR="00E340AC" w:rsidRPr="00F0206F" w:rsidSect="00AD4F6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F6E" w:rsidRDefault="00AD4F6E" w:rsidP="00F0206F">
      <w:pPr>
        <w:spacing w:after="0" w:line="240" w:lineRule="auto"/>
      </w:pPr>
      <w:r>
        <w:separator/>
      </w:r>
    </w:p>
  </w:endnote>
  <w:endnote w:type="continuationSeparator" w:id="0">
    <w:p w:rsidR="00AD4F6E" w:rsidRDefault="00AD4F6E" w:rsidP="00F0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839826"/>
      <w:docPartObj>
        <w:docPartGallery w:val="Page Numbers (Bottom of Page)"/>
        <w:docPartUnique/>
      </w:docPartObj>
    </w:sdtPr>
    <w:sdtEndPr/>
    <w:sdtContent>
      <w:p w:rsidR="00AD4F6E" w:rsidRDefault="00AD4F6E">
        <w:pPr>
          <w:pStyle w:val="Sidefod"/>
          <w:jc w:val="right"/>
        </w:pPr>
        <w:r>
          <w:fldChar w:fldCharType="begin"/>
        </w:r>
        <w:r>
          <w:instrText>PAGE   \* MERGEFORMAT</w:instrText>
        </w:r>
        <w:r>
          <w:fldChar w:fldCharType="separate"/>
        </w:r>
        <w:r w:rsidR="00EF1719">
          <w:rPr>
            <w:noProof/>
          </w:rPr>
          <w:t>10</w:t>
        </w:r>
        <w:r>
          <w:fldChar w:fldCharType="end"/>
        </w:r>
      </w:p>
    </w:sdtContent>
  </w:sdt>
  <w:p w:rsidR="00AD4F6E" w:rsidRDefault="00AD4F6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F6E" w:rsidRDefault="00AD4F6E" w:rsidP="00F0206F">
      <w:pPr>
        <w:spacing w:after="0" w:line="240" w:lineRule="auto"/>
      </w:pPr>
      <w:r>
        <w:separator/>
      </w:r>
    </w:p>
  </w:footnote>
  <w:footnote w:type="continuationSeparator" w:id="0">
    <w:p w:rsidR="00AD4F6E" w:rsidRDefault="00AD4F6E" w:rsidP="00F02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6E" w:rsidRDefault="00AD4F6E" w:rsidP="00F0206F">
    <w:pPr>
      <w:pStyle w:val="Sidehoved"/>
      <w:jc w:val="right"/>
      <w:rPr>
        <w:rFonts w:ascii="Times New Roman" w:hAnsi="Times New Roman" w:cs="Times New Roman"/>
        <w:sz w:val="24"/>
        <w:szCs w:val="24"/>
        <w:lang w:val="en-GB"/>
      </w:rPr>
    </w:pPr>
    <w:r>
      <w:rPr>
        <w:rFonts w:ascii="Times New Roman" w:hAnsi="Times New Roman" w:cs="Times New Roman"/>
        <w:sz w:val="24"/>
        <w:szCs w:val="24"/>
        <w:lang w:val="en-GB"/>
      </w:rPr>
      <w:t>Second c</w:t>
    </w:r>
    <w:r w:rsidRPr="00915293">
      <w:rPr>
        <w:rFonts w:ascii="Times New Roman" w:hAnsi="Times New Roman" w:cs="Times New Roman"/>
        <w:sz w:val="24"/>
        <w:szCs w:val="24"/>
        <w:lang w:val="en-GB"/>
      </w:rPr>
      <w:t xml:space="preserve">ancer and </w:t>
    </w:r>
    <w:r w:rsidR="00EF1719">
      <w:rPr>
        <w:rFonts w:ascii="Times New Roman" w:hAnsi="Times New Roman" w:cs="Times New Roman"/>
        <w:sz w:val="24"/>
        <w:szCs w:val="24"/>
        <w:lang w:val="en-GB"/>
      </w:rPr>
      <w:t>venous thromboembolism</w:t>
    </w:r>
  </w:p>
  <w:p w:rsidR="00AD4F6E" w:rsidRPr="00F0206F" w:rsidRDefault="00AD4F6E" w:rsidP="00F0206F">
    <w:pPr>
      <w:pStyle w:val="Sidehoved"/>
      <w:jc w:val="right"/>
      <w:rPr>
        <w:lang w:val="en-US"/>
      </w:rPr>
    </w:pPr>
    <w:r>
      <w:rPr>
        <w:rFonts w:ascii="Times New Roman" w:hAnsi="Times New Roman" w:cs="Times New Roman"/>
        <w:sz w:val="24"/>
        <w:szCs w:val="24"/>
        <w:lang w:val="en-GB"/>
      </w:rPr>
      <w:t>Supplementary</w:t>
    </w:r>
  </w:p>
  <w:p w:rsidR="00AD4F6E" w:rsidRPr="00F0206F" w:rsidRDefault="00AD4F6E">
    <w:pPr>
      <w:pStyle w:val="Sidehoved"/>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6E" w:rsidRPr="00575ABB" w:rsidRDefault="00AD4F6E" w:rsidP="00AD4F6E">
    <w:pPr>
      <w:pStyle w:val="Sidehoved"/>
      <w:jc w:val="right"/>
    </w:pPr>
    <w:r>
      <w:rPr>
        <w:rFonts w:ascii="Times New Roman" w:hAnsi="Times New Roman" w:cs="Times New Roman"/>
        <w:sz w:val="24"/>
        <w:szCs w:val="24"/>
        <w:lang w:val="en-GB"/>
      </w:rPr>
      <w:t>Second c</w:t>
    </w:r>
    <w:r w:rsidRPr="00915293">
      <w:rPr>
        <w:rFonts w:ascii="Times New Roman" w:hAnsi="Times New Roman" w:cs="Times New Roman"/>
        <w:sz w:val="24"/>
        <w:szCs w:val="24"/>
        <w:lang w:val="en-GB"/>
      </w:rPr>
      <w:t xml:space="preserve">ancer and </w:t>
    </w:r>
    <w:r>
      <w:rPr>
        <w:rFonts w:ascii="Times New Roman" w:hAnsi="Times New Roman" w:cs="Times New Roman"/>
        <w:sz w:val="24"/>
        <w:szCs w:val="24"/>
        <w:lang w:val="en-GB"/>
      </w:rPr>
      <w:t>venous thromboembolism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C08ED"/>
    <w:multiLevelType w:val="multilevel"/>
    <w:tmpl w:val="50D0BB24"/>
    <w:lvl w:ilvl="0">
      <w:start w:val="6"/>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6F"/>
    <w:rsid w:val="00A023CD"/>
    <w:rsid w:val="00AD4F6E"/>
    <w:rsid w:val="00BE4200"/>
    <w:rsid w:val="00D52CBF"/>
    <w:rsid w:val="00E340AC"/>
    <w:rsid w:val="00EF1719"/>
    <w:rsid w:val="00F020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13AE6-7C4F-4E2D-9AFD-0883B024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06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0206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0206F"/>
  </w:style>
  <w:style w:type="paragraph" w:styleId="Sidefod">
    <w:name w:val="footer"/>
    <w:basedOn w:val="Normal"/>
    <w:link w:val="SidefodTegn"/>
    <w:uiPriority w:val="99"/>
    <w:unhideWhenUsed/>
    <w:rsid w:val="00F020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0206F"/>
  </w:style>
  <w:style w:type="paragraph" w:styleId="Listeafsnit">
    <w:name w:val="List Paragraph"/>
    <w:basedOn w:val="Normal"/>
    <w:uiPriority w:val="34"/>
    <w:qFormat/>
    <w:rsid w:val="00F0206F"/>
    <w:pPr>
      <w:ind w:left="720"/>
      <w:contextualSpacing/>
    </w:pPr>
  </w:style>
  <w:style w:type="table" w:styleId="Almindeligtabel2">
    <w:name w:val="Plain Table 2"/>
    <w:basedOn w:val="Tabel-Normal"/>
    <w:uiPriority w:val="42"/>
    <w:rsid w:val="00F020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Markeringsbobletekst">
    <w:name w:val="Balloon Text"/>
    <w:basedOn w:val="Normal"/>
    <w:link w:val="MarkeringsbobletekstTegn"/>
    <w:uiPriority w:val="99"/>
    <w:semiHidden/>
    <w:unhideWhenUsed/>
    <w:rsid w:val="00A023C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023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1047</Words>
  <Characters>6387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Lise Gade</dc:creator>
  <cp:keywords/>
  <dc:description/>
  <cp:lastModifiedBy>Inger Lise Gade</cp:lastModifiedBy>
  <cp:revision>4</cp:revision>
  <dcterms:created xsi:type="dcterms:W3CDTF">2020-02-28T07:32:00Z</dcterms:created>
  <dcterms:modified xsi:type="dcterms:W3CDTF">2020-03-09T08:43:00Z</dcterms:modified>
</cp:coreProperties>
</file>