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F8D7E" w14:textId="77777777" w:rsidR="007266C0" w:rsidRPr="002C733D" w:rsidRDefault="007266C0" w:rsidP="002C733D">
      <w:pPr>
        <w:widowControl w:val="0"/>
        <w:rPr>
          <w:b/>
        </w:rPr>
      </w:pPr>
    </w:p>
    <w:p w14:paraId="20657101" w14:textId="6688C1E5" w:rsidR="007266C0" w:rsidRPr="002C733D" w:rsidRDefault="007266C0" w:rsidP="002C733D">
      <w:pPr>
        <w:pStyle w:val="Reference"/>
        <w:spacing w:line="480" w:lineRule="auto"/>
        <w:ind w:left="0" w:firstLine="0"/>
        <w:rPr>
          <w:rFonts w:ascii="Arial" w:hAnsi="Arial" w:cs="Arial"/>
          <w:sz w:val="20"/>
        </w:rPr>
      </w:pPr>
      <w:r w:rsidRPr="002C733D">
        <w:rPr>
          <w:rFonts w:ascii="Arial" w:hAnsi="Arial" w:cs="Arial"/>
          <w:noProof/>
          <w:sz w:val="20"/>
          <w:lang w:val="en-US"/>
        </w:rPr>
        <w:drawing>
          <wp:inline distT="0" distB="0" distL="0" distR="0" wp14:anchorId="29711846" wp14:editId="72BCF62A">
            <wp:extent cx="5471410" cy="4357760"/>
            <wp:effectExtent l="0" t="0" r="0" b="0"/>
            <wp:docPr id="4" name="図 4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47554-Supplementary-Figure-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177" cy="437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D0555" w14:textId="77777777" w:rsidR="007266C0" w:rsidRPr="002C733D" w:rsidRDefault="007266C0" w:rsidP="002C733D">
      <w:pPr>
        <w:widowControl w:val="0"/>
      </w:pPr>
      <w:r w:rsidRPr="002C733D">
        <w:rPr>
          <w:b/>
        </w:rPr>
        <w:t>Supplementary Figure 1</w:t>
      </w:r>
      <w:r w:rsidRPr="002C733D">
        <w:t xml:space="preserve"> Kaplan–Meier estimation of overall survival</w:t>
      </w:r>
    </w:p>
    <w:p w14:paraId="4637F42C" w14:textId="09F6134C" w:rsidR="007266C0" w:rsidRPr="002C733D" w:rsidRDefault="002C733D" w:rsidP="002C733D">
      <w:pPr>
        <w:widowControl w:val="0"/>
      </w:pPr>
      <w:r w:rsidRPr="002C733D">
        <w:t xml:space="preserve">The </w:t>
      </w:r>
      <w:r w:rsidR="007266C0" w:rsidRPr="002C733D">
        <w:t>Kaplan–Meier estimates of overall survival in the irAE (patients who developed irAE within 2.7 months since initiation of ICIs) and no-irAE groups (</w:t>
      </w:r>
      <w:r w:rsidR="00F03080">
        <w:t>hazard ratio</w:t>
      </w:r>
      <w:r w:rsidR="00F03080" w:rsidRPr="002C733D">
        <w:t xml:space="preserve"> </w:t>
      </w:r>
      <w:r w:rsidR="007266C0" w:rsidRPr="002C733D">
        <w:t xml:space="preserve">adjusted according to the primary tumor). Patients who had events within 2.7 months were excluded. </w:t>
      </w:r>
    </w:p>
    <w:p w14:paraId="215DE042" w14:textId="479A74EC" w:rsidR="007266C0" w:rsidRPr="002C733D" w:rsidRDefault="007266C0" w:rsidP="002C733D">
      <w:pPr>
        <w:pStyle w:val="Reference"/>
        <w:spacing w:line="480" w:lineRule="auto"/>
        <w:ind w:left="0" w:firstLine="0"/>
        <w:rPr>
          <w:rFonts w:ascii="Arial" w:hAnsi="Arial" w:cs="Arial"/>
          <w:sz w:val="20"/>
        </w:rPr>
      </w:pPr>
      <w:r w:rsidRPr="002C733D">
        <w:rPr>
          <w:rFonts w:ascii="Arial" w:hAnsi="Arial" w:cs="Arial"/>
          <w:sz w:val="20"/>
        </w:rPr>
        <w:t xml:space="preserve">Abbreviation: </w:t>
      </w:r>
      <w:r w:rsidR="0096028C">
        <w:rPr>
          <w:rFonts w:ascii="Arial" w:hAnsi="Arial" w:cs="Arial"/>
          <w:sz w:val="20"/>
          <w:lang w:val="en-US"/>
        </w:rPr>
        <w:t>ICIs, immune checkpoint inhibitors;</w:t>
      </w:r>
      <w:r w:rsidR="0096028C" w:rsidRPr="002C733D">
        <w:rPr>
          <w:rFonts w:ascii="Arial" w:hAnsi="Arial" w:cs="Arial"/>
          <w:sz w:val="20"/>
        </w:rPr>
        <w:t xml:space="preserve"> </w:t>
      </w:r>
      <w:r w:rsidR="0096028C">
        <w:rPr>
          <w:rFonts w:ascii="Arial" w:hAnsi="Arial" w:cs="Arial"/>
          <w:sz w:val="20"/>
        </w:rPr>
        <w:t>i</w:t>
      </w:r>
      <w:r w:rsidRPr="002C733D">
        <w:rPr>
          <w:rFonts w:ascii="Arial" w:hAnsi="Arial" w:cs="Arial"/>
          <w:sz w:val="20"/>
        </w:rPr>
        <w:t>rAE, immune-related adverse events.</w:t>
      </w:r>
      <w:r w:rsidRPr="002C733D">
        <w:rPr>
          <w:rFonts w:ascii="Arial" w:hAnsi="Arial" w:cs="Arial"/>
          <w:sz w:val="20"/>
        </w:rPr>
        <w:br w:type="page"/>
      </w:r>
    </w:p>
    <w:p w14:paraId="15734957" w14:textId="46C970D8" w:rsidR="00E4229D" w:rsidRPr="002C733D" w:rsidRDefault="00E4229D" w:rsidP="002C733D">
      <w:pPr>
        <w:widowControl w:val="0"/>
        <w:rPr>
          <w:b/>
        </w:rPr>
      </w:pPr>
      <w:r w:rsidRPr="002C733D">
        <w:rPr>
          <w:b/>
          <w:noProof/>
          <w:lang w:val="en-US"/>
        </w:rPr>
        <w:lastRenderedPageBreak/>
        <w:drawing>
          <wp:inline distT="0" distB="0" distL="0" distR="0" wp14:anchorId="347F5ADA" wp14:editId="6A2D0849">
            <wp:extent cx="5377343" cy="4600616"/>
            <wp:effectExtent l="0" t="0" r="0" b="0"/>
            <wp:docPr id="1" name="図 1" descr="テーブル, 花火, 夜, ホワイ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7554-Supplementary-Figure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546" cy="46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C36D9" w14:textId="77777777" w:rsidR="007266C0" w:rsidRPr="002C733D" w:rsidRDefault="007266C0" w:rsidP="002C733D">
      <w:pPr>
        <w:widowControl w:val="0"/>
        <w:rPr>
          <w:b/>
        </w:rPr>
      </w:pPr>
    </w:p>
    <w:p w14:paraId="716590F5" w14:textId="7A7F4209" w:rsidR="007266C0" w:rsidRPr="002C733D" w:rsidRDefault="00CE2300" w:rsidP="002C733D">
      <w:pPr>
        <w:widowControl w:val="0"/>
      </w:pPr>
      <w:r w:rsidRPr="002C733D">
        <w:rPr>
          <w:b/>
        </w:rPr>
        <w:t xml:space="preserve">Supplementary Figure </w:t>
      </w:r>
      <w:r w:rsidR="007266C0" w:rsidRPr="002C733D">
        <w:rPr>
          <w:b/>
        </w:rPr>
        <w:t>2</w:t>
      </w:r>
      <w:r w:rsidRPr="002C733D">
        <w:t xml:space="preserve"> Box plot of time-to-onset </w:t>
      </w:r>
      <w:r w:rsidR="00F03080">
        <w:t>of</w:t>
      </w:r>
      <w:r w:rsidR="00F03080" w:rsidRPr="002C733D">
        <w:t xml:space="preserve"> </w:t>
      </w:r>
      <w:r w:rsidRPr="002C733D">
        <w:t>any irAE</w:t>
      </w:r>
    </w:p>
    <w:p w14:paraId="71459C01" w14:textId="56809850" w:rsidR="008C2ECB" w:rsidRPr="002C733D" w:rsidRDefault="008C2ECB" w:rsidP="002C733D">
      <w:pPr>
        <w:widowControl w:val="0"/>
      </w:pPr>
      <w:r w:rsidRPr="002C733D">
        <w:t>Abbreviation: irAE, immune-related adverse events.</w:t>
      </w:r>
    </w:p>
    <w:p w14:paraId="3F0BFB87" w14:textId="77777777" w:rsidR="00E4229D" w:rsidRPr="002C733D" w:rsidRDefault="00E4229D" w:rsidP="002C733D">
      <w:r w:rsidRPr="002C733D">
        <w:br w:type="page"/>
      </w:r>
    </w:p>
    <w:p w14:paraId="51AAF5A8" w14:textId="77777777" w:rsidR="00CE2300" w:rsidRPr="002C733D" w:rsidRDefault="00CE2300" w:rsidP="002C733D">
      <w:pPr>
        <w:widowControl w:val="0"/>
      </w:pPr>
    </w:p>
    <w:p w14:paraId="329159D8" w14:textId="05285A5D" w:rsidR="00E4229D" w:rsidRPr="002C733D" w:rsidRDefault="000A65CE" w:rsidP="002C733D">
      <w:pPr>
        <w:widowControl w:val="0"/>
      </w:pPr>
      <w:r w:rsidRPr="002C733D">
        <w:rPr>
          <w:noProof/>
          <w:lang w:val="en-US"/>
        </w:rPr>
        <w:drawing>
          <wp:inline distT="0" distB="0" distL="0" distR="0" wp14:anchorId="3C63B32D" wp14:editId="59012505">
            <wp:extent cx="5456419" cy="4345820"/>
            <wp:effectExtent l="0" t="0" r="5080" b="0"/>
            <wp:docPr id="3" name="図 3" descr="文字と写真のスクリーンショッ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7554-Supplementary-Figure-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805" cy="437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015CB" w14:textId="6524933A" w:rsidR="002C733D" w:rsidRPr="002C733D" w:rsidRDefault="002C733D" w:rsidP="002C733D">
      <w:pPr>
        <w:widowControl w:val="0"/>
      </w:pPr>
      <w:r w:rsidRPr="002C733D">
        <w:rPr>
          <w:b/>
        </w:rPr>
        <w:t xml:space="preserve">Supplementary Figure </w:t>
      </w:r>
      <w:r>
        <w:rPr>
          <w:b/>
        </w:rPr>
        <w:t>3</w:t>
      </w:r>
      <w:r w:rsidRPr="002C733D">
        <w:t xml:space="preserve"> Kaplan–Meier estimation of overall survival</w:t>
      </w:r>
    </w:p>
    <w:p w14:paraId="3BB6669D" w14:textId="4524C35D" w:rsidR="002C733D" w:rsidRDefault="002C733D" w:rsidP="002C733D">
      <w:pPr>
        <w:widowControl w:val="0"/>
      </w:pPr>
      <w:r>
        <w:t>The Kaplan–Meier estimates of time to treatment failure in the multiple irAEs and single irAE groups (</w:t>
      </w:r>
      <w:r w:rsidR="0096028C">
        <w:t>hazard ratio</w:t>
      </w:r>
      <w:r>
        <w:t xml:space="preserve"> adjusted according to the primary tumor).</w:t>
      </w:r>
    </w:p>
    <w:p w14:paraId="4BF5EE25" w14:textId="5F8B606A" w:rsidR="002C733D" w:rsidRPr="002C733D" w:rsidRDefault="002C733D" w:rsidP="002C733D">
      <w:pPr>
        <w:widowControl w:val="0"/>
      </w:pPr>
      <w:r>
        <w:t>Abbreviation: irAE, immune-related adverse events.</w:t>
      </w:r>
    </w:p>
    <w:sectPr w:rsidR="002C733D" w:rsidRPr="002C733D" w:rsidSect="00FB5887">
      <w:footerReference w:type="even" r:id="rId11"/>
      <w:footerReference w:type="default" r:id="rId12"/>
      <w:pgSz w:w="11906" w:h="16838"/>
      <w:pgMar w:top="1701" w:right="1701" w:bottom="1701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73A8F" w14:textId="77777777" w:rsidR="00E84172" w:rsidRDefault="00E84172" w:rsidP="00CB2D41">
      <w:pPr>
        <w:spacing w:line="240" w:lineRule="auto"/>
      </w:pPr>
      <w:r>
        <w:separator/>
      </w:r>
    </w:p>
  </w:endnote>
  <w:endnote w:type="continuationSeparator" w:id="0">
    <w:p w14:paraId="5764C83F" w14:textId="77777777" w:rsidR="00E84172" w:rsidRDefault="00E84172" w:rsidP="00CB2D41">
      <w:pPr>
        <w:spacing w:line="240" w:lineRule="auto"/>
      </w:pPr>
      <w:r>
        <w:continuationSeparator/>
      </w:r>
    </w:p>
  </w:endnote>
  <w:endnote w:type="continuationNotice" w:id="1">
    <w:p w14:paraId="015C8059" w14:textId="77777777" w:rsidR="00E84172" w:rsidRDefault="00E84172" w:rsidP="00CB2D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 OT 6499 4a 16">
    <w:altName w:val="ＭＳ ゴシック"/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365261039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4196D6CE" w14:textId="7B1B2FA8" w:rsidR="001020DA" w:rsidRDefault="001020DA" w:rsidP="00485700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4A2256BC" w14:textId="77777777" w:rsidR="001020DA" w:rsidRDefault="001020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-561559448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1F7FE56" w14:textId="08A5E981" w:rsidR="001020DA" w:rsidRDefault="001020DA" w:rsidP="00485700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167C76"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87F20E0" w14:textId="745329CE" w:rsidR="001020DA" w:rsidRPr="001020DA" w:rsidRDefault="001020DA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8E31B" w14:textId="77777777" w:rsidR="00E84172" w:rsidRDefault="00E84172" w:rsidP="00CB2D41">
      <w:pPr>
        <w:spacing w:line="240" w:lineRule="auto"/>
      </w:pPr>
      <w:r>
        <w:separator/>
      </w:r>
    </w:p>
  </w:footnote>
  <w:footnote w:type="continuationSeparator" w:id="0">
    <w:p w14:paraId="3B930A60" w14:textId="77777777" w:rsidR="00E84172" w:rsidRDefault="00E84172" w:rsidP="00CB2D41">
      <w:pPr>
        <w:spacing w:line="240" w:lineRule="auto"/>
      </w:pPr>
      <w:r>
        <w:continuationSeparator/>
      </w:r>
    </w:p>
  </w:footnote>
  <w:footnote w:type="continuationNotice" w:id="1">
    <w:p w14:paraId="4A879B9E" w14:textId="77777777" w:rsidR="00E84172" w:rsidRDefault="00E84172" w:rsidP="00CB2D4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7881"/>
    <w:multiLevelType w:val="multilevel"/>
    <w:tmpl w:val="65969CC6"/>
    <w:lvl w:ilvl="0">
      <w:start w:val="1"/>
      <w:numFmt w:val="decimal"/>
      <w:lvlText w:val="%1."/>
      <w:lvlJc w:val="left"/>
      <w:pPr>
        <w:ind w:left="132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C6E7D"/>
    <w:multiLevelType w:val="hybridMultilevel"/>
    <w:tmpl w:val="5AC6F604"/>
    <w:lvl w:ilvl="0" w:tplc="D1F09DF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C0D89"/>
    <w:multiLevelType w:val="multilevel"/>
    <w:tmpl w:val="EBF0152E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A36EC"/>
    <w:multiLevelType w:val="hybridMultilevel"/>
    <w:tmpl w:val="6D04C8D2"/>
    <w:lvl w:ilvl="0" w:tplc="D84428E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D84428E6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179F6F54"/>
    <w:multiLevelType w:val="multilevel"/>
    <w:tmpl w:val="7F72E0F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6F4A91"/>
    <w:multiLevelType w:val="multilevel"/>
    <w:tmpl w:val="C8EEC79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56BF5"/>
    <w:multiLevelType w:val="hybridMultilevel"/>
    <w:tmpl w:val="98405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2BEE"/>
    <w:multiLevelType w:val="hybridMultilevel"/>
    <w:tmpl w:val="2E5E44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D84428E6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325F3235"/>
    <w:multiLevelType w:val="multilevel"/>
    <w:tmpl w:val="B992BA5E"/>
    <w:lvl w:ilvl="0">
      <w:start w:val="1"/>
      <w:numFmt w:val="decimal"/>
      <w:lvlText w:val=""/>
      <w:lvlJc w:val="left"/>
      <w:pPr>
        <w:ind w:left="360" w:hanging="36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F8727C"/>
    <w:multiLevelType w:val="multilevel"/>
    <w:tmpl w:val="92B25EE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ED22D1"/>
    <w:multiLevelType w:val="multilevel"/>
    <w:tmpl w:val="CDEA12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574F9F"/>
    <w:multiLevelType w:val="hybridMultilevel"/>
    <w:tmpl w:val="AD0E8656"/>
    <w:lvl w:ilvl="0" w:tplc="E864E6E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EC23DAB"/>
    <w:multiLevelType w:val="multilevel"/>
    <w:tmpl w:val="2506A55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563419"/>
    <w:multiLevelType w:val="hybridMultilevel"/>
    <w:tmpl w:val="A2CE4080"/>
    <w:lvl w:ilvl="0" w:tplc="D84428E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D84428E6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4" w15:restartNumberingAfterBreak="0">
    <w:nsid w:val="5099501D"/>
    <w:multiLevelType w:val="multilevel"/>
    <w:tmpl w:val="58481CD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5" w15:restartNumberingAfterBreak="0">
    <w:nsid w:val="595846C3"/>
    <w:multiLevelType w:val="multilevel"/>
    <w:tmpl w:val="B68E08F0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8C1A4A"/>
    <w:multiLevelType w:val="multilevel"/>
    <w:tmpl w:val="6520EB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4021C5"/>
    <w:multiLevelType w:val="multilevel"/>
    <w:tmpl w:val="6950ACE8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156CDB"/>
    <w:multiLevelType w:val="multilevel"/>
    <w:tmpl w:val="CE74C422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560550"/>
    <w:multiLevelType w:val="hybridMultilevel"/>
    <w:tmpl w:val="EA5EAF8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7" w:tentative="1">
      <w:start w:val="1"/>
      <w:numFmt w:val="aiueoFullWidth"/>
      <w:lvlText w:val="(%2)"/>
      <w:lvlJc w:val="left"/>
      <w:pPr>
        <w:ind w:left="1800" w:hanging="48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7" w:tentative="1">
      <w:start w:val="1"/>
      <w:numFmt w:val="aiueoFullWidth"/>
      <w:lvlText w:val="(%5)"/>
      <w:lvlJc w:val="left"/>
      <w:pPr>
        <w:ind w:left="32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7" w:tentative="1">
      <w:start w:val="1"/>
      <w:numFmt w:val="aiueoFullWidth"/>
      <w:lvlText w:val="(%8)"/>
      <w:lvlJc w:val="left"/>
      <w:pPr>
        <w:ind w:left="4680" w:hanging="48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80"/>
      </w:p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14"/>
  </w:num>
  <w:num w:numId="5">
    <w:abstractNumId w:val="9"/>
  </w:num>
  <w:num w:numId="6">
    <w:abstractNumId w:val="4"/>
  </w:num>
  <w:num w:numId="7">
    <w:abstractNumId w:val="0"/>
  </w:num>
  <w:num w:numId="8">
    <w:abstractNumId w:val="18"/>
  </w:num>
  <w:num w:numId="9">
    <w:abstractNumId w:val="17"/>
  </w:num>
  <w:num w:numId="10">
    <w:abstractNumId w:val="15"/>
  </w:num>
  <w:num w:numId="11">
    <w:abstractNumId w:val="5"/>
  </w:num>
  <w:num w:numId="12">
    <w:abstractNumId w:val="8"/>
  </w:num>
  <w:num w:numId="13">
    <w:abstractNumId w:val="2"/>
  </w:num>
  <w:num w:numId="14">
    <w:abstractNumId w:val="19"/>
  </w:num>
  <w:num w:numId="15">
    <w:abstractNumId w:val="13"/>
  </w:num>
  <w:num w:numId="16">
    <w:abstractNumId w:val="7"/>
  </w:num>
  <w:num w:numId="17">
    <w:abstractNumId w:val="3"/>
  </w:num>
  <w:num w:numId="18">
    <w:abstractNumId w:val="6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bordersDoNotSurroundHeader/>
  <w:bordersDoNotSurroundFooter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9F"/>
    <w:rsid w:val="000031D6"/>
    <w:rsid w:val="00010D7A"/>
    <w:rsid w:val="00015FC3"/>
    <w:rsid w:val="00022578"/>
    <w:rsid w:val="00027FE2"/>
    <w:rsid w:val="000313F1"/>
    <w:rsid w:val="000333E9"/>
    <w:rsid w:val="0003678D"/>
    <w:rsid w:val="0005416D"/>
    <w:rsid w:val="0005518C"/>
    <w:rsid w:val="000551FA"/>
    <w:rsid w:val="000565ED"/>
    <w:rsid w:val="000605D9"/>
    <w:rsid w:val="00062E27"/>
    <w:rsid w:val="000655C0"/>
    <w:rsid w:val="00073B73"/>
    <w:rsid w:val="00074709"/>
    <w:rsid w:val="00084761"/>
    <w:rsid w:val="00093622"/>
    <w:rsid w:val="000A1FF9"/>
    <w:rsid w:val="000A412F"/>
    <w:rsid w:val="000A65CE"/>
    <w:rsid w:val="000B2E25"/>
    <w:rsid w:val="000C32E8"/>
    <w:rsid w:val="000C5548"/>
    <w:rsid w:val="000D7467"/>
    <w:rsid w:val="000E2E20"/>
    <w:rsid w:val="000E4763"/>
    <w:rsid w:val="000F2AE2"/>
    <w:rsid w:val="001020DA"/>
    <w:rsid w:val="00104398"/>
    <w:rsid w:val="0010492D"/>
    <w:rsid w:val="001129D9"/>
    <w:rsid w:val="00117E82"/>
    <w:rsid w:val="0014012D"/>
    <w:rsid w:val="00141F64"/>
    <w:rsid w:val="00143F8F"/>
    <w:rsid w:val="00152145"/>
    <w:rsid w:val="00152E54"/>
    <w:rsid w:val="00152F82"/>
    <w:rsid w:val="001554B5"/>
    <w:rsid w:val="00161800"/>
    <w:rsid w:val="00164FD8"/>
    <w:rsid w:val="00167C76"/>
    <w:rsid w:val="001710F3"/>
    <w:rsid w:val="00176ED0"/>
    <w:rsid w:val="00180BA0"/>
    <w:rsid w:val="00182871"/>
    <w:rsid w:val="0019102E"/>
    <w:rsid w:val="00192AD0"/>
    <w:rsid w:val="00195030"/>
    <w:rsid w:val="001957F4"/>
    <w:rsid w:val="001A160B"/>
    <w:rsid w:val="001A677A"/>
    <w:rsid w:val="001A6E35"/>
    <w:rsid w:val="001B1A2A"/>
    <w:rsid w:val="001C2A72"/>
    <w:rsid w:val="001C4A0B"/>
    <w:rsid w:val="001E0611"/>
    <w:rsid w:val="001E31FC"/>
    <w:rsid w:val="001F0390"/>
    <w:rsid w:val="001F1D8A"/>
    <w:rsid w:val="001F2957"/>
    <w:rsid w:val="001F2BE7"/>
    <w:rsid w:val="002035E0"/>
    <w:rsid w:val="002140E0"/>
    <w:rsid w:val="002201F1"/>
    <w:rsid w:val="0022683D"/>
    <w:rsid w:val="0022716E"/>
    <w:rsid w:val="002349EE"/>
    <w:rsid w:val="0023591C"/>
    <w:rsid w:val="00243280"/>
    <w:rsid w:val="00246740"/>
    <w:rsid w:val="00260BC9"/>
    <w:rsid w:val="002619CE"/>
    <w:rsid w:val="00266F1C"/>
    <w:rsid w:val="00270E9D"/>
    <w:rsid w:val="00274763"/>
    <w:rsid w:val="00275A8D"/>
    <w:rsid w:val="002768ED"/>
    <w:rsid w:val="00283C74"/>
    <w:rsid w:val="00286297"/>
    <w:rsid w:val="00292387"/>
    <w:rsid w:val="002A4F0D"/>
    <w:rsid w:val="002B3754"/>
    <w:rsid w:val="002C3BAF"/>
    <w:rsid w:val="002C733D"/>
    <w:rsid w:val="002D12F4"/>
    <w:rsid w:val="002D1ADC"/>
    <w:rsid w:val="002D3C80"/>
    <w:rsid w:val="002F1C83"/>
    <w:rsid w:val="00303E49"/>
    <w:rsid w:val="00310180"/>
    <w:rsid w:val="00321599"/>
    <w:rsid w:val="00333AE5"/>
    <w:rsid w:val="00335500"/>
    <w:rsid w:val="00342C8B"/>
    <w:rsid w:val="003461A4"/>
    <w:rsid w:val="00352575"/>
    <w:rsid w:val="0036043D"/>
    <w:rsid w:val="00360C44"/>
    <w:rsid w:val="00361D86"/>
    <w:rsid w:val="0036261B"/>
    <w:rsid w:val="0036292D"/>
    <w:rsid w:val="00364E68"/>
    <w:rsid w:val="00367765"/>
    <w:rsid w:val="00376EEB"/>
    <w:rsid w:val="00381ABA"/>
    <w:rsid w:val="00393CD9"/>
    <w:rsid w:val="003948B4"/>
    <w:rsid w:val="003A641F"/>
    <w:rsid w:val="003A7C48"/>
    <w:rsid w:val="003B3BFD"/>
    <w:rsid w:val="003C342B"/>
    <w:rsid w:val="003C6926"/>
    <w:rsid w:val="003D44F1"/>
    <w:rsid w:val="003D556C"/>
    <w:rsid w:val="003D66ED"/>
    <w:rsid w:val="003E02D4"/>
    <w:rsid w:val="003F6A40"/>
    <w:rsid w:val="00405D38"/>
    <w:rsid w:val="00423910"/>
    <w:rsid w:val="00426160"/>
    <w:rsid w:val="00426206"/>
    <w:rsid w:val="00437D69"/>
    <w:rsid w:val="00451D53"/>
    <w:rsid w:val="0045398C"/>
    <w:rsid w:val="00455A7D"/>
    <w:rsid w:val="0045779C"/>
    <w:rsid w:val="004732B7"/>
    <w:rsid w:val="004742C5"/>
    <w:rsid w:val="00485770"/>
    <w:rsid w:val="00490BAE"/>
    <w:rsid w:val="004935C7"/>
    <w:rsid w:val="004B2F66"/>
    <w:rsid w:val="004B7AFD"/>
    <w:rsid w:val="004C24AB"/>
    <w:rsid w:val="004C6993"/>
    <w:rsid w:val="004D4977"/>
    <w:rsid w:val="004E3701"/>
    <w:rsid w:val="004F0CD8"/>
    <w:rsid w:val="004F0F88"/>
    <w:rsid w:val="0050308F"/>
    <w:rsid w:val="00506875"/>
    <w:rsid w:val="00520AA1"/>
    <w:rsid w:val="00520C00"/>
    <w:rsid w:val="00522F8C"/>
    <w:rsid w:val="00523966"/>
    <w:rsid w:val="0052615F"/>
    <w:rsid w:val="00532596"/>
    <w:rsid w:val="00534E9A"/>
    <w:rsid w:val="00534FEC"/>
    <w:rsid w:val="00543DB0"/>
    <w:rsid w:val="00553CB7"/>
    <w:rsid w:val="00567968"/>
    <w:rsid w:val="00570511"/>
    <w:rsid w:val="005817A8"/>
    <w:rsid w:val="0058579C"/>
    <w:rsid w:val="00587C00"/>
    <w:rsid w:val="00592F52"/>
    <w:rsid w:val="005B11CF"/>
    <w:rsid w:val="005B6098"/>
    <w:rsid w:val="005C1A57"/>
    <w:rsid w:val="005C5CC4"/>
    <w:rsid w:val="005D45BB"/>
    <w:rsid w:val="005E0239"/>
    <w:rsid w:val="005E6103"/>
    <w:rsid w:val="005F28D5"/>
    <w:rsid w:val="005F68FD"/>
    <w:rsid w:val="00617ED2"/>
    <w:rsid w:val="00624D4F"/>
    <w:rsid w:val="006277FB"/>
    <w:rsid w:val="00627FFB"/>
    <w:rsid w:val="00644BC3"/>
    <w:rsid w:val="00650996"/>
    <w:rsid w:val="006515FE"/>
    <w:rsid w:val="006517B0"/>
    <w:rsid w:val="00652960"/>
    <w:rsid w:val="00666A55"/>
    <w:rsid w:val="00672F8A"/>
    <w:rsid w:val="00674DFB"/>
    <w:rsid w:val="00685B0F"/>
    <w:rsid w:val="006A31CE"/>
    <w:rsid w:val="006B7FA4"/>
    <w:rsid w:val="006C35EA"/>
    <w:rsid w:val="006C63AF"/>
    <w:rsid w:val="006D2DAC"/>
    <w:rsid w:val="006D623D"/>
    <w:rsid w:val="006D6E16"/>
    <w:rsid w:val="006D7087"/>
    <w:rsid w:val="006E13F5"/>
    <w:rsid w:val="006F55DE"/>
    <w:rsid w:val="006F5B76"/>
    <w:rsid w:val="006F5D22"/>
    <w:rsid w:val="00716CFC"/>
    <w:rsid w:val="007202E5"/>
    <w:rsid w:val="00720A76"/>
    <w:rsid w:val="00721A4C"/>
    <w:rsid w:val="007266C0"/>
    <w:rsid w:val="007400ED"/>
    <w:rsid w:val="00752C63"/>
    <w:rsid w:val="00753C38"/>
    <w:rsid w:val="007546DF"/>
    <w:rsid w:val="00770E3E"/>
    <w:rsid w:val="0077175C"/>
    <w:rsid w:val="00786E4C"/>
    <w:rsid w:val="00791F7B"/>
    <w:rsid w:val="0079329A"/>
    <w:rsid w:val="007942EF"/>
    <w:rsid w:val="007B6B16"/>
    <w:rsid w:val="007B74F5"/>
    <w:rsid w:val="007C0715"/>
    <w:rsid w:val="007C44A7"/>
    <w:rsid w:val="007D5564"/>
    <w:rsid w:val="007E0D00"/>
    <w:rsid w:val="007F0964"/>
    <w:rsid w:val="007F587B"/>
    <w:rsid w:val="00802CE0"/>
    <w:rsid w:val="00803CD8"/>
    <w:rsid w:val="008103B2"/>
    <w:rsid w:val="0081064B"/>
    <w:rsid w:val="008229FD"/>
    <w:rsid w:val="00830553"/>
    <w:rsid w:val="008350D5"/>
    <w:rsid w:val="008369E4"/>
    <w:rsid w:val="00836E04"/>
    <w:rsid w:val="00850433"/>
    <w:rsid w:val="008518FF"/>
    <w:rsid w:val="00857862"/>
    <w:rsid w:val="008626AD"/>
    <w:rsid w:val="00865677"/>
    <w:rsid w:val="00866E0F"/>
    <w:rsid w:val="00876980"/>
    <w:rsid w:val="00880B91"/>
    <w:rsid w:val="00882F65"/>
    <w:rsid w:val="00885004"/>
    <w:rsid w:val="00892328"/>
    <w:rsid w:val="00893B8F"/>
    <w:rsid w:val="008957CB"/>
    <w:rsid w:val="00895FC5"/>
    <w:rsid w:val="00897DA3"/>
    <w:rsid w:val="008A001E"/>
    <w:rsid w:val="008A2FFE"/>
    <w:rsid w:val="008A7DDA"/>
    <w:rsid w:val="008B2900"/>
    <w:rsid w:val="008C2ECB"/>
    <w:rsid w:val="008C450B"/>
    <w:rsid w:val="008C7D5A"/>
    <w:rsid w:val="008D5B9F"/>
    <w:rsid w:val="008D63D9"/>
    <w:rsid w:val="008D6D59"/>
    <w:rsid w:val="008E4C29"/>
    <w:rsid w:val="008F0BD4"/>
    <w:rsid w:val="00900B08"/>
    <w:rsid w:val="009068B9"/>
    <w:rsid w:val="00907EBA"/>
    <w:rsid w:val="00915733"/>
    <w:rsid w:val="00930CCB"/>
    <w:rsid w:val="00940F90"/>
    <w:rsid w:val="00941711"/>
    <w:rsid w:val="00952BA6"/>
    <w:rsid w:val="0096028C"/>
    <w:rsid w:val="0096544A"/>
    <w:rsid w:val="00970C76"/>
    <w:rsid w:val="00976FF0"/>
    <w:rsid w:val="00980714"/>
    <w:rsid w:val="00992401"/>
    <w:rsid w:val="00992F5D"/>
    <w:rsid w:val="009A2D35"/>
    <w:rsid w:val="009A6CCF"/>
    <w:rsid w:val="009C0E75"/>
    <w:rsid w:val="009D4E57"/>
    <w:rsid w:val="009D5F71"/>
    <w:rsid w:val="009E1C0B"/>
    <w:rsid w:val="009E5262"/>
    <w:rsid w:val="009E7380"/>
    <w:rsid w:val="009F5E87"/>
    <w:rsid w:val="00A0047F"/>
    <w:rsid w:val="00A01BE1"/>
    <w:rsid w:val="00A05D3C"/>
    <w:rsid w:val="00A065E2"/>
    <w:rsid w:val="00A17D57"/>
    <w:rsid w:val="00A24348"/>
    <w:rsid w:val="00A27755"/>
    <w:rsid w:val="00A30F58"/>
    <w:rsid w:val="00A44170"/>
    <w:rsid w:val="00A6294E"/>
    <w:rsid w:val="00A63D3F"/>
    <w:rsid w:val="00A704C4"/>
    <w:rsid w:val="00A70717"/>
    <w:rsid w:val="00A75E5A"/>
    <w:rsid w:val="00A90757"/>
    <w:rsid w:val="00A92733"/>
    <w:rsid w:val="00A96910"/>
    <w:rsid w:val="00AA6587"/>
    <w:rsid w:val="00AA74FD"/>
    <w:rsid w:val="00AC63E0"/>
    <w:rsid w:val="00AD69A4"/>
    <w:rsid w:val="00AE0404"/>
    <w:rsid w:val="00AE2C89"/>
    <w:rsid w:val="00AE7B59"/>
    <w:rsid w:val="00AF603D"/>
    <w:rsid w:val="00B13809"/>
    <w:rsid w:val="00B144C4"/>
    <w:rsid w:val="00B163A1"/>
    <w:rsid w:val="00B24F75"/>
    <w:rsid w:val="00B37B06"/>
    <w:rsid w:val="00B44981"/>
    <w:rsid w:val="00B47DE4"/>
    <w:rsid w:val="00B47E7D"/>
    <w:rsid w:val="00B510D6"/>
    <w:rsid w:val="00B52B70"/>
    <w:rsid w:val="00B53664"/>
    <w:rsid w:val="00B56277"/>
    <w:rsid w:val="00B57C8B"/>
    <w:rsid w:val="00B619BA"/>
    <w:rsid w:val="00B62712"/>
    <w:rsid w:val="00B7714C"/>
    <w:rsid w:val="00B855F1"/>
    <w:rsid w:val="00B962E4"/>
    <w:rsid w:val="00B967CF"/>
    <w:rsid w:val="00BA0D75"/>
    <w:rsid w:val="00BB2DB8"/>
    <w:rsid w:val="00BB3A7C"/>
    <w:rsid w:val="00BC564E"/>
    <w:rsid w:val="00BC585C"/>
    <w:rsid w:val="00BC5AAA"/>
    <w:rsid w:val="00BC6D68"/>
    <w:rsid w:val="00BD55D0"/>
    <w:rsid w:val="00BE77E3"/>
    <w:rsid w:val="00BF16CA"/>
    <w:rsid w:val="00C00ED7"/>
    <w:rsid w:val="00C03ACD"/>
    <w:rsid w:val="00C03B26"/>
    <w:rsid w:val="00C15B3E"/>
    <w:rsid w:val="00C46AFE"/>
    <w:rsid w:val="00C47C03"/>
    <w:rsid w:val="00C546CF"/>
    <w:rsid w:val="00C57CAD"/>
    <w:rsid w:val="00C724AE"/>
    <w:rsid w:val="00C82495"/>
    <w:rsid w:val="00C866C4"/>
    <w:rsid w:val="00C87B35"/>
    <w:rsid w:val="00C9240D"/>
    <w:rsid w:val="00C9647A"/>
    <w:rsid w:val="00CA7BB0"/>
    <w:rsid w:val="00CB2D41"/>
    <w:rsid w:val="00CC36FF"/>
    <w:rsid w:val="00CE0C44"/>
    <w:rsid w:val="00CE2300"/>
    <w:rsid w:val="00CF03FD"/>
    <w:rsid w:val="00CF2E9C"/>
    <w:rsid w:val="00CF41A2"/>
    <w:rsid w:val="00CF5C05"/>
    <w:rsid w:val="00CF6E29"/>
    <w:rsid w:val="00D07F45"/>
    <w:rsid w:val="00D11A2C"/>
    <w:rsid w:val="00D212F6"/>
    <w:rsid w:val="00D21D28"/>
    <w:rsid w:val="00D334FA"/>
    <w:rsid w:val="00D34C3D"/>
    <w:rsid w:val="00D359DA"/>
    <w:rsid w:val="00D379E5"/>
    <w:rsid w:val="00D462F3"/>
    <w:rsid w:val="00D46398"/>
    <w:rsid w:val="00D50C42"/>
    <w:rsid w:val="00D50DEB"/>
    <w:rsid w:val="00D54ECF"/>
    <w:rsid w:val="00D57489"/>
    <w:rsid w:val="00D65824"/>
    <w:rsid w:val="00D67275"/>
    <w:rsid w:val="00D67B20"/>
    <w:rsid w:val="00D75AB4"/>
    <w:rsid w:val="00D75F01"/>
    <w:rsid w:val="00D84579"/>
    <w:rsid w:val="00D86F63"/>
    <w:rsid w:val="00D94084"/>
    <w:rsid w:val="00DA6726"/>
    <w:rsid w:val="00DC46E6"/>
    <w:rsid w:val="00DD2EF8"/>
    <w:rsid w:val="00DD6447"/>
    <w:rsid w:val="00DE4629"/>
    <w:rsid w:val="00DF0373"/>
    <w:rsid w:val="00DF35D5"/>
    <w:rsid w:val="00E0651F"/>
    <w:rsid w:val="00E07BE5"/>
    <w:rsid w:val="00E10304"/>
    <w:rsid w:val="00E10AE2"/>
    <w:rsid w:val="00E11878"/>
    <w:rsid w:val="00E20554"/>
    <w:rsid w:val="00E20CC3"/>
    <w:rsid w:val="00E31E9C"/>
    <w:rsid w:val="00E347E9"/>
    <w:rsid w:val="00E361C6"/>
    <w:rsid w:val="00E37703"/>
    <w:rsid w:val="00E4229D"/>
    <w:rsid w:val="00E5191D"/>
    <w:rsid w:val="00E579A7"/>
    <w:rsid w:val="00E6281D"/>
    <w:rsid w:val="00E63FB0"/>
    <w:rsid w:val="00E67A5F"/>
    <w:rsid w:val="00E8138F"/>
    <w:rsid w:val="00E84172"/>
    <w:rsid w:val="00E86C55"/>
    <w:rsid w:val="00E96ED7"/>
    <w:rsid w:val="00EA67E6"/>
    <w:rsid w:val="00EB4B03"/>
    <w:rsid w:val="00EC0526"/>
    <w:rsid w:val="00EC4C8D"/>
    <w:rsid w:val="00EC505B"/>
    <w:rsid w:val="00EC71C7"/>
    <w:rsid w:val="00ED1FF8"/>
    <w:rsid w:val="00ED5316"/>
    <w:rsid w:val="00EE32D0"/>
    <w:rsid w:val="00EF3727"/>
    <w:rsid w:val="00EF7F55"/>
    <w:rsid w:val="00F03080"/>
    <w:rsid w:val="00F038AA"/>
    <w:rsid w:val="00F13F36"/>
    <w:rsid w:val="00F142C9"/>
    <w:rsid w:val="00F210F2"/>
    <w:rsid w:val="00F27AA0"/>
    <w:rsid w:val="00F303A9"/>
    <w:rsid w:val="00F34153"/>
    <w:rsid w:val="00F409D8"/>
    <w:rsid w:val="00F42820"/>
    <w:rsid w:val="00F47DD6"/>
    <w:rsid w:val="00F50261"/>
    <w:rsid w:val="00F52653"/>
    <w:rsid w:val="00F5281E"/>
    <w:rsid w:val="00F52D4A"/>
    <w:rsid w:val="00F5787C"/>
    <w:rsid w:val="00F64616"/>
    <w:rsid w:val="00F712EB"/>
    <w:rsid w:val="00F74206"/>
    <w:rsid w:val="00F83B5A"/>
    <w:rsid w:val="00F85A6F"/>
    <w:rsid w:val="00F90E1A"/>
    <w:rsid w:val="00F941D3"/>
    <w:rsid w:val="00F9723A"/>
    <w:rsid w:val="00F97CE9"/>
    <w:rsid w:val="00FA1669"/>
    <w:rsid w:val="00FA41D1"/>
    <w:rsid w:val="00FA7EA5"/>
    <w:rsid w:val="00FB3878"/>
    <w:rsid w:val="00FB5887"/>
    <w:rsid w:val="00FC6AD9"/>
    <w:rsid w:val="00FE2B72"/>
    <w:rsid w:val="00FE2E16"/>
    <w:rsid w:val="00FE305D"/>
    <w:rsid w:val="00FE45B3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8DD438"/>
  <w15:docId w15:val="{AF05A296-CF43-8F4D-85FC-67D64444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D41"/>
    <w:pPr>
      <w:spacing w:line="480" w:lineRule="auto"/>
    </w:pPr>
    <w:rPr>
      <w:rFonts w:ascii="Arial" w:eastAsia="Arial" w:hAnsi="Arial" w:cs="Arial"/>
      <w:lang w:val="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0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uiPriority w:val="39"/>
    <w:rPr>
      <w:rFonts w:ascii="Calibri" w:eastAsia="Calibri" w:hAnsi="Calibri" w:cs="Calibri"/>
      <w:sz w:val="21"/>
    </w:rPr>
    <w:tblPr>
      <w:tblBorders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  <w:insideH w:val="single" w:sz="4" w:space="4" w:color="auto"/>
        <w:insideV w:val="single" w:sz="4" w:space="4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uiPriority w:val="99"/>
    <w:rsid w:val="00CB2D41"/>
    <w:rPr>
      <w:sz w:val="16"/>
    </w:rPr>
  </w:style>
  <w:style w:type="character" w:styleId="a5">
    <w:name w:val="endnote reference"/>
    <w:uiPriority w:val="99"/>
    <w:rsid w:val="00CB2D41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None">
    <w:name w:val="None"/>
    <w:hidden/>
    <w:rPr>
      <w:vertAlign w:val="baseline"/>
    </w:rPr>
  </w:style>
  <w:style w:type="paragraph" w:styleId="a7">
    <w:name w:val="footer"/>
    <w:basedOn w:val="a"/>
    <w:link w:val="a8"/>
    <w:uiPriority w:val="99"/>
    <w:rsid w:val="00CB2D41"/>
    <w:pPr>
      <w:tabs>
        <w:tab w:val="center" w:pos="4320"/>
        <w:tab w:val="right" w:pos="8640"/>
      </w:tabs>
    </w:pPr>
  </w:style>
  <w:style w:type="character" w:styleId="a9">
    <w:name w:val="page number"/>
    <w:basedOn w:val="a0"/>
    <w:uiPriority w:val="99"/>
    <w:rsid w:val="00CB2D41"/>
  </w:style>
  <w:style w:type="character" w:styleId="aa">
    <w:name w:val="Emphasis"/>
    <w:uiPriority w:val="20"/>
    <w:qFormat/>
    <w:rPr>
      <w:b/>
      <w:i w:val="0"/>
    </w:rPr>
  </w:style>
  <w:style w:type="character" w:styleId="ab">
    <w:name w:val="Hyperlink"/>
    <w:uiPriority w:val="99"/>
    <w:rsid w:val="00CB2D41"/>
    <w:rPr>
      <w:color w:val="0000FF"/>
      <w:u w:val="single"/>
    </w:rPr>
  </w:style>
  <w:style w:type="paragraph" w:styleId="ac">
    <w:name w:val="annotation text"/>
    <w:basedOn w:val="a"/>
    <w:link w:val="ad"/>
    <w:uiPriority w:val="99"/>
    <w:rsid w:val="00CB2D41"/>
    <w:rPr>
      <w:rFonts w:ascii="Calibri" w:eastAsia="Calibri" w:hAnsi="Calibri" w:cs="Calibri"/>
    </w:rPr>
  </w:style>
  <w:style w:type="paragraph" w:styleId="ae">
    <w:name w:val="annotation subject"/>
    <w:basedOn w:val="ac"/>
    <w:link w:val="af"/>
    <w:uiPriority w:val="99"/>
    <w:rsid w:val="00CB2D41"/>
    <w:rPr>
      <w:rFonts w:ascii="Arial" w:eastAsia="Arial" w:hAnsi="Arial" w:cs="Arial"/>
      <w:b/>
    </w:rPr>
  </w:style>
  <w:style w:type="paragraph" w:styleId="af0">
    <w:name w:val="Balloon Text"/>
    <w:basedOn w:val="a"/>
    <w:link w:val="af1"/>
    <w:uiPriority w:val="99"/>
    <w:rsid w:val="00CB2D41"/>
    <w:rPr>
      <w:rFonts w:ascii="Tahoma" w:eastAsia="Tahoma" w:hAnsi="Tahoma" w:cs="Tahoma"/>
      <w:sz w:val="16"/>
    </w:rPr>
  </w:style>
  <w:style w:type="paragraph" w:customStyle="1" w:styleId="EndNoteBibliography">
    <w:name w:val="EndNote Bibliography"/>
    <w:basedOn w:val="a"/>
    <w:link w:val="EndNoteBibliography0"/>
    <w:rsid w:val="00CB2D41"/>
    <w:pPr>
      <w:spacing w:line="240" w:lineRule="auto"/>
      <w:jc w:val="both"/>
    </w:pPr>
  </w:style>
  <w:style w:type="character" w:styleId="af2">
    <w:name w:val="line number"/>
    <w:basedOn w:val="a0"/>
    <w:uiPriority w:val="99"/>
    <w:rsid w:val="00CB2D41"/>
  </w:style>
  <w:style w:type="paragraph" w:styleId="af3">
    <w:name w:val="List Paragraph"/>
    <w:basedOn w:val="a"/>
    <w:uiPriority w:val="34"/>
    <w:qFormat/>
    <w:rsid w:val="00CB2D41"/>
    <w:pPr>
      <w:spacing w:line="240" w:lineRule="auto"/>
      <w:ind w:left="960"/>
      <w:jc w:val="both"/>
    </w:pPr>
    <w:rPr>
      <w:rFonts w:ascii="Calibri" w:eastAsia="Calibri" w:hAnsi="Calibri" w:cs="Calibri"/>
      <w:sz w:val="21"/>
    </w:rPr>
  </w:style>
  <w:style w:type="paragraph" w:styleId="af4">
    <w:name w:val="header"/>
    <w:basedOn w:val="a"/>
    <w:link w:val="af5"/>
    <w:uiPriority w:val="99"/>
    <w:rsid w:val="00CB2D41"/>
    <w:pPr>
      <w:tabs>
        <w:tab w:val="center" w:pos="4252"/>
        <w:tab w:val="right" w:pos="8504"/>
      </w:tabs>
      <w:snapToGrid w:val="0"/>
      <w:spacing w:line="240" w:lineRule="auto"/>
      <w:jc w:val="both"/>
    </w:pPr>
    <w:rPr>
      <w:rFonts w:ascii="Calibri" w:eastAsia="Calibri" w:hAnsi="Calibri" w:cs="Calibri"/>
      <w:sz w:val="21"/>
    </w:rPr>
  </w:style>
  <w:style w:type="paragraph" w:styleId="af6">
    <w:name w:val="Revision"/>
    <w:uiPriority w:val="99"/>
    <w:rsid w:val="00CB2D41"/>
    <w:rPr>
      <w:rFonts w:ascii="Calibri" w:eastAsia="Calibri" w:hAnsi="Calibri" w:cs="Calibri"/>
      <w:sz w:val="21"/>
    </w:rPr>
  </w:style>
  <w:style w:type="paragraph" w:customStyle="1" w:styleId="Default">
    <w:name w:val="Default"/>
    <w:rsid w:val="00CB2D41"/>
    <w:rPr>
      <w:rFonts w:ascii="Adv OT 6499 4a 16" w:eastAsia="Adv OT 6499 4a 16" w:hAnsi="Adv OT 6499 4a 16" w:cs="Adv OT 6499 4a 16"/>
      <w:color w:val="000000"/>
      <w:sz w:val="24"/>
    </w:rPr>
  </w:style>
  <w:style w:type="character" w:customStyle="1" w:styleId="A20">
    <w:name w:val="A2"/>
    <w:uiPriority w:val="99"/>
    <w:rPr>
      <w:b/>
      <w:color w:val="000000"/>
      <w:sz w:val="20"/>
    </w:rPr>
  </w:style>
  <w:style w:type="paragraph" w:customStyle="1" w:styleId="EndNoteBibliographyTitle">
    <w:name w:val="EndNote Bibliography Title"/>
    <w:basedOn w:val="a"/>
    <w:link w:val="EndNoteBibliographyTitle0"/>
    <w:qFormat/>
    <w:rsid w:val="00CB2D41"/>
    <w:pPr>
      <w:spacing w:line="240" w:lineRule="auto"/>
      <w:jc w:val="center"/>
    </w:pPr>
  </w:style>
  <w:style w:type="character" w:customStyle="1" w:styleId="11">
    <w:name w:val="未解決のメンション1"/>
    <w:uiPriority w:val="99"/>
    <w:rsid w:val="00CB2D41"/>
    <w:rPr>
      <w:color w:val="605E5C"/>
    </w:rPr>
  </w:style>
  <w:style w:type="character" w:customStyle="1" w:styleId="CommentReference1">
    <w:name w:val="Comment Reference1"/>
    <w:rPr>
      <w:sz w:val="18"/>
    </w:rPr>
  </w:style>
  <w:style w:type="character" w:customStyle="1" w:styleId="LineNumber1">
    <w:name w:val="Line Number1"/>
    <w:basedOn w:val="a0"/>
  </w:style>
  <w:style w:type="paragraph" w:customStyle="1" w:styleId="Heading">
    <w:name w:val="Heading"/>
    <w:basedOn w:val="a"/>
    <w:rsid w:val="00CB2D41"/>
    <w:pPr>
      <w:keepNext/>
      <w:spacing w:before="240" w:after="120" w:line="240" w:lineRule="auto"/>
      <w:jc w:val="both"/>
    </w:pPr>
    <w:rPr>
      <w:color w:val="000000"/>
      <w:sz w:val="28"/>
    </w:rPr>
  </w:style>
  <w:style w:type="paragraph" w:styleId="af7">
    <w:name w:val="Body Text"/>
    <w:basedOn w:val="a"/>
    <w:link w:val="af8"/>
    <w:rsid w:val="00CB2D41"/>
    <w:pPr>
      <w:spacing w:after="120" w:line="240" w:lineRule="auto"/>
      <w:jc w:val="both"/>
    </w:pPr>
    <w:rPr>
      <w:rFonts w:ascii="Adv OT 6499 4a 16" w:eastAsia="Adv OT 6499 4a 16" w:hAnsi="Adv OT 6499 4a 16" w:cs="Adv OT 6499 4a 16"/>
      <w:color w:val="000000"/>
      <w:sz w:val="24"/>
    </w:rPr>
  </w:style>
  <w:style w:type="paragraph" w:styleId="af9">
    <w:name w:val="List"/>
    <w:basedOn w:val="af7"/>
    <w:rsid w:val="00CB2D41"/>
  </w:style>
  <w:style w:type="paragraph" w:styleId="afa">
    <w:name w:val="caption"/>
    <w:basedOn w:val="a"/>
    <w:qFormat/>
    <w:rsid w:val="00CB2D41"/>
    <w:pPr>
      <w:spacing w:before="120" w:after="120" w:line="240" w:lineRule="auto"/>
      <w:jc w:val="both"/>
    </w:pPr>
    <w:rPr>
      <w:rFonts w:ascii="Adv OT 6499 4a 16" w:eastAsia="Adv OT 6499 4a 16" w:hAnsi="Adv OT 6499 4a 16" w:cs="Adv OT 6499 4a 16"/>
      <w:i/>
      <w:color w:val="000000"/>
      <w:sz w:val="24"/>
    </w:rPr>
  </w:style>
  <w:style w:type="paragraph" w:customStyle="1" w:styleId="Index">
    <w:name w:val="Index"/>
    <w:basedOn w:val="a"/>
    <w:rsid w:val="00CB2D41"/>
    <w:pPr>
      <w:spacing w:line="240" w:lineRule="auto"/>
      <w:jc w:val="both"/>
    </w:pPr>
    <w:rPr>
      <w:rFonts w:ascii="Adv OT 6499 4a 16" w:eastAsia="Adv OT 6499 4a 16" w:hAnsi="Adv OT 6499 4a 16" w:cs="Adv OT 6499 4a 16"/>
      <w:color w:val="000000"/>
      <w:sz w:val="24"/>
    </w:rPr>
  </w:style>
  <w:style w:type="paragraph" w:customStyle="1" w:styleId="CommentText1">
    <w:name w:val="Comment Text1"/>
    <w:basedOn w:val="a"/>
    <w:rsid w:val="00CB2D41"/>
    <w:pPr>
      <w:spacing w:line="240" w:lineRule="auto"/>
    </w:pPr>
    <w:rPr>
      <w:rFonts w:ascii="Adv OT 6499 4a 16" w:eastAsia="Adv OT 6499 4a 16" w:hAnsi="Adv OT 6499 4a 16" w:cs="Adv OT 6499 4a 16"/>
      <w:color w:val="000000"/>
      <w:sz w:val="24"/>
    </w:rPr>
  </w:style>
  <w:style w:type="paragraph" w:customStyle="1" w:styleId="CommentSubject1">
    <w:name w:val="Comment Subject1"/>
    <w:basedOn w:val="CommentText1"/>
    <w:rsid w:val="00CB2D41"/>
    <w:rPr>
      <w:b/>
    </w:rPr>
  </w:style>
  <w:style w:type="character" w:customStyle="1" w:styleId="21">
    <w:name w:val="未解決のメンション2"/>
    <w:uiPriority w:val="99"/>
    <w:rsid w:val="00CB2D41"/>
    <w:rPr>
      <w:color w:val="605E5C"/>
    </w:rPr>
  </w:style>
  <w:style w:type="character" w:customStyle="1" w:styleId="st1">
    <w:name w:val="st1"/>
    <w:basedOn w:val="a0"/>
  </w:style>
  <w:style w:type="paragraph" w:styleId="afb">
    <w:name w:val="endnote text"/>
    <w:basedOn w:val="a"/>
    <w:link w:val="afc"/>
    <w:uiPriority w:val="99"/>
    <w:rsid w:val="00CB2D41"/>
    <w:pPr>
      <w:snapToGrid w:val="0"/>
      <w:spacing w:line="240" w:lineRule="auto"/>
    </w:pPr>
    <w:rPr>
      <w:rFonts w:ascii="Calibri" w:eastAsia="Calibri" w:hAnsi="Calibri" w:cs="Calibri"/>
      <w:sz w:val="21"/>
    </w:rPr>
  </w:style>
  <w:style w:type="paragraph" w:customStyle="1" w:styleId="TableList">
    <w:name w:val="Table List"/>
    <w:basedOn w:val="a"/>
    <w:pPr>
      <w:ind w:left="300" w:hanging="300"/>
    </w:pPr>
    <w:rPr>
      <w:rFonts w:ascii="Calibri" w:eastAsia="Calibri" w:hAnsi="Calibri" w:cs="Calibri"/>
    </w:rPr>
  </w:style>
  <w:style w:type="character" w:customStyle="1" w:styleId="GivenName">
    <w:name w:val="Given Name"/>
    <w:rPr>
      <w:shd w:val="clear" w:color="auto" w:fill="D0FCE2"/>
    </w:rPr>
  </w:style>
  <w:style w:type="character" w:customStyle="1" w:styleId="FamilyName">
    <w:name w:val="Family Name"/>
    <w:rPr>
      <w:shd w:val="clear" w:color="auto" w:fill="88F4BE"/>
    </w:rPr>
  </w:style>
  <w:style w:type="numbering" w:customStyle="1" w:styleId="List8">
    <w:name w:val="List 8"/>
  </w:style>
  <w:style w:type="character" w:customStyle="1" w:styleId="Cross-reference">
    <w:name w:val="Cross-reference"/>
    <w:rPr>
      <w:shd w:val="clear" w:color="auto" w:fill="FFE3C9"/>
      <w:vertAlign w:val="baseline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hd w:val="clear" w:color="auto" w:fill="F3F7F9"/>
    </w:rPr>
  </w:style>
  <w:style w:type="character" w:customStyle="1" w:styleId="GrantID">
    <w:name w:val="Grant ID"/>
    <w:rPr>
      <w:shd w:val="clear" w:color="auto" w:fill="DDA5FF"/>
    </w:rPr>
  </w:style>
  <w:style w:type="paragraph" w:customStyle="1" w:styleId="Annotation">
    <w:name w:val="Annotation"/>
    <w:basedOn w:val="a"/>
    <w:pPr>
      <w:spacing w:line="360" w:lineRule="auto"/>
      <w:ind w:left="570"/>
    </w:pPr>
    <w:rPr>
      <w:rFonts w:ascii="Times New Roman" w:eastAsia="Times New Roman" w:hAnsi="Times New Roman" w:cs="Times New Roman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FootnoteText1">
    <w:name w:val="Footnote Text1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rPr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</w:pPr>
    <w:rPr>
      <w:rFonts w:ascii="Calibri" w:eastAsia="Calibri" w:hAnsi="Calibri" w:cs="Calibri"/>
    </w:rPr>
  </w:style>
  <w:style w:type="character" w:customStyle="1" w:styleId="Organization">
    <w:name w:val="Organization"/>
    <w:rPr>
      <w:shd w:val="clear" w:color="auto" w:fill="D1FFB5"/>
    </w:rPr>
  </w:style>
  <w:style w:type="numbering" w:customStyle="1" w:styleId="List21">
    <w:name w:val="List 21"/>
  </w:style>
  <w:style w:type="character" w:customStyle="1" w:styleId="GlossaryTerm">
    <w:name w:val="Glossary Term"/>
    <w:rPr>
      <w:shd w:val="clear" w:color="auto" w:fill="FFCFD7"/>
    </w:rPr>
  </w:style>
  <w:style w:type="paragraph" w:styleId="afd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City">
    <w:name w:val="City"/>
    <w:rPr>
      <w:shd w:val="clear" w:color="auto" w:fill="D7D7D7"/>
    </w:rPr>
  </w:style>
  <w:style w:type="character" w:customStyle="1" w:styleId="Region">
    <w:name w:val="Region"/>
    <w:rPr>
      <w:shd w:val="clear" w:color="auto" w:fill="D8E9EE"/>
    </w:rPr>
  </w:style>
  <w:style w:type="character" w:customStyle="1" w:styleId="DatabaseLink">
    <w:name w:val="Database Link"/>
    <w:rPr>
      <w:shd w:val="clear" w:color="auto" w:fill="AFBEFF"/>
    </w:rPr>
  </w:style>
  <w:style w:type="numbering" w:customStyle="1" w:styleId="List41">
    <w:name w:val="List 41"/>
  </w:style>
  <w:style w:type="paragraph" w:customStyle="1" w:styleId="AbstractSubheading">
    <w:name w:val="Abstract Subheading"/>
    <w:basedOn w:val="a"/>
    <w:pPr>
      <w:numPr>
        <w:ilvl w:val="8"/>
      </w:numPr>
      <w:ind w:left="1440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numbering" w:customStyle="1" w:styleId="List7">
    <w:name w:val="List 7"/>
  </w:style>
  <w:style w:type="character" w:customStyle="1" w:styleId="Country">
    <w:name w:val="Country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rPr>
      <w:shd w:val="clear" w:color="auto" w:fill="FFEDF0"/>
    </w:rPr>
  </w:style>
  <w:style w:type="paragraph" w:styleId="afe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qFormat/>
    <w:rPr>
      <w:shd w:val="clear" w:color="auto" w:fill="E9F9FF"/>
    </w:rPr>
  </w:style>
  <w:style w:type="character" w:customStyle="1" w:styleId="VolumeNumber">
    <w:name w:val="Volume Number"/>
    <w:rPr>
      <w:shd w:val="clear" w:color="auto" w:fill="EDF0FF"/>
    </w:rPr>
  </w:style>
  <w:style w:type="character" w:customStyle="1" w:styleId="GeneSequence">
    <w:name w:val="Gene Sequence"/>
    <w:rPr>
      <w:shd w:val="clear" w:color="auto" w:fill="FFCDF2"/>
    </w:rPr>
  </w:style>
  <w:style w:type="numbering" w:customStyle="1" w:styleId="List6">
    <w:name w:val="List 6"/>
  </w:style>
  <w:style w:type="character" w:customStyle="1" w:styleId="IssueNumber">
    <w:name w:val="Issue Number"/>
    <w:rPr>
      <w:shd w:val="clear" w:color="auto" w:fill="CDD5FF"/>
    </w:rPr>
  </w:style>
  <w:style w:type="character" w:customStyle="1" w:styleId="Edition">
    <w:name w:val="Edition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hd w:val="clear" w:color="auto" w:fill="EEFEF4"/>
    </w:rPr>
  </w:style>
  <w:style w:type="numbering" w:customStyle="1" w:styleId="List31">
    <w:name w:val="List 31"/>
  </w:style>
  <w:style w:type="character" w:customStyle="1" w:styleId="Conference">
    <w:name w:val="Conference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rPr>
      <w:shd w:val="clear" w:color="auto" w:fill="F0F0F0"/>
    </w:rPr>
  </w:style>
  <w:style w:type="character" w:customStyle="1" w:styleId="Heading0">
    <w:name w:val="Heading:"/>
    <w:rPr>
      <w:color w:val="5B89C1"/>
    </w:rPr>
  </w:style>
  <w:style w:type="character" w:customStyle="1" w:styleId="Source">
    <w:name w:val="Source"/>
    <w:rPr>
      <w:shd w:val="clear" w:color="auto" w:fill="C1EDFF"/>
    </w:rPr>
  </w:style>
  <w:style w:type="paragraph" w:styleId="aff">
    <w:name w:val="Sub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</w:pPr>
    <w:rPr>
      <w:rFonts w:ascii="Calibri" w:eastAsia="Calibri" w:hAnsi="Calibri" w:cs="Calibri"/>
    </w:rPr>
  </w:style>
  <w:style w:type="character" w:customStyle="1" w:styleId="Year">
    <w:name w:val="Year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numbering" w:customStyle="1" w:styleId="List51">
    <w:name w:val="List 51"/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hd w:val="clear" w:color="auto" w:fill="F4FFED"/>
    </w:rPr>
  </w:style>
  <w:style w:type="character" w:customStyle="1" w:styleId="Publisher">
    <w:name w:val="Publisher"/>
    <w:rPr>
      <w:shd w:val="clear" w:color="auto" w:fill="F2DDFF"/>
    </w:rPr>
  </w:style>
  <w:style w:type="numbering" w:customStyle="1" w:styleId="List1">
    <w:name w:val="List 1"/>
  </w:style>
  <w:style w:type="numbering" w:customStyle="1" w:styleId="List9">
    <w:name w:val="List 9"/>
  </w:style>
  <w:style w:type="character" w:customStyle="1" w:styleId="ad">
    <w:name w:val="コメント文字列 (文字)"/>
    <w:basedOn w:val="a0"/>
    <w:link w:val="ac"/>
    <w:uiPriority w:val="99"/>
    <w:rsid w:val="00CB2D41"/>
    <w:rPr>
      <w:rFonts w:ascii="Calibri" w:eastAsia="Calibri" w:hAnsi="Calibri" w:cs="Calibri"/>
      <w:lang w:val=""/>
    </w:rPr>
  </w:style>
  <w:style w:type="character" w:customStyle="1" w:styleId="af1">
    <w:name w:val="吹き出し (文字)"/>
    <w:basedOn w:val="a0"/>
    <w:link w:val="af0"/>
    <w:uiPriority w:val="99"/>
    <w:rsid w:val="00CB2D41"/>
    <w:rPr>
      <w:rFonts w:ascii="Tahoma" w:eastAsia="Tahoma" w:hAnsi="Tahoma" w:cs="Tahoma"/>
      <w:sz w:val="16"/>
      <w:lang w:val=""/>
    </w:rPr>
  </w:style>
  <w:style w:type="character" w:customStyle="1" w:styleId="af5">
    <w:name w:val="ヘッダー (文字)"/>
    <w:basedOn w:val="a0"/>
    <w:link w:val="af4"/>
    <w:uiPriority w:val="99"/>
    <w:rsid w:val="00CB2D41"/>
    <w:rPr>
      <w:rFonts w:ascii="Calibri" w:eastAsia="Calibri" w:hAnsi="Calibri" w:cs="Calibri"/>
      <w:sz w:val="21"/>
      <w:lang w:val=""/>
    </w:rPr>
  </w:style>
  <w:style w:type="character" w:customStyle="1" w:styleId="a8">
    <w:name w:val="フッター (文字)"/>
    <w:basedOn w:val="a0"/>
    <w:link w:val="a7"/>
    <w:uiPriority w:val="99"/>
    <w:rsid w:val="00CB2D41"/>
    <w:rPr>
      <w:rFonts w:ascii="Arial" w:eastAsia="Arial" w:hAnsi="Arial" w:cs="Arial"/>
      <w:lang w:val=""/>
    </w:rPr>
  </w:style>
  <w:style w:type="character" w:customStyle="1" w:styleId="af">
    <w:name w:val="コメント内容 (文字)"/>
    <w:basedOn w:val="ad"/>
    <w:link w:val="ae"/>
    <w:uiPriority w:val="99"/>
    <w:rsid w:val="00CB2D41"/>
    <w:rPr>
      <w:rFonts w:ascii="Arial" w:eastAsia="Arial" w:hAnsi="Arial" w:cs="Arial"/>
      <w:b/>
      <w:lang w:val=""/>
    </w:rPr>
  </w:style>
  <w:style w:type="character" w:customStyle="1" w:styleId="EndNoteBibliographyTitle0">
    <w:name w:val="EndNote Bibliography Title (文字)"/>
    <w:basedOn w:val="a0"/>
    <w:link w:val="EndNoteBibliographyTitle"/>
    <w:rsid w:val="00CB2D41"/>
    <w:rPr>
      <w:rFonts w:ascii="Arial" w:eastAsia="Arial" w:hAnsi="Arial" w:cs="Arial"/>
      <w:lang w:val=""/>
    </w:rPr>
  </w:style>
  <w:style w:type="character" w:customStyle="1" w:styleId="EndNoteBibliography0">
    <w:name w:val="EndNote Bibliography (文字)"/>
    <w:basedOn w:val="a0"/>
    <w:link w:val="EndNoteBibliography"/>
    <w:rsid w:val="00CB2D41"/>
    <w:rPr>
      <w:rFonts w:ascii="Arial" w:eastAsia="Arial" w:hAnsi="Arial" w:cs="Arial"/>
      <w:lang w:val=""/>
    </w:rPr>
  </w:style>
  <w:style w:type="character" w:customStyle="1" w:styleId="af8">
    <w:name w:val="本文 (文字)"/>
    <w:basedOn w:val="a0"/>
    <w:link w:val="af7"/>
    <w:rsid w:val="00CB2D41"/>
    <w:rPr>
      <w:rFonts w:ascii="Adv OT 6499 4a 16" w:eastAsia="Adv OT 6499 4a 16" w:hAnsi="Adv OT 6499 4a 16" w:cs="Adv OT 6499 4a 16"/>
      <w:color w:val="000000"/>
      <w:sz w:val="24"/>
      <w:lang w:val=""/>
    </w:rPr>
  </w:style>
  <w:style w:type="character" w:customStyle="1" w:styleId="afc">
    <w:name w:val="文末脚注文字列 (文字)"/>
    <w:basedOn w:val="a0"/>
    <w:link w:val="afb"/>
    <w:uiPriority w:val="99"/>
    <w:rsid w:val="00CB2D41"/>
    <w:rPr>
      <w:rFonts w:ascii="Calibri" w:eastAsia="Calibri" w:hAnsi="Calibri" w:cs="Calibri"/>
      <w:sz w:val="21"/>
      <w:lang w:val=""/>
    </w:rPr>
  </w:style>
  <w:style w:type="character" w:styleId="aff0">
    <w:name w:val="FollowedHyperlink"/>
    <w:basedOn w:val="a0"/>
    <w:uiPriority w:val="99"/>
    <w:semiHidden/>
    <w:unhideWhenUsed/>
    <w:rsid w:val="00073B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6D094-6FDE-437C-AEBF-15DF848EE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Links>
    <vt:vector size="474" baseType="variant">
      <vt:variant>
        <vt:i4>4784223</vt:i4>
      </vt:variant>
      <vt:variant>
        <vt:i4>363</vt:i4>
      </vt:variant>
      <vt:variant>
        <vt:i4>0</vt:i4>
      </vt:variant>
      <vt:variant>
        <vt:i4>5</vt:i4>
      </vt:variant>
      <vt:variant>
        <vt:lpwstr>https://doi.org/10.1016/j.critrevonc.2018.07.010</vt:lpwstr>
      </vt:variant>
      <vt:variant>
        <vt:lpwstr/>
      </vt:variant>
      <vt:variant>
        <vt:i4>3211363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c16</vt:lpwstr>
      </vt:variant>
      <vt:variant>
        <vt:i4>5898306</vt:i4>
      </vt:variant>
      <vt:variant>
        <vt:i4>354</vt:i4>
      </vt:variant>
      <vt:variant>
        <vt:i4>0</vt:i4>
      </vt:variant>
      <vt:variant>
        <vt:i4>5</vt:i4>
      </vt:variant>
      <vt:variant>
        <vt:lpwstr>https://doi.org/10.1093/annonc/mdw181</vt:lpwstr>
      </vt:variant>
      <vt:variant>
        <vt:lpwstr/>
      </vt:variant>
      <vt:variant>
        <vt:i4>3211363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c15</vt:lpwstr>
      </vt:variant>
      <vt:variant>
        <vt:i4>3014765</vt:i4>
      </vt:variant>
      <vt:variant>
        <vt:i4>345</vt:i4>
      </vt:variant>
      <vt:variant>
        <vt:i4>0</vt:i4>
      </vt:variant>
      <vt:variant>
        <vt:i4>5</vt:i4>
      </vt:variant>
      <vt:variant>
        <vt:lpwstr>https://doi.org/10.1001/jamadermatol.2015.2707</vt:lpwstr>
      </vt:variant>
      <vt:variant>
        <vt:lpwstr/>
      </vt:variant>
      <vt:variant>
        <vt:i4>3211363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c14</vt:lpwstr>
      </vt:variant>
      <vt:variant>
        <vt:i4>4194372</vt:i4>
      </vt:variant>
      <vt:variant>
        <vt:i4>336</vt:i4>
      </vt:variant>
      <vt:variant>
        <vt:i4>0</vt:i4>
      </vt:variant>
      <vt:variant>
        <vt:i4>5</vt:i4>
      </vt:variant>
      <vt:variant>
        <vt:lpwstr>https://doi.org/10.1371/journal.pone.0216954</vt:lpwstr>
      </vt:variant>
      <vt:variant>
        <vt:lpwstr/>
      </vt:variant>
      <vt:variant>
        <vt:i4>3211363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c13</vt:lpwstr>
      </vt:variant>
      <vt:variant>
        <vt:i4>3014712</vt:i4>
      </vt:variant>
      <vt:variant>
        <vt:i4>327</vt:i4>
      </vt:variant>
      <vt:variant>
        <vt:i4>0</vt:i4>
      </vt:variant>
      <vt:variant>
        <vt:i4>5</vt:i4>
      </vt:variant>
      <vt:variant>
        <vt:lpwstr>https://doi.org/10.1016/j.ejca.2018.10.014</vt:lpwstr>
      </vt:variant>
      <vt:variant>
        <vt:lpwstr/>
      </vt:variant>
      <vt:variant>
        <vt:i4>3211363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c12</vt:lpwstr>
      </vt:variant>
      <vt:variant>
        <vt:i4>3932194</vt:i4>
      </vt:variant>
      <vt:variant>
        <vt:i4>318</vt:i4>
      </vt:variant>
      <vt:variant>
        <vt:i4>0</vt:i4>
      </vt:variant>
      <vt:variant>
        <vt:i4>5</vt:i4>
      </vt:variant>
      <vt:variant>
        <vt:lpwstr>https://doi.org/10.1001/jamaoncol.2019.0393</vt:lpwstr>
      </vt:variant>
      <vt:variant>
        <vt:lpwstr/>
      </vt:variant>
      <vt:variant>
        <vt:i4>3211363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c11</vt:lpwstr>
      </vt:variant>
      <vt:variant>
        <vt:i4>4194374</vt:i4>
      </vt:variant>
      <vt:variant>
        <vt:i4>309</vt:i4>
      </vt:variant>
      <vt:variant>
        <vt:i4>0</vt:i4>
      </vt:variant>
      <vt:variant>
        <vt:i4>5</vt:i4>
      </vt:variant>
      <vt:variant>
        <vt:lpwstr>https://doi.org/10.1200/jco.2014.57.4756</vt:lpwstr>
      </vt:variant>
      <vt:variant>
        <vt:lpwstr/>
      </vt:variant>
      <vt:variant>
        <vt:i4>3735651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c9</vt:lpwstr>
      </vt:variant>
      <vt:variant>
        <vt:i4>2818105</vt:i4>
      </vt:variant>
      <vt:variant>
        <vt:i4>300</vt:i4>
      </vt:variant>
      <vt:variant>
        <vt:i4>0</vt:i4>
      </vt:variant>
      <vt:variant>
        <vt:i4>5</vt:i4>
      </vt:variant>
      <vt:variant>
        <vt:lpwstr>https://doi.org/10.1016/j.ejca.2019.04.005</vt:lpwstr>
      </vt:variant>
      <vt:variant>
        <vt:lpwstr/>
      </vt:variant>
      <vt:variant>
        <vt:i4>3735651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c9</vt:lpwstr>
      </vt:variant>
      <vt:variant>
        <vt:i4>4718613</vt:i4>
      </vt:variant>
      <vt:variant>
        <vt:i4>291</vt:i4>
      </vt:variant>
      <vt:variant>
        <vt:i4>0</vt:i4>
      </vt:variant>
      <vt:variant>
        <vt:i4>5</vt:i4>
      </vt:variant>
      <vt:variant>
        <vt:lpwstr>https://doi.org/10.1016/j.lungcan.2017.11.019</vt:lpwstr>
      </vt:variant>
      <vt:variant>
        <vt:lpwstr/>
      </vt:variant>
      <vt:variant>
        <vt:i4>3735651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c9</vt:lpwstr>
      </vt:variant>
      <vt:variant>
        <vt:i4>655389</vt:i4>
      </vt:variant>
      <vt:variant>
        <vt:i4>282</vt:i4>
      </vt:variant>
      <vt:variant>
        <vt:i4>0</vt:i4>
      </vt:variant>
      <vt:variant>
        <vt:i4>5</vt:i4>
      </vt:variant>
      <vt:variant>
        <vt:lpwstr>https://doi.org/10.1007/s10637-017-0534-0</vt:lpwstr>
      </vt:variant>
      <vt:variant>
        <vt:lpwstr/>
      </vt:variant>
      <vt:variant>
        <vt:i4>3735651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c9</vt:lpwstr>
      </vt:variant>
      <vt:variant>
        <vt:i4>2490405</vt:i4>
      </vt:variant>
      <vt:variant>
        <vt:i4>273</vt:i4>
      </vt:variant>
      <vt:variant>
        <vt:i4>0</vt:i4>
      </vt:variant>
      <vt:variant>
        <vt:i4>5</vt:i4>
      </vt:variant>
      <vt:variant>
        <vt:lpwstr>https://doi.org/10.1634/theoncologist.2017-0133</vt:lpwstr>
      </vt:variant>
      <vt:variant>
        <vt:lpwstr/>
      </vt:variant>
      <vt:variant>
        <vt:i4>3735651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c9</vt:lpwstr>
      </vt:variant>
      <vt:variant>
        <vt:i4>2949159</vt:i4>
      </vt:variant>
      <vt:variant>
        <vt:i4>264</vt:i4>
      </vt:variant>
      <vt:variant>
        <vt:i4>0</vt:i4>
      </vt:variant>
      <vt:variant>
        <vt:i4>5</vt:i4>
      </vt:variant>
      <vt:variant>
        <vt:lpwstr>https://doi.org/10.1634/theoncologist.2017-0384</vt:lpwstr>
      </vt:variant>
      <vt:variant>
        <vt:lpwstr/>
      </vt:variant>
      <vt:variant>
        <vt:i4>3735651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c9</vt:lpwstr>
      </vt:variant>
      <vt:variant>
        <vt:i4>4390943</vt:i4>
      </vt:variant>
      <vt:variant>
        <vt:i4>255</vt:i4>
      </vt:variant>
      <vt:variant>
        <vt:i4>0</vt:i4>
      </vt:variant>
      <vt:variant>
        <vt:i4>5</vt:i4>
      </vt:variant>
      <vt:variant>
        <vt:lpwstr>https://doi.org/10.1056/nejmra1703481</vt:lpwstr>
      </vt:variant>
      <vt:variant>
        <vt:lpwstr/>
      </vt:variant>
      <vt:variant>
        <vt:i4>3670115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c8</vt:lpwstr>
      </vt:variant>
      <vt:variant>
        <vt:i4>5570625</vt:i4>
      </vt:variant>
      <vt:variant>
        <vt:i4>246</vt:i4>
      </vt:variant>
      <vt:variant>
        <vt:i4>0</vt:i4>
      </vt:variant>
      <vt:variant>
        <vt:i4>5</vt:i4>
      </vt:variant>
      <vt:variant>
        <vt:lpwstr>https://doi.org/10.1093/annonc/mdx286</vt:lpwstr>
      </vt:variant>
      <vt:variant>
        <vt:lpwstr/>
      </vt:variant>
      <vt:variant>
        <vt:i4>3604579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c7</vt:lpwstr>
      </vt:variant>
      <vt:variant>
        <vt:i4>4718663</vt:i4>
      </vt:variant>
      <vt:variant>
        <vt:i4>237</vt:i4>
      </vt:variant>
      <vt:variant>
        <vt:i4>0</vt:i4>
      </vt:variant>
      <vt:variant>
        <vt:i4>5</vt:i4>
      </vt:variant>
      <vt:variant>
        <vt:lpwstr>https://doi.org/10.1200/jco.2014.60.0379</vt:lpwstr>
      </vt:variant>
      <vt:variant>
        <vt:lpwstr/>
      </vt:variant>
      <vt:variant>
        <vt:i4>3539043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c6</vt:lpwstr>
      </vt:variant>
      <vt:variant>
        <vt:i4>4718598</vt:i4>
      </vt:variant>
      <vt:variant>
        <vt:i4>228</vt:i4>
      </vt:variant>
      <vt:variant>
        <vt:i4>0</vt:i4>
      </vt:variant>
      <vt:variant>
        <vt:i4>5</vt:i4>
      </vt:variant>
      <vt:variant>
        <vt:lpwstr>https://doi.org/10.1056/nejmoa1712126</vt:lpwstr>
      </vt:variant>
      <vt:variant>
        <vt:lpwstr/>
      </vt:variant>
      <vt:variant>
        <vt:i4>3473507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c5</vt:lpwstr>
      </vt:variant>
      <vt:variant>
        <vt:i4>4784128</vt:i4>
      </vt:variant>
      <vt:variant>
        <vt:i4>219</vt:i4>
      </vt:variant>
      <vt:variant>
        <vt:i4>0</vt:i4>
      </vt:variant>
      <vt:variant>
        <vt:i4>5</vt:i4>
      </vt:variant>
      <vt:variant>
        <vt:lpwstr>https://doi.org/10.1056/nejmoa1709684</vt:lpwstr>
      </vt:variant>
      <vt:variant>
        <vt:lpwstr/>
      </vt:variant>
      <vt:variant>
        <vt:i4>3407971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c4</vt:lpwstr>
      </vt:variant>
      <vt:variant>
        <vt:i4>720911</vt:i4>
      </vt:variant>
      <vt:variant>
        <vt:i4>210</vt:i4>
      </vt:variant>
      <vt:variant>
        <vt:i4>0</vt:i4>
      </vt:variant>
      <vt:variant>
        <vt:i4>5</vt:i4>
      </vt:variant>
      <vt:variant>
        <vt:lpwstr>https://doi.org/10.1016/s1470-2045(19)30626-6</vt:lpwstr>
      </vt:variant>
      <vt:variant>
        <vt:lpwstr/>
      </vt:variant>
      <vt:variant>
        <vt:i4>3342435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983047</vt:i4>
      </vt:variant>
      <vt:variant>
        <vt:i4>201</vt:i4>
      </vt:variant>
      <vt:variant>
        <vt:i4>0</vt:i4>
      </vt:variant>
      <vt:variant>
        <vt:i4>5</vt:i4>
      </vt:variant>
      <vt:variant>
        <vt:lpwstr>https://doi.org/10.1016/s1470-2045(16)30364-3</vt:lpwstr>
      </vt:variant>
      <vt:variant>
        <vt:lpwstr/>
      </vt:variant>
      <vt:variant>
        <vt:i4>3342435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4325383</vt:i4>
      </vt:variant>
      <vt:variant>
        <vt:i4>192</vt:i4>
      </vt:variant>
      <vt:variant>
        <vt:i4>0</vt:i4>
      </vt:variant>
      <vt:variant>
        <vt:i4>5</vt:i4>
      </vt:variant>
      <vt:variant>
        <vt:lpwstr>https://doi.org/10.1056/nejmoa1411087</vt:lpwstr>
      </vt:variant>
      <vt:variant>
        <vt:lpwstr/>
      </vt:variant>
      <vt:variant>
        <vt:i4>3342435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720903</vt:i4>
      </vt:variant>
      <vt:variant>
        <vt:i4>183</vt:i4>
      </vt:variant>
      <vt:variant>
        <vt:i4>0</vt:i4>
      </vt:variant>
      <vt:variant>
        <vt:i4>5</vt:i4>
      </vt:variant>
      <vt:variant>
        <vt:lpwstr>https://doi.org/10.1016/s1470-2045(17)30422-9</vt:lpwstr>
      </vt:variant>
      <vt:variant>
        <vt:lpwstr/>
      </vt:variant>
      <vt:variant>
        <vt:i4>3342435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655361</vt:i4>
      </vt:variant>
      <vt:variant>
        <vt:i4>174</vt:i4>
      </vt:variant>
      <vt:variant>
        <vt:i4>0</vt:i4>
      </vt:variant>
      <vt:variant>
        <vt:i4>5</vt:i4>
      </vt:variant>
      <vt:variant>
        <vt:lpwstr>https://doi.org/10.1016/s0140-6736(17)31046-2</vt:lpwstr>
      </vt:variant>
      <vt:variant>
        <vt:lpwstr/>
      </vt:variant>
      <vt:variant>
        <vt:i4>3342435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983044</vt:i4>
      </vt:variant>
      <vt:variant>
        <vt:i4>165</vt:i4>
      </vt:variant>
      <vt:variant>
        <vt:i4>0</vt:i4>
      </vt:variant>
      <vt:variant>
        <vt:i4>5</vt:i4>
      </vt:variant>
      <vt:variant>
        <vt:lpwstr>https://doi.org/10.1016/s1470-2045(17)30065-7</vt:lpwstr>
      </vt:variant>
      <vt:variant>
        <vt:lpwstr/>
      </vt:variant>
      <vt:variant>
        <vt:i4>3342435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4980737</vt:i4>
      </vt:variant>
      <vt:variant>
        <vt:i4>156</vt:i4>
      </vt:variant>
      <vt:variant>
        <vt:i4>0</vt:i4>
      </vt:variant>
      <vt:variant>
        <vt:i4>5</vt:i4>
      </vt:variant>
      <vt:variant>
        <vt:lpwstr>https://doi.org/10.1056/nejmoa1510665</vt:lpwstr>
      </vt:variant>
      <vt:variant>
        <vt:lpwstr/>
      </vt:variant>
      <vt:variant>
        <vt:i4>3342435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4980736</vt:i4>
      </vt:variant>
      <vt:variant>
        <vt:i4>147</vt:i4>
      </vt:variant>
      <vt:variant>
        <vt:i4>0</vt:i4>
      </vt:variant>
      <vt:variant>
        <vt:i4>5</vt:i4>
      </vt:variant>
      <vt:variant>
        <vt:lpwstr>https://doi.org/10.1056/nejmoa1504627</vt:lpwstr>
      </vt:variant>
      <vt:variant>
        <vt:lpwstr/>
      </vt:variant>
      <vt:variant>
        <vt:i4>3342435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917505</vt:i4>
      </vt:variant>
      <vt:variant>
        <vt:i4>138</vt:i4>
      </vt:variant>
      <vt:variant>
        <vt:i4>0</vt:i4>
      </vt:variant>
      <vt:variant>
        <vt:i4>5</vt:i4>
      </vt:variant>
      <vt:variant>
        <vt:lpwstr>https://doi.org/10.1016/s1470-2045(15)70076-8</vt:lpwstr>
      </vt:variant>
      <vt:variant>
        <vt:lpwstr/>
      </vt:variant>
      <vt:variant>
        <vt:i4>3342435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786440</vt:i4>
      </vt:variant>
      <vt:variant>
        <vt:i4>129</vt:i4>
      </vt:variant>
      <vt:variant>
        <vt:i4>0</vt:i4>
      </vt:variant>
      <vt:variant>
        <vt:i4>5</vt:i4>
      </vt:variant>
      <vt:variant>
        <vt:lpwstr>https://doi.org/10.1016/s0140-6736(17)31827-5</vt:lpwstr>
      </vt:variant>
      <vt:variant>
        <vt:lpwstr/>
      </vt:variant>
      <vt:variant>
        <vt:i4>3342435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c3</vt:lpwstr>
      </vt:variant>
      <vt:variant>
        <vt:i4>4849666</vt:i4>
      </vt:variant>
      <vt:variant>
        <vt:i4>120</vt:i4>
      </vt:variant>
      <vt:variant>
        <vt:i4>0</vt:i4>
      </vt:variant>
      <vt:variant>
        <vt:i4>5</vt:i4>
      </vt:variant>
      <vt:variant>
        <vt:lpwstr>https://doi.org/10.1056/nejmoa1003466</vt:lpwstr>
      </vt:variant>
      <vt:variant>
        <vt:lpwstr/>
      </vt:variant>
      <vt:variant>
        <vt:i4>3276899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c2</vt:lpwstr>
      </vt:variant>
      <vt:variant>
        <vt:i4>4718592</vt:i4>
      </vt:variant>
      <vt:variant>
        <vt:i4>111</vt:i4>
      </vt:variant>
      <vt:variant>
        <vt:i4>0</vt:i4>
      </vt:variant>
      <vt:variant>
        <vt:i4>5</vt:i4>
      </vt:variant>
      <vt:variant>
        <vt:lpwstr>https://doi.org/10.1056/nejmoa1104621</vt:lpwstr>
      </vt:variant>
      <vt:variant>
        <vt:lpwstr/>
      </vt:variant>
      <vt:variant>
        <vt:i4>3211363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c1</vt:lpwstr>
      </vt:variant>
      <vt:variant>
        <vt:i4>5701652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ref29</vt:lpwstr>
      </vt:variant>
      <vt:variant>
        <vt:i4>5701652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ref28</vt:lpwstr>
      </vt:variant>
      <vt:variant>
        <vt:i4>5701652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ref27</vt:lpwstr>
      </vt:variant>
      <vt:variant>
        <vt:i4>5701652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ref26</vt:lpwstr>
      </vt:variant>
      <vt:variant>
        <vt:i4>5505044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ref17</vt:lpwstr>
      </vt:variant>
      <vt:variant>
        <vt:i4>5701652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ref25</vt:lpwstr>
      </vt:variant>
      <vt:variant>
        <vt:i4>5701652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ref24</vt:lpwstr>
      </vt:variant>
      <vt:variant>
        <vt:i4>5636116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ref3</vt:lpwstr>
      </vt:variant>
      <vt:variant>
        <vt:i4>5505044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ref18</vt:lpwstr>
      </vt:variant>
      <vt:variant>
        <vt:i4>5505044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ref17</vt:lpwstr>
      </vt:variant>
      <vt:variant>
        <vt:i4>5505044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ref16</vt:lpwstr>
      </vt:variant>
      <vt:variant>
        <vt:i4>5505044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ref15</vt:lpwstr>
      </vt:variant>
      <vt:variant>
        <vt:i4>5505044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ref14</vt:lpwstr>
      </vt:variant>
      <vt:variant>
        <vt:i4>5505044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ref13</vt:lpwstr>
      </vt:variant>
      <vt:variant>
        <vt:i4>5636116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ref3</vt:lpwstr>
      </vt:variant>
      <vt:variant>
        <vt:i4>5701652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ref2</vt:lpwstr>
      </vt:variant>
      <vt:variant>
        <vt:i4>5505044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ref1</vt:lpwstr>
      </vt:variant>
      <vt:variant>
        <vt:i4>2949139</vt:i4>
      </vt:variant>
      <vt:variant>
        <vt:i4>0</vt:i4>
      </vt:variant>
      <vt:variant>
        <vt:i4>0</vt:i4>
      </vt:variant>
      <vt:variant>
        <vt:i4>5</vt:i4>
      </vt:variant>
      <vt:variant>
        <vt:lpwstr>mailto:sukawa@keio.jp</vt:lpwstr>
      </vt:variant>
      <vt:variant>
        <vt:lpwstr/>
      </vt:variant>
      <vt:variant>
        <vt:i4>1048578</vt:i4>
      </vt:variant>
      <vt:variant>
        <vt:i4>16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69</vt:i4>
      </vt:variant>
      <vt:variant>
        <vt:i4>5</vt:i4>
      </vt:variant>
      <vt:variant>
        <vt:i4>0</vt:i4>
      </vt:variant>
      <vt:variant>
        <vt:i4>5</vt:i4>
      </vt:variant>
      <vt:variant>
        <vt:lpwstr>https://www.protocols.io/</vt:lpwstr>
      </vt:variant>
      <vt:variant>
        <vt:lpwstr/>
      </vt:variant>
      <vt:variant>
        <vt:i4>1114114</vt:i4>
      </vt:variant>
      <vt:variant>
        <vt:i4>2</vt:i4>
      </vt:variant>
      <vt:variant>
        <vt:i4>0</vt:i4>
      </vt:variant>
      <vt:variant>
        <vt:i4>5</vt:i4>
      </vt:variant>
      <vt:variant>
        <vt:lpwstr>https://www.dovepress.com/author_guidelines.php?content_id=3503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下嵜 啓太郎</dc:creator>
  <cp:lastModifiedBy>Keitaro Shimozaki</cp:lastModifiedBy>
  <cp:revision>4</cp:revision>
  <dcterms:created xsi:type="dcterms:W3CDTF">2020-04-24T06:54:00Z</dcterms:created>
  <dcterms:modified xsi:type="dcterms:W3CDTF">2020-04-24T07:14:00Z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Reference citation style">
    <vt:lpwstr>numerical</vt:lpwstr>
  </property>
  <property fmtid="{D5CDD505-2E9C-101B-9397-08002B2CF9AE}" pid="11" name="Subject">
    <vt:lpwstr/>
  </property>
  <property fmtid="{D5CDD505-2E9C-101B-9397-08002B2CF9AE}" pid="12" name="Merops word count">
    <vt:lpwstr>4767</vt:lpwstr>
  </property>
  <property fmtid="{D5CDD505-2E9C-101B-9397-08002B2CF9AE}" pid="13" name="Merops references count">
    <vt:lpwstr>29</vt:lpwstr>
  </property>
  <property fmtid="{D5CDD505-2E9C-101B-9397-08002B2CF9AE}" pid="14" name="Merops tables count">
    <vt:lpwstr>3</vt:lpwstr>
  </property>
  <property fmtid="{D5CDD505-2E9C-101B-9397-08002B2CF9AE}" pid="15" name="Merops figures count">
    <vt:lpwstr>6</vt:lpwstr>
  </property>
  <property fmtid="{D5CDD505-2E9C-101B-9397-08002B2CF9AE}" pid="16" name="Merops graphics count">
    <vt:lpwstr>0</vt:lpwstr>
  </property>
  <property fmtid="{D5CDD505-2E9C-101B-9397-08002B2CF9AE}" pid="17" name="Merops footnotes_x002f_endnotes count">
    <vt:lpwstr>0</vt:lpwstr>
  </property>
  <property fmtid="{D5CDD505-2E9C-101B-9397-08002B2CF9AE}" pid="18" name="Merops email addresses count">
    <vt:lpwstr>1</vt:lpwstr>
  </property>
  <property fmtid="{D5CDD505-2E9C-101B-9397-08002B2CF9AE}" pid="19" name="Merops Standard Set">
    <vt:lpwstr>Dove Press_OncoTargets and Therapy_A-SCS(VAN)</vt:lpwstr>
  </property>
  <property fmtid="{D5CDD505-2E9C-101B-9397-08002B2CF9AE}" pid="20" name="Merops Standard Set modified">
    <vt:lpwstr>1/28/2020 5:03:31 PM</vt:lpwstr>
  </property>
  <property fmtid="{D5CDD505-2E9C-101B-9397-08002B2CF9AE}" pid="21" name="Merops input file path">
    <vt:lpwstr>D:\WIP\January\28 Jan\KEIPYJ-2_MI-4\Merops\BeforeMerops_Manuscript_KEIPYJ-2_MI-4.docx</vt:lpwstr>
  </property>
  <property fmtid="{D5CDD505-2E9C-101B-9397-08002B2CF9AE}" pid="22" name="Merops -Original extension">
    <vt:lpwstr>docx</vt:lpwstr>
  </property>
  <property fmtid="{D5CDD505-2E9C-101B-9397-08002B2CF9AE}" pid="23" name="Merops server path">
    <vt:lpwstr>http://merops-shabash.dynalias.net:50080/MeropsWS/Service.asmx</vt:lpwstr>
  </property>
  <property fmtid="{D5CDD505-2E9C-101B-9397-08002B2CF9AE}" pid="24" name="Merops processed date">
    <vt:lpwstr>2020/01/28 11:37:01 AM</vt:lpwstr>
  </property>
  <property fmtid="{D5CDD505-2E9C-101B-9397-08002B2CF9AE}" pid="25" name="Merops comment count">
    <vt:lpwstr>0</vt:lpwstr>
  </property>
  <property fmtid="{D5CDD505-2E9C-101B-9397-08002B2CF9AE}" pid="26" name="Merops change count">
    <vt:lpwstr>872</vt:lpwstr>
  </property>
  <property fmtid="{D5CDD505-2E9C-101B-9397-08002B2CF9AE}" pid="27" name="UniqueFileID">
    <vt:lpwstr>hLG3SaUAm1df</vt:lpwstr>
  </property>
</Properties>
</file>