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8F6AD" w14:textId="01055265" w:rsidR="005B5028" w:rsidRDefault="005B5028" w:rsidP="005B5028">
      <w:pPr>
        <w:spacing w:line="480" w:lineRule="auto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0CC9211" wp14:editId="1251547D">
            <wp:extent cx="5274310" cy="4312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77A2D" w14:textId="23CF8188" w:rsidR="005B5028" w:rsidRPr="00263CD9" w:rsidRDefault="005B5028" w:rsidP="005B5028">
      <w:pPr>
        <w:spacing w:line="48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263CD9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Supplementary Figure 1 ZNF703 knockdown inhibited the progression of breast cancer cells. 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(A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and B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) QRT-PCR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and western blot 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assay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s</w:t>
      </w:r>
      <w:r w:rsidRPr="00967C2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ere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conducted to measure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ZNF703 mRNA and protein levels 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in BT-549 and BT-474 cells transfected with </w:t>
      </w:r>
      <w:proofErr w:type="spellStart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si</w:t>
      </w:r>
      <w:proofErr w:type="spellEnd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-NC or </w:t>
      </w:r>
      <w:proofErr w:type="spellStart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si</w:t>
      </w:r>
      <w:proofErr w:type="spellEnd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-</w:t>
      </w:r>
      <w:r w:rsidRPr="00967C20">
        <w:t xml:space="preserve"> </w:t>
      </w:r>
      <w:r w:rsidRPr="00967C20">
        <w:rPr>
          <w:rFonts w:ascii="Times New Roman" w:eastAsia="SimSun" w:hAnsi="Times New Roman" w:cs="Times New Roman"/>
          <w:color w:val="000000"/>
          <w:sz w:val="24"/>
          <w:szCs w:val="24"/>
        </w:rPr>
        <w:t>ZNF703. (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C</w:t>
      </w:r>
      <w:r w:rsidRPr="00967C2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D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) CCK-8 assay was performed to assess the proliferation of transfe</w:t>
      </w:r>
      <w:r w:rsidRPr="001D2003">
        <w:rPr>
          <w:rFonts w:ascii="Times New Roman" w:eastAsia="SimSun" w:hAnsi="Times New Roman" w:cs="Times New Roman"/>
          <w:color w:val="000000"/>
          <w:sz w:val="24"/>
          <w:szCs w:val="24"/>
        </w:rPr>
        <w:t>cted BT-549 and BT-474 cells. (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E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) Flow cytometry assay was carried out to evaluate the apoptosis of transfe</w:t>
      </w:r>
      <w:r w:rsidRPr="001D2003">
        <w:rPr>
          <w:rFonts w:ascii="Times New Roman" w:eastAsia="SimSun" w:hAnsi="Times New Roman" w:cs="Times New Roman"/>
          <w:color w:val="000000"/>
          <w:sz w:val="24"/>
          <w:szCs w:val="24"/>
        </w:rPr>
        <w:t>cted BT-549 and BT-474 cells. (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F</w:t>
      </w:r>
      <w:r w:rsidRPr="001D200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SimSun" w:hAnsi="Times New Roman" w:cs="Times New Roman" w:hint="eastAsia"/>
          <w:color w:val="000000"/>
          <w:sz w:val="24"/>
          <w:szCs w:val="24"/>
        </w:rPr>
        <w:t>G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) The migration and invasion of transfected BT-549 and BT-474 cells were examined by </w:t>
      </w:r>
      <w:proofErr w:type="spellStart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transwell</w:t>
      </w:r>
      <w:proofErr w:type="spellEnd"/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assay. *</w:t>
      </w:r>
      <w:r w:rsidRPr="00263CD9">
        <w:rPr>
          <w:rFonts w:ascii="Times New Roman" w:eastAsia="SimSun" w:hAnsi="Times New Roman" w:cs="Times New Roman"/>
          <w:i/>
          <w:color w:val="000000"/>
          <w:sz w:val="24"/>
          <w:szCs w:val="24"/>
        </w:rPr>
        <w:t>P</w:t>
      </w:r>
      <w:r w:rsidRPr="00263CD9">
        <w:rPr>
          <w:rFonts w:ascii="Times New Roman" w:eastAsia="SimSun" w:hAnsi="Times New Roman" w:cs="Times New Roman"/>
          <w:color w:val="000000"/>
          <w:sz w:val="24"/>
          <w:szCs w:val="24"/>
        </w:rPr>
        <w:t>&lt;0.05.</w:t>
      </w:r>
    </w:p>
    <w:p w14:paraId="35E65653" w14:textId="77777777" w:rsidR="00E37CF4" w:rsidRDefault="00E37CF4"/>
    <w:sectPr w:rsidR="00E3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28"/>
    <w:rsid w:val="005B5028"/>
    <w:rsid w:val="00E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E088"/>
  <w15:chartTrackingRefBased/>
  <w15:docId w15:val="{06008671-D89B-4C90-8767-6D5FC0C8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2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28"/>
    <w:rPr>
      <w:rFonts w:ascii="Segoe UI" w:eastAsiaTheme="minorEastAsia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2020-09-07T05:20:00Z</dcterms:created>
  <dcterms:modified xsi:type="dcterms:W3CDTF">2020-09-07T05:21:00Z</dcterms:modified>
</cp:coreProperties>
</file>