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AA" w:rsidRDefault="00DB280D" w:rsidP="00EA51AA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56E8E746" wp14:editId="3FFD4CAF">
            <wp:extent cx="5450774" cy="5405938"/>
            <wp:effectExtent l="0" t="0" r="0" b="4445"/>
            <wp:docPr id="1" name="Рисунок 1" descr="H:\Статья адаптивный иммунитет\1 статья CLR NLR\article\final\response\03.05.20\245638 S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татья адаптивный иммунитет\1 статья CLR NLR\article\final\response\03.05.20\245638 S Figur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173" cy="540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AA" w:rsidRDefault="00EA51AA" w:rsidP="00EA51AA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:rsidR="00DB280D" w:rsidRPr="008D17D7" w:rsidRDefault="00DB280D" w:rsidP="00EA51AA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SUPPLEMENTARY FIGURE 1.</w:t>
      </w:r>
      <w:proofErr w:type="gramEnd"/>
      <w:r w:rsidR="00EA51AA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bookmarkStart w:id="0" w:name="_GoBack"/>
      <w:bookmarkEnd w:id="0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Comparison of relative NF-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sym w:font="Symbol" w:char="F06B"/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>B/AP-1-dependent reporter inducing activity of TDB applied to THP-1-XBlue-CD14 cells using different techniques. (</w:t>
      </w:r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A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) The initial reconstitution of TDB and further plate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precoating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steps were performed according manufacturer’s (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Invivogen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) instructions (filled with gray). According to another approach TDB from stock solution was further diluted using 1xPBS containing 10% DMSO (filled with white). After addition of such TDB samples the final concentration of DMSO in cell culture was 1%. (</w:t>
      </w:r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B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) </w:t>
      </w:r>
      <w:r w:rsidRPr="008D17D7">
        <w:rPr>
          <w:rStyle w:val="current-selection"/>
          <w:rFonts w:ascii="Arial" w:hAnsi="Arial" w:cs="Arial"/>
          <w:color w:val="000000"/>
          <w:sz w:val="20"/>
          <w:szCs w:val="20"/>
          <w:lang w:val="en-US"/>
        </w:rPr>
        <w:t>Micelles of TDB diluted in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1x PBS containing 10% DMSO showed less mean diameter -191nm comparing to TDB presented in cultural media after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precoating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(mean diameter of micelles - 458nm). Maximal micelle diameter was observed in TDB diluted in 1xPBS. </w:t>
      </w:r>
      <w:r w:rsidRPr="008D17D7">
        <w:rPr>
          <w:rStyle w:val="current-selection"/>
          <w:rFonts w:ascii="Arial" w:hAnsi="Arial" w:cs="Arial"/>
          <w:color w:val="000000"/>
          <w:sz w:val="20"/>
          <w:szCs w:val="20"/>
          <w:lang w:val="en-US"/>
        </w:rPr>
        <w:t xml:space="preserve">Micelle diameter was measured by Dynamic Light Scattering (DLS) method using Malvern </w:t>
      </w:r>
      <w:proofErr w:type="spellStart"/>
      <w:r w:rsidRPr="008D17D7">
        <w:rPr>
          <w:rStyle w:val="current-selection"/>
          <w:rFonts w:ascii="Arial" w:hAnsi="Arial" w:cs="Arial"/>
          <w:color w:val="000000"/>
          <w:sz w:val="20"/>
          <w:szCs w:val="20"/>
          <w:lang w:val="en-US"/>
        </w:rPr>
        <w:t>Zetasizer</w:t>
      </w:r>
      <w:proofErr w:type="spellEnd"/>
      <w:r w:rsidRPr="008D17D7">
        <w:rPr>
          <w:rStyle w:val="current-selection"/>
          <w:rFonts w:ascii="Arial" w:hAnsi="Arial" w:cs="Arial"/>
          <w:color w:val="000000"/>
          <w:sz w:val="20"/>
          <w:szCs w:val="20"/>
          <w:lang w:val="en-US"/>
        </w:rPr>
        <w:t xml:space="preserve"> Nano instrument (Malvern Instruments, UK).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(</w:t>
      </w:r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C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) SEAP expression levels of THP-1-XBlue-CD14 cells directly stimulated with TDB diluted in 1x PBS (cross-hatched bars), or in 1x PBS containing 10% DMSO (white bars) or treated with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precoated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TDB (gray bars) at the same concentration (10µg/ml). Asterisks indicate significant differences (</w:t>
      </w:r>
      <w:r w:rsidRPr="008D17D7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P&lt;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>0.05) in SEAP activity levels between TDB-treated and untreated cells</w:t>
      </w:r>
      <w:r w:rsidRPr="008D17D7">
        <w:rPr>
          <w:rStyle w:val="current-selection"/>
          <w:rFonts w:ascii="Arial" w:hAnsi="Arial" w:cs="Arial"/>
          <w:color w:val="000000"/>
          <w:sz w:val="20"/>
          <w:szCs w:val="20"/>
          <w:lang w:val="en-US"/>
        </w:rPr>
        <w:t>. Similar (not significant) SEAP activity levels were registered after direct addition of TBD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diluted in 1x PBS containing 10% DMSO comparing to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precoating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method.</w:t>
      </w:r>
      <w:r w:rsidRPr="008D17D7">
        <w:rPr>
          <w:rStyle w:val="current-selection"/>
          <w:rFonts w:ascii="Arial" w:hAnsi="Arial" w:cs="Arial"/>
          <w:color w:val="000000"/>
          <w:sz w:val="20"/>
          <w:szCs w:val="20"/>
          <w:lang w:val="en-US"/>
        </w:rPr>
        <w:t xml:space="preserve">  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There was no toxic effect observed in THP-1 cells treated 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with TDB samples containing 1% DMSO (cell viability was measured by MTT test) comparing to untreated cells.</w:t>
      </w:r>
    </w:p>
    <w:p w:rsidR="00BF604C" w:rsidRDefault="00BF604C">
      <w:pPr>
        <w:rPr>
          <w:lang w:val="en-US"/>
        </w:rPr>
      </w:pPr>
    </w:p>
    <w:p w:rsidR="00DB280D" w:rsidRDefault="00DB280D">
      <w:pPr>
        <w:rPr>
          <w:lang w:val="en-US"/>
        </w:rPr>
      </w:pPr>
    </w:p>
    <w:p w:rsidR="00DB280D" w:rsidRDefault="00DB280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74845" cy="2654135"/>
            <wp:effectExtent l="0" t="0" r="6985" b="0"/>
            <wp:docPr id="2" name="Рисунок 2" descr="H:\Статья адаптивный иммунитет\1 статья CLR NLR\article\final\response\03.05.20\245638 S 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татья адаптивный иммунитет\1 статья CLR NLR\article\final\response\03.05.20\245638 S Figur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42" cy="265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0D" w:rsidRPr="008D17D7" w:rsidRDefault="00DB280D" w:rsidP="00DB280D">
      <w:pPr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SUPPLEMENTARY FIGURE 2.</w:t>
      </w:r>
      <w:proofErr w:type="gram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Levels of NF-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sym w:font="Symbol" w:char="F06B"/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>B/AP-1-dependent SEAP activity in THP-1-XBlue-CD14 cells after combined stimulation of CLRs (Dectin-1-Mincle) or NLRs (NOD1-NOD2).</w:t>
      </w:r>
      <w:proofErr w:type="gram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THP1-XBlue-CD14 cells were either stimulated with individual PRR agonists (C12-iE-DAP, L18-MDP, TDB or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Curdlan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) or with combinations: (</w:t>
      </w:r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A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) TDB plus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Curdlan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, or (</w:t>
      </w:r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B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>) C12-iE-DAP plus L18-MDP at the indicated concentrations (µg/ml</w:t>
      </w:r>
      <w:proofErr w:type="gram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)  for</w:t>
      </w:r>
      <w:proofErr w:type="gram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18 h. Intact cells (no treatment) were used as control. Results are expressed as the fold increase in NF-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sym w:font="Symbol" w:char="F06B"/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>B/AP-1-dependent SEAP activity relative to intact (untreated) cells (values are mean from three independent experiments, each performed in duplicate). Error bars indicated standard deviations (SD).  * indicates potentiated (greater than the sum of the fold induction observed after stimulation of single PRR at the same doses of agonists) NF-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sym w:font="Symbol" w:char="F06B"/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B/AP-1-dependent SEAP reporter gene expression level in group treated with combination of Dectin-1 and </w:t>
      </w:r>
      <w:proofErr w:type="spellStart"/>
      <w:r w:rsidRPr="008D17D7">
        <w:rPr>
          <w:rFonts w:ascii="Arial" w:hAnsi="Arial" w:cs="Arial"/>
          <w:color w:val="000000"/>
          <w:sz w:val="20"/>
          <w:szCs w:val="20"/>
          <w:lang w:val="en-US"/>
        </w:rPr>
        <w:t>Mincle</w:t>
      </w:r>
      <w:proofErr w:type="spell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agonists.</w:t>
      </w:r>
    </w:p>
    <w:p w:rsidR="00DB280D" w:rsidRDefault="00DB280D">
      <w:pPr>
        <w:rPr>
          <w:lang w:val="en-US"/>
        </w:rPr>
      </w:pPr>
    </w:p>
    <w:p w:rsidR="00DB280D" w:rsidRDefault="00DB280D" w:rsidP="00DB280D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09359" cy="4969823"/>
            <wp:effectExtent l="0" t="0" r="0" b="2540"/>
            <wp:docPr id="3" name="Рисунок 3" descr="H:\Статья адаптивный иммунитет\1 статья CLR NLR\article\final\response\03.05.20\245638 S 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татья адаптивный иммунитет\1 статья CLR NLR\article\final\response\03.05.20\245638 S Figure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553" cy="497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0D" w:rsidRDefault="00DB280D">
      <w:pPr>
        <w:rPr>
          <w:lang w:val="en-US"/>
        </w:rPr>
      </w:pPr>
    </w:p>
    <w:p w:rsidR="00DB280D" w:rsidRPr="008D17D7" w:rsidRDefault="00DB280D" w:rsidP="00DB280D">
      <w:pPr>
        <w:spacing w:after="0" w:line="480" w:lineRule="auto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proofErr w:type="gramStart"/>
      <w:r w:rsidRPr="008D17D7">
        <w:rPr>
          <w:rFonts w:ascii="Arial" w:hAnsi="Arial" w:cs="Arial"/>
          <w:b/>
          <w:color w:val="000000"/>
          <w:sz w:val="20"/>
          <w:szCs w:val="20"/>
          <w:lang w:val="en-US"/>
        </w:rPr>
        <w:t>SUPPLEMENTARY FIGURE 3.</w:t>
      </w:r>
      <w:proofErr w:type="gramEnd"/>
      <w:r w:rsidRPr="008D17D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Levels of cytokine production in mouse serum after combined stimulation of CLRs (Dectin-1, </w:t>
      </w:r>
      <w:proofErr w:type="spellStart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Mincle</w:t>
      </w:r>
      <w:proofErr w:type="spellEnd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) or NLRs (NOD1</w:t>
      </w:r>
      <w:proofErr w:type="gramStart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,NOD2</w:t>
      </w:r>
      <w:proofErr w:type="gramEnd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). Mice (</w:t>
      </w:r>
      <w:r w:rsidRPr="008D17D7">
        <w:rPr>
          <w:rFonts w:ascii="Arial" w:hAnsi="Arial" w:cs="Arial"/>
          <w:bCs/>
          <w:i/>
          <w:iCs/>
          <w:color w:val="000000"/>
          <w:sz w:val="20"/>
          <w:szCs w:val="20"/>
          <w:lang w:val="en-US"/>
        </w:rPr>
        <w:t>n=</w:t>
      </w:r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5 per group) </w:t>
      </w:r>
      <w:proofErr w:type="gramStart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were</w:t>
      </w:r>
      <w:proofErr w:type="gramEnd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injected </w:t>
      </w:r>
      <w:proofErr w:type="spellStart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i.m</w:t>
      </w:r>
      <w:proofErr w:type="spellEnd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. with PBS or with PRR agonists C12-iE-DAP (1μg/mouse), L18-MDP (1μg/mouse), </w:t>
      </w:r>
      <w:proofErr w:type="spellStart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Curdlan</w:t>
      </w:r>
      <w:proofErr w:type="spellEnd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(10μg/mouse), TDB (10μg/mouse) individually or in combinations: C12-iE-DAP-L18-MDP, </w:t>
      </w:r>
      <w:proofErr w:type="spellStart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>Curdlan</w:t>
      </w:r>
      <w:proofErr w:type="spellEnd"/>
      <w:r w:rsidRPr="008D17D7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-TDB.  Blood samples were collected 3 h after PRR ligand administration. The mean fold change in cytokine concentration relative to the mean concentration in PBS-treated animals is shown. Error bars indicate SD. </w:t>
      </w:r>
      <w:r w:rsidRPr="008D17D7">
        <w:rPr>
          <w:rFonts w:ascii="Arial" w:hAnsi="Arial" w:cs="Arial"/>
          <w:color w:val="000000"/>
          <w:sz w:val="20"/>
          <w:szCs w:val="20"/>
          <w:lang w:val="en-US"/>
        </w:rPr>
        <w:t>* Indicates significant difference (P≤0.05, Student t-test) between PRR agonist (individually or in combinations) treated cells and the intact cells.</w:t>
      </w:r>
      <w:r w:rsidRPr="008D17D7" w:rsidDel="004A05E3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DB280D" w:rsidRPr="00DB280D" w:rsidRDefault="00DB280D">
      <w:pPr>
        <w:rPr>
          <w:lang w:val="en-US"/>
        </w:rPr>
      </w:pPr>
    </w:p>
    <w:sectPr w:rsidR="00DB280D" w:rsidRPr="00DB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6313"/>
    <w:multiLevelType w:val="hybridMultilevel"/>
    <w:tmpl w:val="1D5A88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0E"/>
    <w:rsid w:val="0009740E"/>
    <w:rsid w:val="00A800EA"/>
    <w:rsid w:val="00BF604C"/>
    <w:rsid w:val="00DB280D"/>
    <w:rsid w:val="00E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80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B28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280D"/>
    <w:pPr>
      <w:spacing w:line="240" w:lineRule="auto"/>
    </w:pPr>
    <w:rPr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280D"/>
    <w:rPr>
      <w:sz w:val="20"/>
      <w:szCs w:val="20"/>
      <w:lang w:val="en-US"/>
    </w:rPr>
  </w:style>
  <w:style w:type="character" w:customStyle="1" w:styleId="current-selection">
    <w:name w:val="current-selection"/>
    <w:basedOn w:val="a0"/>
    <w:rsid w:val="00DB2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80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B28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280D"/>
    <w:pPr>
      <w:spacing w:line="240" w:lineRule="auto"/>
    </w:pPr>
    <w:rPr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280D"/>
    <w:rPr>
      <w:sz w:val="20"/>
      <w:szCs w:val="20"/>
      <w:lang w:val="en-US"/>
    </w:rPr>
  </w:style>
  <w:style w:type="character" w:customStyle="1" w:styleId="current-selection">
    <w:name w:val="current-selection"/>
    <w:basedOn w:val="a0"/>
    <w:rsid w:val="00DB2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2020-06-03T09:50:00Z</dcterms:created>
  <dcterms:modified xsi:type="dcterms:W3CDTF">2020-06-04T15:18:00Z</dcterms:modified>
</cp:coreProperties>
</file>