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1DA09" w14:textId="77777777" w:rsidR="00F11A4D" w:rsidRPr="00D80996" w:rsidRDefault="00F11A4D" w:rsidP="00F11A4D">
      <w:pPr>
        <w:pStyle w:val="Heading1"/>
        <w:rPr>
          <w:lang w:val="en-US"/>
        </w:rPr>
      </w:pPr>
      <w:bookmarkStart w:id="0" w:name="_GoBack"/>
      <w:bookmarkEnd w:id="0"/>
      <w:r w:rsidRPr="00D80996">
        <w:rPr>
          <w:lang w:val="en-US"/>
        </w:rPr>
        <w:t>Supplemental figures</w:t>
      </w:r>
    </w:p>
    <w:p w14:paraId="7C166C00" w14:textId="228AE740" w:rsidR="00F11A4D" w:rsidRDefault="00F11A4D" w:rsidP="00F11A4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11A4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D64BE8" wp14:editId="492ACBF6">
            <wp:extent cx="5328000" cy="4068000"/>
            <wp:effectExtent l="0" t="0" r="6350" b="889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12FB3861-B006-44C9-9D5E-60C19274D8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ED0130" w14:textId="77777777" w:rsidR="00F11A4D" w:rsidRPr="00D80996" w:rsidRDefault="00F11A4D" w:rsidP="00F11A4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33A28F3" w14:textId="6F4E8D0D" w:rsidR="00F11A4D" w:rsidRPr="00D80996" w:rsidRDefault="00F11A4D" w:rsidP="00F11A4D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80996">
        <w:rPr>
          <w:rFonts w:ascii="Arial" w:hAnsi="Arial" w:cs="Arial"/>
          <w:b/>
          <w:bCs/>
          <w:sz w:val="24"/>
          <w:szCs w:val="24"/>
          <w:lang w:val="en-US"/>
        </w:rPr>
        <w:t>Fig. S1:</w:t>
      </w:r>
      <w:r w:rsidRPr="00D80996">
        <w:rPr>
          <w:rFonts w:ascii="Arial" w:hAnsi="Arial" w:cs="Arial"/>
          <w:sz w:val="24"/>
          <w:szCs w:val="24"/>
          <w:lang w:val="en-US"/>
        </w:rPr>
        <w:t xml:space="preserve"> </w:t>
      </w:r>
      <w:r w:rsidRPr="00D80996">
        <w:rPr>
          <w:rFonts w:ascii="Arial" w:hAnsi="Arial" w:cs="Arial"/>
          <w:b/>
          <w:bCs/>
          <w:sz w:val="24"/>
          <w:szCs w:val="24"/>
          <w:lang w:val="en-US"/>
        </w:rPr>
        <w:t>LS</w:t>
      </w:r>
      <w:r w:rsidR="00BA3D2E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D80996">
        <w:rPr>
          <w:rFonts w:ascii="Arial" w:hAnsi="Arial" w:cs="Arial"/>
          <w:b/>
          <w:bCs/>
          <w:sz w:val="24"/>
          <w:szCs w:val="24"/>
          <w:lang w:val="en-US"/>
        </w:rPr>
        <w:t xml:space="preserve"> from </w:t>
      </w:r>
      <w:proofErr w:type="spellStart"/>
      <w:r w:rsidRPr="00D80996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="00BA3D2E">
        <w:rPr>
          <w:rFonts w:ascii="Arial" w:hAnsi="Arial" w:cs="Arial"/>
          <w:b/>
          <w:bCs/>
          <w:sz w:val="24"/>
          <w:szCs w:val="24"/>
          <w:lang w:val="en-US"/>
        </w:rPr>
        <w:t>ibro</w:t>
      </w:r>
      <w:r w:rsidR="00851B98">
        <w:rPr>
          <w:rFonts w:ascii="Arial" w:hAnsi="Arial" w:cs="Arial"/>
          <w:b/>
          <w:bCs/>
          <w:sz w:val="24"/>
          <w:szCs w:val="24"/>
          <w:lang w:val="en-US"/>
        </w:rPr>
        <w:t>T</w:t>
      </w:r>
      <w:r w:rsidR="00BA3D2E">
        <w:rPr>
          <w:rFonts w:ascii="Arial" w:hAnsi="Arial" w:cs="Arial"/>
          <w:b/>
          <w:bCs/>
          <w:sz w:val="24"/>
          <w:szCs w:val="24"/>
          <w:lang w:val="en-US"/>
        </w:rPr>
        <w:t>ouch</w:t>
      </w:r>
      <w:proofErr w:type="spellEnd"/>
      <w:r w:rsidRPr="00D8099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BA3D2E">
        <w:rPr>
          <w:rFonts w:ascii="Arial" w:hAnsi="Arial" w:cs="Arial"/>
          <w:b/>
          <w:bCs/>
          <w:sz w:val="24"/>
          <w:szCs w:val="24"/>
          <w:lang w:val="en-US"/>
        </w:rPr>
        <w:t>(FT) and</w:t>
      </w:r>
      <w:r w:rsidRPr="00D80996">
        <w:rPr>
          <w:rFonts w:ascii="Arial" w:hAnsi="Arial" w:cs="Arial"/>
          <w:b/>
          <w:bCs/>
          <w:sz w:val="24"/>
          <w:szCs w:val="24"/>
          <w:lang w:val="en-US"/>
        </w:rPr>
        <w:t xml:space="preserve"> LSM from </w:t>
      </w:r>
      <w:proofErr w:type="spellStart"/>
      <w:r w:rsidRPr="00D80996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="00BA3D2E">
        <w:rPr>
          <w:rFonts w:ascii="Arial" w:hAnsi="Arial" w:cs="Arial"/>
          <w:b/>
          <w:bCs/>
          <w:sz w:val="24"/>
          <w:szCs w:val="24"/>
          <w:lang w:val="en-US"/>
        </w:rPr>
        <w:t>ibroScan</w:t>
      </w:r>
      <w:proofErr w:type="spellEnd"/>
      <w:r w:rsidR="00BA3D2E">
        <w:rPr>
          <w:rFonts w:ascii="Arial" w:hAnsi="Arial" w:cs="Arial"/>
          <w:b/>
          <w:bCs/>
          <w:sz w:val="24"/>
          <w:szCs w:val="24"/>
          <w:lang w:val="en-US"/>
        </w:rPr>
        <w:t xml:space="preserve"> (FS)</w:t>
      </w:r>
      <w:r w:rsidRPr="00D80996">
        <w:rPr>
          <w:rFonts w:ascii="Arial" w:hAnsi="Arial" w:cs="Arial"/>
          <w:b/>
          <w:bCs/>
          <w:sz w:val="24"/>
          <w:szCs w:val="24"/>
          <w:lang w:val="en-US"/>
        </w:rPr>
        <w:t xml:space="preserve"> for each patient ordered by LS</w:t>
      </w:r>
      <w:r w:rsidR="00BA3D2E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D80996">
        <w:rPr>
          <w:rFonts w:ascii="Arial" w:hAnsi="Arial" w:cs="Arial"/>
          <w:b/>
          <w:bCs/>
          <w:sz w:val="24"/>
          <w:szCs w:val="24"/>
          <w:lang w:val="en-US"/>
        </w:rPr>
        <w:t>-FS from lowest to highest.</w:t>
      </w:r>
    </w:p>
    <w:p w14:paraId="6941A9F2" w14:textId="14539337" w:rsidR="00F11A4D" w:rsidRDefault="00F11A4D" w:rsidP="00F11A4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6543535C" w14:textId="42C9786B" w:rsidR="00F11A4D" w:rsidRDefault="00F11A4D" w:rsidP="00F11A4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11A4D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61D887F" wp14:editId="760A51FD">
            <wp:extent cx="5328000" cy="4068000"/>
            <wp:effectExtent l="0" t="0" r="6350" b="889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CF309E5-AA71-43FB-BA07-D1178EB949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4D6420" w14:textId="77777777" w:rsidR="00F11A4D" w:rsidRPr="00D80996" w:rsidRDefault="00F11A4D" w:rsidP="00F11A4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1721A78C" w14:textId="434EAD32" w:rsidR="00F11A4D" w:rsidRPr="00D80996" w:rsidRDefault="00F11A4D" w:rsidP="00F11A4D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80996">
        <w:rPr>
          <w:rFonts w:ascii="Arial" w:hAnsi="Arial" w:cs="Arial"/>
          <w:b/>
          <w:bCs/>
          <w:sz w:val="24"/>
          <w:szCs w:val="24"/>
          <w:lang w:val="en-US"/>
        </w:rPr>
        <w:t>Fig. S2:</w:t>
      </w:r>
      <w:r w:rsidRPr="00D80996">
        <w:rPr>
          <w:rFonts w:ascii="Arial" w:hAnsi="Arial" w:cs="Arial"/>
          <w:sz w:val="24"/>
          <w:szCs w:val="24"/>
          <w:lang w:val="en-US"/>
        </w:rPr>
        <w:t xml:space="preserve"> </w:t>
      </w:r>
      <w:r w:rsidRPr="00D80996">
        <w:rPr>
          <w:rFonts w:ascii="Arial" w:hAnsi="Arial" w:cs="Arial"/>
          <w:b/>
          <w:bCs/>
          <w:sz w:val="24"/>
          <w:szCs w:val="24"/>
          <w:lang w:val="en-US"/>
        </w:rPr>
        <w:t xml:space="preserve">CAP </w:t>
      </w:r>
      <w:r w:rsidR="00FC4E57">
        <w:rPr>
          <w:rFonts w:ascii="Arial" w:hAnsi="Arial" w:cs="Arial"/>
          <w:b/>
          <w:bCs/>
          <w:sz w:val="24"/>
          <w:szCs w:val="24"/>
          <w:lang w:val="en-US"/>
        </w:rPr>
        <w:t xml:space="preserve">from </w:t>
      </w:r>
      <w:proofErr w:type="spellStart"/>
      <w:r w:rsidR="00FC4E57">
        <w:rPr>
          <w:rFonts w:ascii="Arial" w:hAnsi="Arial" w:cs="Arial"/>
          <w:b/>
          <w:bCs/>
          <w:sz w:val="24"/>
          <w:szCs w:val="24"/>
          <w:lang w:val="en-US"/>
        </w:rPr>
        <w:t>FibroScan</w:t>
      </w:r>
      <w:proofErr w:type="spellEnd"/>
      <w:r w:rsidR="00FC4E5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BA3D2E">
        <w:rPr>
          <w:rFonts w:ascii="Arial" w:hAnsi="Arial" w:cs="Arial"/>
          <w:b/>
          <w:bCs/>
          <w:sz w:val="24"/>
          <w:szCs w:val="24"/>
          <w:lang w:val="en-US"/>
        </w:rPr>
        <w:t>(FS)</w:t>
      </w:r>
      <w:r w:rsidR="00FC4E5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D80996">
        <w:rPr>
          <w:rFonts w:ascii="Arial" w:hAnsi="Arial" w:cs="Arial"/>
          <w:b/>
          <w:bCs/>
          <w:sz w:val="24"/>
          <w:szCs w:val="24"/>
          <w:lang w:val="en-US"/>
        </w:rPr>
        <w:t xml:space="preserve">and UAP </w:t>
      </w:r>
      <w:r w:rsidR="00FC4E57">
        <w:rPr>
          <w:rFonts w:ascii="Arial" w:hAnsi="Arial" w:cs="Arial"/>
          <w:b/>
          <w:bCs/>
          <w:sz w:val="24"/>
          <w:szCs w:val="24"/>
          <w:lang w:val="en-US"/>
        </w:rPr>
        <w:t xml:space="preserve">from </w:t>
      </w:r>
      <w:proofErr w:type="spellStart"/>
      <w:r w:rsidR="00FC4E57">
        <w:rPr>
          <w:rFonts w:ascii="Arial" w:hAnsi="Arial" w:cs="Arial"/>
          <w:b/>
          <w:bCs/>
          <w:sz w:val="24"/>
          <w:szCs w:val="24"/>
          <w:lang w:val="en-US"/>
        </w:rPr>
        <w:t>FibroTouch</w:t>
      </w:r>
      <w:proofErr w:type="spellEnd"/>
      <w:r w:rsidR="00FC4E5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BA3D2E">
        <w:rPr>
          <w:rFonts w:ascii="Arial" w:hAnsi="Arial" w:cs="Arial"/>
          <w:b/>
          <w:bCs/>
          <w:sz w:val="24"/>
          <w:szCs w:val="24"/>
          <w:lang w:val="en-US"/>
        </w:rPr>
        <w:t xml:space="preserve">(FT) </w:t>
      </w:r>
      <w:r w:rsidRPr="00D80996">
        <w:rPr>
          <w:rFonts w:ascii="Arial" w:hAnsi="Arial" w:cs="Arial"/>
          <w:b/>
          <w:bCs/>
          <w:sz w:val="24"/>
          <w:szCs w:val="24"/>
          <w:lang w:val="en-US"/>
        </w:rPr>
        <w:t>for each patient ordered by CAP-FS from lowest to highest.</w:t>
      </w:r>
    </w:p>
    <w:p w14:paraId="3548931E" w14:textId="77777777" w:rsidR="00FC3FF5" w:rsidRPr="00F11A4D" w:rsidRDefault="00FC3FF5">
      <w:pPr>
        <w:rPr>
          <w:lang w:val="en-US"/>
        </w:rPr>
      </w:pPr>
    </w:p>
    <w:sectPr w:rsidR="00FC3FF5" w:rsidRPr="00F11A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4D"/>
    <w:rsid w:val="00851B98"/>
    <w:rsid w:val="00A701D9"/>
    <w:rsid w:val="00BA3D2E"/>
    <w:rsid w:val="00CE1ABA"/>
    <w:rsid w:val="00F11A4D"/>
    <w:rsid w:val="00FC3FF5"/>
    <w:rsid w:val="00F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6303"/>
  <w15:chartTrackingRefBased/>
  <w15:docId w15:val="{01D538B0-61B1-4860-82A9-6074BEA0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A4D"/>
  </w:style>
  <w:style w:type="paragraph" w:styleId="Heading1">
    <w:name w:val="heading 1"/>
    <w:basedOn w:val="Normal"/>
    <w:next w:val="Normal"/>
    <w:link w:val="Heading1Char"/>
    <w:uiPriority w:val="9"/>
    <w:qFormat/>
    <w:rsid w:val="00F11A4D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A4D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nny\Desktop\Fibroscan%20Fibrotouch\FibroScan%20database_14Jul_Results_24..6.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69742557124927"/>
          <c:y val="4.2828537760990631E-2"/>
          <c:w val="0.80619154867282383"/>
          <c:h val="0.77437444358972141"/>
        </c:manualLayout>
      </c:layout>
      <c:scatterChart>
        <c:scatterStyle val="lineMarker"/>
        <c:varyColors val="0"/>
        <c:ser>
          <c:idx val="0"/>
          <c:order val="0"/>
          <c:tx>
            <c:v>FS</c:v>
          </c:tx>
          <c:spPr>
            <a:ln w="12700" cap="rnd">
              <a:solidFill>
                <a:schemeClr val="tx2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Sheet2!$A$2:$A$40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</c:numCache>
            </c:numRef>
          </c:xVal>
          <c:yVal>
            <c:numRef>
              <c:f>Sheet2!$B$2:$B$40</c:f>
              <c:numCache>
                <c:formatCode>General</c:formatCode>
                <c:ptCount val="39"/>
                <c:pt idx="0">
                  <c:v>2.7</c:v>
                </c:pt>
                <c:pt idx="1">
                  <c:v>3.3</c:v>
                </c:pt>
                <c:pt idx="2">
                  <c:v>3.4</c:v>
                </c:pt>
                <c:pt idx="3">
                  <c:v>3.8</c:v>
                </c:pt>
                <c:pt idx="4">
                  <c:v>3.8</c:v>
                </c:pt>
                <c:pt idx="5">
                  <c:v>4.0999999999999996</c:v>
                </c:pt>
                <c:pt idx="6">
                  <c:v>4.2</c:v>
                </c:pt>
                <c:pt idx="7">
                  <c:v>4.2</c:v>
                </c:pt>
                <c:pt idx="8">
                  <c:v>4.3</c:v>
                </c:pt>
                <c:pt idx="9">
                  <c:v>4.4000000000000004</c:v>
                </c:pt>
                <c:pt idx="10">
                  <c:v>4.5</c:v>
                </c:pt>
                <c:pt idx="11">
                  <c:v>4.5</c:v>
                </c:pt>
                <c:pt idx="12">
                  <c:v>4.7</c:v>
                </c:pt>
                <c:pt idx="13">
                  <c:v>4.9000000000000004</c:v>
                </c:pt>
                <c:pt idx="14">
                  <c:v>5</c:v>
                </c:pt>
                <c:pt idx="15">
                  <c:v>5.0999999999999996</c:v>
                </c:pt>
                <c:pt idx="16">
                  <c:v>5.2</c:v>
                </c:pt>
                <c:pt idx="17">
                  <c:v>5.3</c:v>
                </c:pt>
                <c:pt idx="18">
                  <c:v>5.5</c:v>
                </c:pt>
                <c:pt idx="19">
                  <c:v>5.6</c:v>
                </c:pt>
                <c:pt idx="20">
                  <c:v>6.1</c:v>
                </c:pt>
                <c:pt idx="21">
                  <c:v>6.2</c:v>
                </c:pt>
                <c:pt idx="22">
                  <c:v>6.4</c:v>
                </c:pt>
                <c:pt idx="23">
                  <c:v>6.5</c:v>
                </c:pt>
                <c:pt idx="24">
                  <c:v>6.6</c:v>
                </c:pt>
                <c:pt idx="25">
                  <c:v>6.8</c:v>
                </c:pt>
                <c:pt idx="26">
                  <c:v>7.5</c:v>
                </c:pt>
                <c:pt idx="27">
                  <c:v>8.3000000000000007</c:v>
                </c:pt>
                <c:pt idx="28">
                  <c:v>8.6</c:v>
                </c:pt>
                <c:pt idx="29">
                  <c:v>8.6999999999999993</c:v>
                </c:pt>
                <c:pt idx="30">
                  <c:v>9.8000000000000007</c:v>
                </c:pt>
                <c:pt idx="31">
                  <c:v>10</c:v>
                </c:pt>
                <c:pt idx="32">
                  <c:v>12</c:v>
                </c:pt>
                <c:pt idx="33">
                  <c:v>18.399999999999999</c:v>
                </c:pt>
                <c:pt idx="34">
                  <c:v>22</c:v>
                </c:pt>
                <c:pt idx="35">
                  <c:v>33.4</c:v>
                </c:pt>
                <c:pt idx="36">
                  <c:v>38</c:v>
                </c:pt>
                <c:pt idx="37">
                  <c:v>39.9</c:v>
                </c:pt>
                <c:pt idx="38">
                  <c:v>73.900000000000006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01A-4D17-BED0-75B2BFFCA393}"/>
            </c:ext>
          </c:extLst>
        </c:ser>
        <c:ser>
          <c:idx val="1"/>
          <c:order val="1"/>
          <c:tx>
            <c:v>FT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12700">
                <a:solidFill>
                  <a:schemeClr val="accent2"/>
                </a:solidFill>
              </a:ln>
              <a:effectLst/>
            </c:spPr>
          </c:marker>
          <c:xVal>
            <c:numRef>
              <c:f>Sheet2!$A$2:$A$40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</c:numCache>
            </c:numRef>
          </c:xVal>
          <c:yVal>
            <c:numRef>
              <c:f>Sheet2!$C$2:$C$40</c:f>
              <c:numCache>
                <c:formatCode>General</c:formatCode>
                <c:ptCount val="39"/>
                <c:pt idx="0">
                  <c:v>2.6</c:v>
                </c:pt>
                <c:pt idx="1">
                  <c:v>5.3</c:v>
                </c:pt>
                <c:pt idx="2">
                  <c:v>3.7</c:v>
                </c:pt>
                <c:pt idx="3">
                  <c:v>4.9000000000000004</c:v>
                </c:pt>
                <c:pt idx="4">
                  <c:v>2.1</c:v>
                </c:pt>
                <c:pt idx="5">
                  <c:v>3.9</c:v>
                </c:pt>
                <c:pt idx="6">
                  <c:v>3.5</c:v>
                </c:pt>
                <c:pt idx="7">
                  <c:v>5.4</c:v>
                </c:pt>
                <c:pt idx="8">
                  <c:v>5.3</c:v>
                </c:pt>
                <c:pt idx="9">
                  <c:v>7.1</c:v>
                </c:pt>
                <c:pt idx="10">
                  <c:v>20.2</c:v>
                </c:pt>
                <c:pt idx="11">
                  <c:v>4.5999999999999996</c:v>
                </c:pt>
                <c:pt idx="12">
                  <c:v>4.3</c:v>
                </c:pt>
                <c:pt idx="13">
                  <c:v>4.0999999999999996</c:v>
                </c:pt>
                <c:pt idx="14">
                  <c:v>4</c:v>
                </c:pt>
                <c:pt idx="15">
                  <c:v>7.8</c:v>
                </c:pt>
                <c:pt idx="16">
                  <c:v>5.3</c:v>
                </c:pt>
                <c:pt idx="17">
                  <c:v>6.9</c:v>
                </c:pt>
                <c:pt idx="18">
                  <c:v>8.1999999999999993</c:v>
                </c:pt>
                <c:pt idx="19">
                  <c:v>3.9</c:v>
                </c:pt>
                <c:pt idx="20">
                  <c:v>5.2</c:v>
                </c:pt>
                <c:pt idx="21">
                  <c:v>7.2</c:v>
                </c:pt>
                <c:pt idx="22">
                  <c:v>7.2</c:v>
                </c:pt>
                <c:pt idx="23">
                  <c:v>8.1</c:v>
                </c:pt>
                <c:pt idx="24">
                  <c:v>7.6</c:v>
                </c:pt>
                <c:pt idx="25">
                  <c:v>11</c:v>
                </c:pt>
                <c:pt idx="26">
                  <c:v>3.8</c:v>
                </c:pt>
                <c:pt idx="27">
                  <c:v>22.6</c:v>
                </c:pt>
                <c:pt idx="28">
                  <c:v>10.3</c:v>
                </c:pt>
                <c:pt idx="29">
                  <c:v>8.8000000000000007</c:v>
                </c:pt>
                <c:pt idx="30">
                  <c:v>16.8</c:v>
                </c:pt>
                <c:pt idx="31">
                  <c:v>8.9</c:v>
                </c:pt>
                <c:pt idx="32">
                  <c:v>14.3</c:v>
                </c:pt>
                <c:pt idx="33">
                  <c:v>41.9</c:v>
                </c:pt>
                <c:pt idx="34">
                  <c:v>28.3</c:v>
                </c:pt>
                <c:pt idx="35">
                  <c:v>56.5</c:v>
                </c:pt>
                <c:pt idx="36">
                  <c:v>7.2</c:v>
                </c:pt>
                <c:pt idx="37">
                  <c:v>45.7</c:v>
                </c:pt>
                <c:pt idx="38">
                  <c:v>78.599999999999994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01A-4D17-BED0-75B2BFFCA3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0267016"/>
        <c:axId val="480272264"/>
      </c:scatterChart>
      <c:valAx>
        <c:axId val="480267016"/>
        <c:scaling>
          <c:orientation val="minMax"/>
          <c:max val="4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Patient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0272264"/>
        <c:crosses val="autoZero"/>
        <c:crossBetween val="midCat"/>
        <c:majorUnit val="5"/>
      </c:valAx>
      <c:valAx>
        <c:axId val="480272264"/>
        <c:scaling>
          <c:logBase val="10"/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dirty="0"/>
                  <a:t>LSM (kPa)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0267016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17877546348834994"/>
          <c:y val="6.3571512946172595E-2"/>
          <c:w val="0.11169016844069658"/>
          <c:h val="0.14106041355148941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677101714232819"/>
          <c:y val="4.2828537760990631E-2"/>
          <c:w val="0.79639488487891996"/>
          <c:h val="0.77437444358972141"/>
        </c:manualLayout>
      </c:layout>
      <c:scatterChart>
        <c:scatterStyle val="lineMarker"/>
        <c:varyColors val="0"/>
        <c:ser>
          <c:idx val="0"/>
          <c:order val="0"/>
          <c:tx>
            <c:v>FS</c:v>
          </c:tx>
          <c:spPr>
            <a:ln w="12700" cap="rnd">
              <a:solidFill>
                <a:schemeClr val="tx2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Sheet2!$O$2:$O$40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</c:numCache>
            </c:numRef>
          </c:xVal>
          <c:yVal>
            <c:numRef>
              <c:f>Sheet2!$P$2:$P$40</c:f>
              <c:numCache>
                <c:formatCode>General</c:formatCode>
                <c:ptCount val="39"/>
                <c:pt idx="0">
                  <c:v>100</c:v>
                </c:pt>
                <c:pt idx="1">
                  <c:v>138</c:v>
                </c:pt>
                <c:pt idx="2">
                  <c:v>155</c:v>
                </c:pt>
                <c:pt idx="3">
                  <c:v>156</c:v>
                </c:pt>
                <c:pt idx="4">
                  <c:v>169</c:v>
                </c:pt>
                <c:pt idx="5">
                  <c:v>177</c:v>
                </c:pt>
                <c:pt idx="6">
                  <c:v>183</c:v>
                </c:pt>
                <c:pt idx="7">
                  <c:v>215</c:v>
                </c:pt>
                <c:pt idx="8">
                  <c:v>217</c:v>
                </c:pt>
                <c:pt idx="9">
                  <c:v>217</c:v>
                </c:pt>
                <c:pt idx="10">
                  <c:v>218</c:v>
                </c:pt>
                <c:pt idx="11">
                  <c:v>230</c:v>
                </c:pt>
                <c:pt idx="12">
                  <c:v>237</c:v>
                </c:pt>
                <c:pt idx="13">
                  <c:v>241</c:v>
                </c:pt>
                <c:pt idx="14">
                  <c:v>242</c:v>
                </c:pt>
                <c:pt idx="15">
                  <c:v>244</c:v>
                </c:pt>
                <c:pt idx="16">
                  <c:v>244</c:v>
                </c:pt>
                <c:pt idx="17">
                  <c:v>247</c:v>
                </c:pt>
                <c:pt idx="18">
                  <c:v>249</c:v>
                </c:pt>
                <c:pt idx="19">
                  <c:v>258</c:v>
                </c:pt>
                <c:pt idx="20">
                  <c:v>264</c:v>
                </c:pt>
                <c:pt idx="21">
                  <c:v>266</c:v>
                </c:pt>
                <c:pt idx="22">
                  <c:v>286</c:v>
                </c:pt>
                <c:pt idx="23">
                  <c:v>290</c:v>
                </c:pt>
                <c:pt idx="24">
                  <c:v>290</c:v>
                </c:pt>
                <c:pt idx="25">
                  <c:v>293</c:v>
                </c:pt>
                <c:pt idx="26">
                  <c:v>299</c:v>
                </c:pt>
                <c:pt idx="27">
                  <c:v>300</c:v>
                </c:pt>
                <c:pt idx="28">
                  <c:v>301</c:v>
                </c:pt>
                <c:pt idx="29">
                  <c:v>302</c:v>
                </c:pt>
                <c:pt idx="30">
                  <c:v>304</c:v>
                </c:pt>
                <c:pt idx="31">
                  <c:v>315</c:v>
                </c:pt>
                <c:pt idx="32">
                  <c:v>317</c:v>
                </c:pt>
                <c:pt idx="33">
                  <c:v>321</c:v>
                </c:pt>
                <c:pt idx="34">
                  <c:v>325</c:v>
                </c:pt>
                <c:pt idx="35">
                  <c:v>326</c:v>
                </c:pt>
                <c:pt idx="36">
                  <c:v>353</c:v>
                </c:pt>
                <c:pt idx="37">
                  <c:v>371</c:v>
                </c:pt>
                <c:pt idx="38">
                  <c:v>391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4D4-41CE-A545-78B6B3B23AA6}"/>
            </c:ext>
          </c:extLst>
        </c:ser>
        <c:ser>
          <c:idx val="1"/>
          <c:order val="1"/>
          <c:tx>
            <c:v>FT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12700">
                <a:solidFill>
                  <a:schemeClr val="accent2"/>
                </a:solidFill>
              </a:ln>
              <a:effectLst/>
            </c:spPr>
          </c:marker>
          <c:xVal>
            <c:numRef>
              <c:f>Sheet2!$O$2:$O$40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</c:numCache>
            </c:numRef>
          </c:xVal>
          <c:yVal>
            <c:numRef>
              <c:f>Sheet2!$Q$2:$Q$40</c:f>
              <c:numCache>
                <c:formatCode>General</c:formatCode>
                <c:ptCount val="39"/>
                <c:pt idx="0">
                  <c:v>163</c:v>
                </c:pt>
                <c:pt idx="1">
                  <c:v>202</c:v>
                </c:pt>
                <c:pt idx="2">
                  <c:v>225</c:v>
                </c:pt>
                <c:pt idx="3">
                  <c:v>203</c:v>
                </c:pt>
                <c:pt idx="4">
                  <c:v>207</c:v>
                </c:pt>
                <c:pt idx="5">
                  <c:v>185</c:v>
                </c:pt>
                <c:pt idx="6">
                  <c:v>236</c:v>
                </c:pt>
                <c:pt idx="7">
                  <c:v>204</c:v>
                </c:pt>
                <c:pt idx="8">
                  <c:v>250</c:v>
                </c:pt>
                <c:pt idx="9">
                  <c:v>187</c:v>
                </c:pt>
                <c:pt idx="10">
                  <c:v>255</c:v>
                </c:pt>
                <c:pt idx="11">
                  <c:v>218</c:v>
                </c:pt>
                <c:pt idx="12">
                  <c:v>250</c:v>
                </c:pt>
                <c:pt idx="13">
                  <c:v>315</c:v>
                </c:pt>
                <c:pt idx="14">
                  <c:v>298</c:v>
                </c:pt>
                <c:pt idx="15">
                  <c:v>230</c:v>
                </c:pt>
                <c:pt idx="16">
                  <c:v>241</c:v>
                </c:pt>
                <c:pt idx="17">
                  <c:v>245</c:v>
                </c:pt>
                <c:pt idx="18">
                  <c:v>278</c:v>
                </c:pt>
                <c:pt idx="19">
                  <c:v>227</c:v>
                </c:pt>
                <c:pt idx="20">
                  <c:v>250</c:v>
                </c:pt>
                <c:pt idx="21">
                  <c:v>273</c:v>
                </c:pt>
                <c:pt idx="22">
                  <c:v>283</c:v>
                </c:pt>
                <c:pt idx="23">
                  <c:v>282</c:v>
                </c:pt>
                <c:pt idx="24">
                  <c:v>245</c:v>
                </c:pt>
                <c:pt idx="25">
                  <c:v>325</c:v>
                </c:pt>
                <c:pt idx="26">
                  <c:v>316</c:v>
                </c:pt>
                <c:pt idx="27">
                  <c:v>318</c:v>
                </c:pt>
                <c:pt idx="28">
                  <c:v>268</c:v>
                </c:pt>
                <c:pt idx="29">
                  <c:v>289</c:v>
                </c:pt>
                <c:pt idx="30">
                  <c:v>276</c:v>
                </c:pt>
                <c:pt idx="31">
                  <c:v>318</c:v>
                </c:pt>
                <c:pt idx="32">
                  <c:v>319</c:v>
                </c:pt>
                <c:pt idx="33">
                  <c:v>253</c:v>
                </c:pt>
                <c:pt idx="34">
                  <c:v>330</c:v>
                </c:pt>
                <c:pt idx="35">
                  <c:v>369</c:v>
                </c:pt>
                <c:pt idx="36">
                  <c:v>368</c:v>
                </c:pt>
                <c:pt idx="37">
                  <c:v>350</c:v>
                </c:pt>
                <c:pt idx="38">
                  <c:v>339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4D4-41CE-A545-78B6B3B23A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0267016"/>
        <c:axId val="480272264"/>
      </c:scatterChart>
      <c:valAx>
        <c:axId val="480267016"/>
        <c:scaling>
          <c:orientation val="minMax"/>
          <c:max val="4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Patient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0272264"/>
        <c:crosses val="autoZero"/>
        <c:crossBetween val="midCat"/>
        <c:majorUnit val="5"/>
      </c:valAx>
      <c:valAx>
        <c:axId val="480272264"/>
        <c:scaling>
          <c:orientation val="minMax"/>
          <c:max val="40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Ultrasound attenuation (dB/m)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0267016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17877546348834994"/>
          <c:y val="6.3571512946172595E-2"/>
          <c:w val="0.11169016844069658"/>
          <c:h val="0.14106041355148941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0" ma:contentTypeDescription="Create a new document." ma:contentTypeScope="" ma:versionID="016b3a1aeda579d380f61fb3d0d9f2ab">
  <xsd:schema xmlns:xsd="http://www.w3.org/2001/XMLSchema" xmlns:xs="http://www.w3.org/2001/XMLSchema" xmlns:p="http://schemas.microsoft.com/office/2006/metadata/properties" xmlns:ns3="6ce3f3c5-67c1-4935-b6d4-117a97b95e5e" targetNamespace="http://schemas.microsoft.com/office/2006/metadata/properties" ma:root="true" ma:fieldsID="c634a7a698aec6c5f4cb6a2f7e6db567" ns3:_="">
    <xsd:import namespace="6ce3f3c5-67c1-4935-b6d4-117a97b95e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B9760-EC87-4A7A-AF85-72D2CC53A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7A242-2CC0-4127-B89C-A31230126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8A39A-5D0B-4ED2-884D-9717C0A5AA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</dc:creator>
  <cp:keywords/>
  <dc:description/>
  <cp:lastModifiedBy>Boon Lee</cp:lastModifiedBy>
  <cp:revision>2</cp:revision>
  <dcterms:created xsi:type="dcterms:W3CDTF">2020-03-17T02:31:00Z</dcterms:created>
  <dcterms:modified xsi:type="dcterms:W3CDTF">2020-03-17T02:31:00Z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