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F7B4B" w14:textId="77777777" w:rsidR="00E77EA0" w:rsidRDefault="000F7940" w:rsidP="005369E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36"/>
          <w:szCs w:val="36"/>
        </w:rPr>
      </w:pPr>
      <w:r w:rsidRPr="00AC4542">
        <w:rPr>
          <w:rFonts w:ascii="Arial" w:eastAsia="Times New Roman" w:hAnsi="Arial" w:cs="Arial"/>
          <w:b/>
          <w:bCs/>
          <w:kern w:val="32"/>
          <w:sz w:val="36"/>
          <w:szCs w:val="36"/>
        </w:rPr>
        <w:t>Supplementary information</w:t>
      </w:r>
    </w:p>
    <w:p w14:paraId="2939EB6F" w14:textId="2B1763ED" w:rsidR="008450C6" w:rsidRDefault="008450C6"/>
    <w:p w14:paraId="2E09C06A" w14:textId="77777777" w:rsidR="00E77EA0" w:rsidRPr="00E77EA0" w:rsidRDefault="00AC4542" w:rsidP="005369E9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D873AF" wp14:editId="58DAD877">
            <wp:simplePos x="0" y="0"/>
            <wp:positionH relativeFrom="column">
              <wp:posOffset>-286247</wp:posOffset>
            </wp:positionH>
            <wp:positionV relativeFrom="paragraph">
              <wp:posOffset>414</wp:posOffset>
            </wp:positionV>
            <wp:extent cx="6663690" cy="5066030"/>
            <wp:effectExtent l="0" t="0" r="381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506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77A19" w14:textId="77777777" w:rsidR="000F7940" w:rsidRPr="000F7940" w:rsidRDefault="000F7940" w:rsidP="000C24D1">
      <w:pPr>
        <w:keepNext/>
        <w:keepLines/>
        <w:spacing w:after="0" w:line="256" w:lineRule="auto"/>
        <w:rPr>
          <w:rFonts w:ascii="Arial" w:eastAsia="Calibri" w:hAnsi="Arial" w:cs="Arial"/>
          <w:sz w:val="16"/>
          <w:szCs w:val="16"/>
        </w:rPr>
      </w:pPr>
      <w:r w:rsidRPr="000F7940">
        <w:rPr>
          <w:rFonts w:ascii="Arial" w:eastAsia="Calibri" w:hAnsi="Arial" w:cs="Arial"/>
          <w:b/>
          <w:bCs/>
          <w:sz w:val="20"/>
          <w:szCs w:val="20"/>
        </w:rPr>
        <w:t xml:space="preserve">Figure S1 </w:t>
      </w:r>
      <w:r w:rsidRPr="000F7940">
        <w:rPr>
          <w:rFonts w:ascii="Arial" w:eastAsia="Calibri" w:hAnsi="Arial" w:cs="Arial"/>
          <w:sz w:val="16"/>
          <w:szCs w:val="16"/>
        </w:rPr>
        <w:t>Optimization of the experimental conditions</w:t>
      </w:r>
      <w:r w:rsidR="000C24D1">
        <w:rPr>
          <w:rFonts w:ascii="Arial" w:eastAsia="Calibri" w:hAnsi="Arial" w:cs="Arial"/>
          <w:sz w:val="16"/>
          <w:szCs w:val="16"/>
        </w:rPr>
        <w:t xml:space="preserve"> in terms of </w:t>
      </w:r>
      <w:r w:rsidRPr="000F7940">
        <w:rPr>
          <w:rFonts w:ascii="Arial" w:eastAsia="Calibri" w:hAnsi="Arial" w:cs="Arial"/>
          <w:sz w:val="16"/>
          <w:szCs w:val="16"/>
        </w:rPr>
        <w:t>(A) aptamer concentration, (B) self-assembly time, (C) incubation time, and (D) electrodeposition time.</w:t>
      </w:r>
    </w:p>
    <w:p w14:paraId="5083F7E2" w14:textId="77777777" w:rsidR="008450C6" w:rsidRDefault="008450C6">
      <w:r>
        <w:br w:type="page"/>
      </w:r>
    </w:p>
    <w:p w14:paraId="5DC357F2" w14:textId="51BACEBE" w:rsidR="00661337" w:rsidRPr="00661337" w:rsidRDefault="00661337" w:rsidP="00D33B18">
      <w:pPr>
        <w:spacing w:after="0"/>
        <w:rPr>
          <w:rFonts w:ascii="Arial" w:eastAsia="Calibri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34B42A66" wp14:editId="7ECB65A4">
            <wp:extent cx="6495169" cy="5536096"/>
            <wp:effectExtent l="0" t="0" r="127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201" cy="5536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1337">
        <w:rPr>
          <w:rFonts w:ascii="Arial" w:eastAsia="Calibri" w:hAnsi="Arial" w:cs="Arial"/>
          <w:b/>
          <w:bCs/>
          <w:sz w:val="20"/>
          <w:szCs w:val="20"/>
        </w:rPr>
        <w:t>Figure S</w:t>
      </w:r>
      <w:r w:rsidR="00825179">
        <w:rPr>
          <w:rFonts w:ascii="Arial" w:eastAsia="Calibri" w:hAnsi="Arial" w:cs="Arial"/>
          <w:b/>
          <w:bCs/>
          <w:sz w:val="20"/>
          <w:szCs w:val="20"/>
        </w:rPr>
        <w:t>2</w:t>
      </w:r>
      <w:r w:rsidRPr="00661337">
        <w:rPr>
          <w:rFonts w:ascii="Calibri" w:eastAsia="Calibri" w:hAnsi="Calibri" w:cs="Arial"/>
        </w:rPr>
        <w:t xml:space="preserve"> </w:t>
      </w:r>
      <w:proofErr w:type="gramStart"/>
      <w:r w:rsidRPr="00661337">
        <w:rPr>
          <w:rFonts w:ascii="Arial" w:eastAsia="Calibri" w:hAnsi="Arial" w:cs="Arial"/>
          <w:sz w:val="16"/>
          <w:szCs w:val="16"/>
        </w:rPr>
        <w:t>The</w:t>
      </w:r>
      <w:proofErr w:type="gramEnd"/>
      <w:r w:rsidRPr="00661337">
        <w:rPr>
          <w:rFonts w:ascii="Arial" w:eastAsia="Calibri" w:hAnsi="Arial" w:cs="Arial"/>
          <w:sz w:val="16"/>
          <w:szCs w:val="16"/>
        </w:rPr>
        <w:t xml:space="preserve"> cyclic voltammograms of the fabricated aptasensor in various electrodeposition time of </w:t>
      </w:r>
      <w:r w:rsidR="00D33B18">
        <w:rPr>
          <w:rFonts w:ascii="Arial" w:eastAsia="Calibri" w:hAnsi="Arial" w:cs="Arial"/>
          <w:sz w:val="16"/>
          <w:szCs w:val="16"/>
        </w:rPr>
        <w:t>f</w:t>
      </w:r>
      <w:r w:rsidRPr="00661337">
        <w:rPr>
          <w:rFonts w:ascii="Arial" w:eastAsia="Calibri" w:hAnsi="Arial" w:cs="Arial"/>
          <w:sz w:val="16"/>
          <w:szCs w:val="16"/>
        </w:rPr>
        <w:t>lower-like gold microstructures on electrode surface.</w:t>
      </w:r>
    </w:p>
    <w:p w14:paraId="4A43C215" w14:textId="77777777" w:rsidR="00825179" w:rsidRDefault="00825179">
      <w:r>
        <w:br w:type="page"/>
      </w:r>
    </w:p>
    <w:p w14:paraId="24796EFB" w14:textId="77777777" w:rsidR="00825179" w:rsidRPr="00E77EA0" w:rsidRDefault="00825179" w:rsidP="00825179">
      <w:pPr>
        <w:spacing w:after="0"/>
      </w:pPr>
      <w:r w:rsidRPr="00E77EA0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39E7E8E" wp14:editId="5269FA02">
            <wp:simplePos x="0" y="0"/>
            <wp:positionH relativeFrom="column">
              <wp:posOffset>93453</wp:posOffset>
            </wp:positionH>
            <wp:positionV relativeFrom="paragraph">
              <wp:posOffset>257762</wp:posOffset>
            </wp:positionV>
            <wp:extent cx="5023485" cy="2328545"/>
            <wp:effectExtent l="0" t="0" r="5715" b="0"/>
            <wp:wrapTopAndBottom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3485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3545F" w14:textId="77777777" w:rsidR="00825179" w:rsidRDefault="00825179" w:rsidP="00825179">
      <w:pPr>
        <w:tabs>
          <w:tab w:val="left" w:pos="1039"/>
        </w:tabs>
        <w:spacing w:after="0"/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Figure S3 </w:t>
      </w:r>
      <w:proofErr w:type="spellStart"/>
      <w:r w:rsidRPr="00D3193D">
        <w:rPr>
          <w:rFonts w:ascii="Arial" w:eastAsia="Calibri" w:hAnsi="Arial" w:cs="Arial"/>
          <w:sz w:val="16"/>
          <w:szCs w:val="16"/>
        </w:rPr>
        <w:t>Randles</w:t>
      </w:r>
      <w:proofErr w:type="spellEnd"/>
      <w:r w:rsidRPr="00D3193D">
        <w:rPr>
          <w:rFonts w:ascii="Arial" w:eastAsia="Calibri" w:hAnsi="Arial" w:cs="Arial"/>
          <w:sz w:val="16"/>
          <w:szCs w:val="16"/>
        </w:rPr>
        <w:t xml:space="preserve"> equivalent circuit</w:t>
      </w:r>
      <w:r>
        <w:rPr>
          <w:rFonts w:ascii="Arial" w:eastAsia="Calibri" w:hAnsi="Arial" w:cs="Arial"/>
          <w:sz w:val="16"/>
          <w:szCs w:val="16"/>
        </w:rPr>
        <w:t xml:space="preserve"> used for fitting the </w:t>
      </w:r>
      <w:r w:rsidRPr="00D3193D">
        <w:rPr>
          <w:rFonts w:ascii="Arial" w:eastAsia="Calibri" w:hAnsi="Arial" w:cs="Arial"/>
          <w:sz w:val="16"/>
          <w:szCs w:val="16"/>
        </w:rPr>
        <w:t>electrochemical impedance data</w:t>
      </w:r>
      <w:r>
        <w:rPr>
          <w:rFonts w:ascii="Arial" w:eastAsia="Calibri" w:hAnsi="Arial" w:cs="Arial"/>
          <w:sz w:val="16"/>
          <w:szCs w:val="16"/>
        </w:rPr>
        <w:t xml:space="preserve"> (</w:t>
      </w:r>
      <w:r w:rsidRPr="005D6662">
        <w:rPr>
          <w:rFonts w:ascii="Arial" w:eastAsia="Calibri" w:hAnsi="Arial" w:cs="Arial"/>
          <w:sz w:val="16"/>
          <w:szCs w:val="16"/>
        </w:rPr>
        <w:t>R</w:t>
      </w:r>
      <w:r w:rsidRPr="005D6662">
        <w:rPr>
          <w:rFonts w:ascii="Arial" w:eastAsia="Calibri" w:hAnsi="Arial" w:cs="Arial"/>
          <w:sz w:val="16"/>
          <w:szCs w:val="16"/>
          <w:vertAlign w:val="subscript"/>
        </w:rPr>
        <w:t>s</w:t>
      </w:r>
      <w:r w:rsidRPr="005D6662">
        <w:rPr>
          <w:rFonts w:ascii="Arial" w:eastAsia="Calibri" w:hAnsi="Arial" w:cs="Arial"/>
          <w:sz w:val="16"/>
          <w:szCs w:val="16"/>
        </w:rPr>
        <w:t xml:space="preserve">: </w:t>
      </w:r>
      <w:r>
        <w:rPr>
          <w:rFonts w:ascii="Arial" w:eastAsia="Calibri" w:hAnsi="Arial" w:cs="Arial"/>
          <w:sz w:val="16"/>
          <w:szCs w:val="16"/>
        </w:rPr>
        <w:t>solution resistance, C</w:t>
      </w:r>
      <w:r w:rsidRPr="005D6662">
        <w:rPr>
          <w:rFonts w:ascii="Arial" w:eastAsia="Calibri" w:hAnsi="Arial" w:cs="Arial"/>
          <w:sz w:val="16"/>
          <w:szCs w:val="16"/>
          <w:vertAlign w:val="subscript"/>
        </w:rPr>
        <w:t>d</w:t>
      </w:r>
      <w:r w:rsidRPr="005D6662">
        <w:rPr>
          <w:rFonts w:ascii="Arial" w:eastAsia="Calibri" w:hAnsi="Arial" w:cs="Arial"/>
          <w:sz w:val="16"/>
          <w:szCs w:val="16"/>
        </w:rPr>
        <w:t xml:space="preserve">: double layer capacitance, </w:t>
      </w:r>
      <w:proofErr w:type="spellStart"/>
      <w:r w:rsidRPr="005D6662">
        <w:rPr>
          <w:rFonts w:ascii="Arial" w:eastAsia="Calibri" w:hAnsi="Arial" w:cs="Arial"/>
          <w:sz w:val="16"/>
          <w:szCs w:val="16"/>
        </w:rPr>
        <w:t>R</w:t>
      </w:r>
      <w:r w:rsidRPr="005D6662">
        <w:rPr>
          <w:rFonts w:ascii="Arial" w:eastAsia="Calibri" w:hAnsi="Arial" w:cs="Arial"/>
          <w:sz w:val="16"/>
          <w:szCs w:val="16"/>
          <w:vertAlign w:val="subscript"/>
        </w:rPr>
        <w:t>ct</w:t>
      </w:r>
      <w:proofErr w:type="spellEnd"/>
      <w:r w:rsidRPr="005D6662">
        <w:rPr>
          <w:rFonts w:ascii="Arial" w:eastAsia="Calibri" w:hAnsi="Arial" w:cs="Arial"/>
          <w:sz w:val="16"/>
          <w:szCs w:val="16"/>
        </w:rPr>
        <w:t>: charge transfer resistance</w:t>
      </w:r>
      <w:r>
        <w:rPr>
          <w:rFonts w:ascii="Arial" w:eastAsia="Calibri" w:hAnsi="Arial" w:cs="Arial"/>
          <w:sz w:val="16"/>
          <w:szCs w:val="16"/>
        </w:rPr>
        <w:t>, W</w:t>
      </w:r>
      <w:r w:rsidRPr="005D6662">
        <w:rPr>
          <w:rFonts w:ascii="Arial" w:eastAsia="Calibri" w:hAnsi="Arial" w:cs="Arial"/>
          <w:sz w:val="16"/>
          <w:szCs w:val="16"/>
        </w:rPr>
        <w:t>: Warburg impedance).</w:t>
      </w:r>
    </w:p>
    <w:p w14:paraId="51E89B66" w14:textId="77777777" w:rsidR="00825179" w:rsidRDefault="00825179" w:rsidP="00825179">
      <w:r>
        <w:br w:type="page"/>
      </w:r>
    </w:p>
    <w:p w14:paraId="2A11CC16" w14:textId="46A8F232" w:rsidR="00D33B18" w:rsidRDefault="00D33B18">
      <w:bookmarkStart w:id="0" w:name="_GoBack"/>
      <w:bookmarkEnd w:id="0"/>
    </w:p>
    <w:p w14:paraId="07CF346C" w14:textId="77777777" w:rsidR="00661337" w:rsidRDefault="00661337" w:rsidP="005369E9">
      <w:pPr>
        <w:spacing w:after="0"/>
      </w:pPr>
      <w:r w:rsidRPr="00661337">
        <w:rPr>
          <w:rFonts w:ascii="Arial" w:eastAsia="Times New Roman" w:hAnsi="Arial" w:cs="Times New Roman"/>
          <w:noProof/>
          <w:sz w:val="20"/>
          <w:szCs w:val="24"/>
        </w:rPr>
        <w:drawing>
          <wp:anchor distT="0" distB="0" distL="114300" distR="114300" simplePos="0" relativeHeight="251662336" behindDoc="0" locked="0" layoutInCell="1" allowOverlap="1" wp14:anchorId="5C074112" wp14:editId="1D5834C5">
            <wp:simplePos x="1392195" y="914400"/>
            <wp:positionH relativeFrom="column">
              <wp:align>right</wp:align>
            </wp:positionH>
            <wp:positionV relativeFrom="paragraph">
              <wp:align>top</wp:align>
            </wp:positionV>
            <wp:extent cx="5466715" cy="3697605"/>
            <wp:effectExtent l="0" t="0" r="635" b="0"/>
            <wp:wrapSquare wrapText="bothSides"/>
            <wp:docPr id="4" name="Picture 4" descr="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S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715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331AD134" w14:textId="77777777" w:rsidR="00661337" w:rsidRPr="00661337" w:rsidRDefault="00661337" w:rsidP="005369E9">
      <w:pPr>
        <w:spacing w:after="0"/>
        <w:jc w:val="lowKashida"/>
      </w:pPr>
      <w:r w:rsidRPr="00661337">
        <w:rPr>
          <w:rFonts w:ascii="Arial" w:eastAsia="Calibri" w:hAnsi="Arial" w:cs="Arial"/>
          <w:b/>
          <w:bCs/>
          <w:sz w:val="20"/>
          <w:szCs w:val="20"/>
        </w:rPr>
        <w:t>Figure S4</w:t>
      </w:r>
      <w:r w:rsidRPr="00661337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661337">
        <w:rPr>
          <w:rFonts w:ascii="Arial" w:eastAsia="Calibri" w:hAnsi="Arial" w:cs="Arial"/>
          <w:sz w:val="16"/>
          <w:szCs w:val="16"/>
        </w:rPr>
        <w:t>The</w:t>
      </w:r>
      <w:proofErr w:type="gramEnd"/>
      <w:r w:rsidRPr="00661337">
        <w:rPr>
          <w:rFonts w:ascii="Arial" w:eastAsia="Calibri" w:hAnsi="Arial" w:cs="Arial"/>
          <w:sz w:val="16"/>
          <w:szCs w:val="16"/>
        </w:rPr>
        <w:t xml:space="preserve"> calibration curve of the fabricated aptasensor after incubation with various concentration of serpin A12 in plasma samples: 0 ng/mL, 0.039 ng/mL, 0.156 ng/mL, 0.625 ng/mL, 2.56 ng/mL, and 10 ng/mL. The inset is the linear relationship between differential pulse voltammetry peak current response and serpin A12 concentration. The standard deviations of three duplicate measurements indicated by error bars.</w:t>
      </w:r>
    </w:p>
    <w:sectPr w:rsidR="00661337" w:rsidRPr="00661337" w:rsidSect="00BA0D18">
      <w:foot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13356" w14:textId="77777777" w:rsidR="00EE2DB9" w:rsidRDefault="00EE2DB9" w:rsidP="000F7940">
      <w:pPr>
        <w:spacing w:after="0" w:line="240" w:lineRule="auto"/>
      </w:pPr>
      <w:r>
        <w:separator/>
      </w:r>
    </w:p>
  </w:endnote>
  <w:endnote w:type="continuationSeparator" w:id="0">
    <w:p w14:paraId="3E766820" w14:textId="77777777" w:rsidR="00EE2DB9" w:rsidRDefault="00EE2DB9" w:rsidP="000F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1097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129B6" w14:textId="77777777" w:rsidR="005D6662" w:rsidRDefault="005D66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39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169DE4B" w14:textId="77777777" w:rsidR="005D6662" w:rsidRDefault="005D6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CE5D6" w14:textId="77777777" w:rsidR="00EE2DB9" w:rsidRDefault="00EE2DB9" w:rsidP="000F7940">
      <w:pPr>
        <w:spacing w:after="0" w:line="240" w:lineRule="auto"/>
      </w:pPr>
      <w:r>
        <w:separator/>
      </w:r>
    </w:p>
  </w:footnote>
  <w:footnote w:type="continuationSeparator" w:id="0">
    <w:p w14:paraId="7E35E710" w14:textId="77777777" w:rsidR="00EE2DB9" w:rsidRDefault="00EE2DB9" w:rsidP="000F79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A0"/>
    <w:rsid w:val="00035B4D"/>
    <w:rsid w:val="00046653"/>
    <w:rsid w:val="000637B5"/>
    <w:rsid w:val="000C24D1"/>
    <w:rsid w:val="000F7940"/>
    <w:rsid w:val="00104E21"/>
    <w:rsid w:val="0011514B"/>
    <w:rsid w:val="001D7896"/>
    <w:rsid w:val="00277533"/>
    <w:rsid w:val="00306B07"/>
    <w:rsid w:val="0036239B"/>
    <w:rsid w:val="003F4FA5"/>
    <w:rsid w:val="00406141"/>
    <w:rsid w:val="00425BC0"/>
    <w:rsid w:val="00493AB8"/>
    <w:rsid w:val="004F54FD"/>
    <w:rsid w:val="005369E9"/>
    <w:rsid w:val="00536A8F"/>
    <w:rsid w:val="005D6662"/>
    <w:rsid w:val="005F7D86"/>
    <w:rsid w:val="00661337"/>
    <w:rsid w:val="00664BF7"/>
    <w:rsid w:val="006857A3"/>
    <w:rsid w:val="006C394F"/>
    <w:rsid w:val="007A7C37"/>
    <w:rsid w:val="007C2351"/>
    <w:rsid w:val="00825179"/>
    <w:rsid w:val="008450C6"/>
    <w:rsid w:val="008C436F"/>
    <w:rsid w:val="008D739F"/>
    <w:rsid w:val="008E3C2D"/>
    <w:rsid w:val="0092402B"/>
    <w:rsid w:val="009C7238"/>
    <w:rsid w:val="00A101B6"/>
    <w:rsid w:val="00AC4542"/>
    <w:rsid w:val="00B1732E"/>
    <w:rsid w:val="00BA0D18"/>
    <w:rsid w:val="00BD2B37"/>
    <w:rsid w:val="00C01271"/>
    <w:rsid w:val="00C269AB"/>
    <w:rsid w:val="00C359BA"/>
    <w:rsid w:val="00D11569"/>
    <w:rsid w:val="00D3193D"/>
    <w:rsid w:val="00D33B18"/>
    <w:rsid w:val="00E03D54"/>
    <w:rsid w:val="00E71414"/>
    <w:rsid w:val="00E77EA0"/>
    <w:rsid w:val="00EE2DB9"/>
    <w:rsid w:val="00F3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D350"/>
  <w15:chartTrackingRefBased/>
  <w15:docId w15:val="{B9F1BD52-6756-4460-A484-0A89F220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40"/>
  </w:style>
  <w:style w:type="paragraph" w:styleId="Footer">
    <w:name w:val="footer"/>
    <w:basedOn w:val="Normal"/>
    <w:link w:val="FooterChar"/>
    <w:uiPriority w:val="99"/>
    <w:unhideWhenUsed/>
    <w:rsid w:val="000F7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40"/>
  </w:style>
  <w:style w:type="paragraph" w:styleId="BalloonText">
    <w:name w:val="Balloon Text"/>
    <w:basedOn w:val="Normal"/>
    <w:link w:val="BalloonTextChar"/>
    <w:uiPriority w:val="99"/>
    <w:semiHidden/>
    <w:unhideWhenUsed/>
    <w:rsid w:val="003F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E174-2641-44AC-9357-95FEA76F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Mel Phimester</cp:lastModifiedBy>
  <cp:revision>2</cp:revision>
  <dcterms:created xsi:type="dcterms:W3CDTF">2020-03-17T00:43:00Z</dcterms:created>
  <dcterms:modified xsi:type="dcterms:W3CDTF">2020-03-17T00:43:00Z</dcterms:modified>
</cp:coreProperties>
</file>