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02" w:rsidRDefault="007C0802" w:rsidP="00BF3EAD">
      <w:pPr>
        <w:spacing w:line="360" w:lineRule="auto"/>
        <w:rPr>
          <w:rFonts w:ascii="Arial" w:hAnsi="Arial" w:cs="Times New Roman"/>
          <w:b/>
          <w:kern w:val="0"/>
          <w:sz w:val="20"/>
          <w:szCs w:val="24"/>
        </w:rPr>
      </w:pPr>
      <w:r w:rsidRPr="00BB07EA">
        <w:rPr>
          <w:rFonts w:ascii="Arial" w:hAnsi="Arial" w:cs="Times New Roman"/>
          <w:b/>
          <w:kern w:val="0"/>
          <w:sz w:val="20"/>
          <w:szCs w:val="24"/>
          <w:lang w:eastAsia="en-US"/>
        </w:rPr>
        <w:t>Figure S1</w:t>
      </w:r>
    </w:p>
    <w:p w:rsidR="007C0802" w:rsidRDefault="007C0802" w:rsidP="00BF3EAD">
      <w:pPr>
        <w:spacing w:line="360" w:lineRule="auto"/>
        <w:rPr>
          <w:rFonts w:ascii="Arial" w:hAnsi="Arial" w:cs="Times New Roman"/>
          <w:b/>
          <w:kern w:val="0"/>
          <w:sz w:val="20"/>
          <w:szCs w:val="24"/>
        </w:rPr>
      </w:pPr>
      <w:r w:rsidRPr="007C0802">
        <w:rPr>
          <w:rFonts w:ascii="Arial" w:hAnsi="Arial" w:cs="Times New Roman"/>
          <w:b/>
          <w:noProof/>
          <w:kern w:val="0"/>
          <w:sz w:val="20"/>
          <w:szCs w:val="24"/>
        </w:rPr>
        <w:drawing>
          <wp:inline distT="0" distB="0" distL="0" distR="0" wp14:anchorId="65057387" wp14:editId="1D2DEADF">
            <wp:extent cx="5274310" cy="2261870"/>
            <wp:effectExtent l="0" t="0" r="2540" b="5080"/>
            <wp:docPr id="1" name="图片 1" descr="F:\20190823-姚晓军-肺腺癌转移整合分析-陈金凤\5-投稿\20191217-OncoTargets and therapy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0823-姚晓军-肺腺癌转移整合分析-陈金凤\5-投稿\20191217-OncoTargets and therapy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AD" w:rsidRPr="000D3913" w:rsidRDefault="00BF3EAD" w:rsidP="00BF3EAD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BB07EA">
        <w:rPr>
          <w:rFonts w:ascii="Arial" w:hAnsi="Arial" w:cs="Times New Roman"/>
          <w:b/>
          <w:kern w:val="0"/>
          <w:sz w:val="20"/>
          <w:szCs w:val="24"/>
          <w:lang w:eastAsia="en-US"/>
        </w:rPr>
        <w:t>Figure S1</w:t>
      </w:r>
      <w:r w:rsidRPr="000D3913">
        <w:rPr>
          <w:rFonts w:ascii="Arial" w:hAnsi="Arial" w:cs="Times New Roman"/>
          <w:kern w:val="0"/>
          <w:sz w:val="20"/>
          <w:szCs w:val="24"/>
          <w:lang w:eastAsia="en-US"/>
        </w:rPr>
        <w:t xml:space="preserve"> Significantly enriched GO terms and KEGG pathways of DElncRNA-nearby DEmRNAs.</w:t>
      </w:r>
    </w:p>
    <w:p w:rsidR="00BF3EAD" w:rsidRPr="000D3913" w:rsidRDefault="00BF3EAD" w:rsidP="00BF3EAD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0D3913">
        <w:rPr>
          <w:rFonts w:ascii="Arial" w:hAnsi="Arial" w:cs="Times New Roman"/>
          <w:kern w:val="0"/>
          <w:sz w:val="20"/>
          <w:szCs w:val="24"/>
          <w:lang w:eastAsia="en-US"/>
        </w:rPr>
        <w:t>A). BP, biological process; B). CC, cellular component; C). MF, molecular function; D) KEGG pathways. The x-axis shows counts of DEmRNAs enriched in GO terms or KEGG pathways and the y-axis shows GO terms or KEGG pathways. The color scale represented -lg p-value.</w:t>
      </w:r>
    </w:p>
    <w:p w:rsidR="007C0802" w:rsidRDefault="007C0802" w:rsidP="007C0802">
      <w:pPr>
        <w:spacing w:line="360" w:lineRule="auto"/>
        <w:rPr>
          <w:rFonts w:ascii="Arial" w:hAnsi="Arial" w:cs="Times New Roman"/>
          <w:b/>
          <w:kern w:val="0"/>
          <w:sz w:val="20"/>
          <w:szCs w:val="24"/>
          <w:lang w:eastAsia="en-US"/>
        </w:rPr>
      </w:pPr>
    </w:p>
    <w:p w:rsidR="007C0802" w:rsidRDefault="007C0802" w:rsidP="007C0802">
      <w:pPr>
        <w:spacing w:line="360" w:lineRule="auto"/>
        <w:rPr>
          <w:rFonts w:ascii="Arial" w:hAnsi="Arial" w:cs="Times New Roman"/>
          <w:b/>
          <w:kern w:val="0"/>
          <w:sz w:val="20"/>
          <w:szCs w:val="24"/>
        </w:rPr>
      </w:pPr>
      <w:r w:rsidRPr="00BB07EA">
        <w:rPr>
          <w:rFonts w:ascii="Arial" w:hAnsi="Arial" w:cs="Times New Roman"/>
          <w:b/>
          <w:kern w:val="0"/>
          <w:sz w:val="20"/>
          <w:szCs w:val="24"/>
          <w:lang w:eastAsia="en-US"/>
        </w:rPr>
        <w:t>Figure S2</w:t>
      </w:r>
    </w:p>
    <w:p w:rsidR="007C0802" w:rsidRDefault="007C0802" w:rsidP="007C0802">
      <w:pPr>
        <w:spacing w:line="360" w:lineRule="auto"/>
        <w:rPr>
          <w:rFonts w:ascii="Arial" w:hAnsi="Arial" w:cs="Times New Roman"/>
          <w:b/>
          <w:kern w:val="0"/>
          <w:sz w:val="20"/>
          <w:szCs w:val="24"/>
        </w:rPr>
      </w:pPr>
      <w:r w:rsidRPr="007C0802">
        <w:rPr>
          <w:rFonts w:ascii="Arial" w:hAnsi="Arial" w:cs="Times New Roman"/>
          <w:b/>
          <w:noProof/>
          <w:kern w:val="0"/>
          <w:sz w:val="20"/>
          <w:szCs w:val="24"/>
        </w:rPr>
        <w:drawing>
          <wp:inline distT="0" distB="0" distL="0" distR="0" wp14:anchorId="340C278F" wp14:editId="515671E3">
            <wp:extent cx="5274310" cy="2328063"/>
            <wp:effectExtent l="0" t="0" r="2540" b="0"/>
            <wp:docPr id="2" name="图片 2" descr="F:\20190823-姚晓军-肺腺癌转移整合分析-陈金凤\5-投稿\20191217-OncoTargets and therapy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0823-姚晓军-肺腺癌转移整合分析-陈金凤\5-投稿\20191217-OncoTargets and therapy\Figure S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AD" w:rsidRPr="000D3913" w:rsidRDefault="00BF3EAD" w:rsidP="00BF3EAD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BB07EA">
        <w:rPr>
          <w:rFonts w:ascii="Arial" w:hAnsi="Arial" w:cs="Times New Roman"/>
          <w:b/>
          <w:kern w:val="0"/>
          <w:sz w:val="20"/>
          <w:szCs w:val="24"/>
          <w:lang w:eastAsia="en-US"/>
        </w:rPr>
        <w:t>Figure S2</w:t>
      </w:r>
      <w:r w:rsidRPr="000D3913">
        <w:rPr>
          <w:rFonts w:ascii="Arial" w:hAnsi="Arial" w:cs="Times New Roman"/>
          <w:kern w:val="0"/>
          <w:sz w:val="20"/>
          <w:szCs w:val="24"/>
          <w:lang w:eastAsia="en-US"/>
        </w:rPr>
        <w:t xml:space="preserve"> Significantly enriched GO terms and KEGG pathways of DEmRNAs co-expressed with DElncRNAs.</w:t>
      </w:r>
    </w:p>
    <w:p w:rsidR="001929F3" w:rsidRDefault="00BF3EAD" w:rsidP="00BF3EAD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0D3913">
        <w:rPr>
          <w:rFonts w:ascii="Arial" w:hAnsi="Arial" w:cs="Times New Roman"/>
          <w:kern w:val="0"/>
          <w:sz w:val="20"/>
          <w:szCs w:val="24"/>
          <w:lang w:eastAsia="en-US"/>
        </w:rPr>
        <w:t>A). BP, biological process; B). CC, cellular component; C). MF, molecular function; D) KEGG pathways. The x-axis shows counts of DEmRNAs enriched in GO terms or KEGG pathways and the y-axis shows GO terms or KEGG pathways. The color scale represented -lg p-value.</w:t>
      </w:r>
    </w:p>
    <w:p w:rsidR="0008315C" w:rsidRDefault="0008315C" w:rsidP="00BF3EAD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</w:p>
    <w:p w:rsidR="0008315C" w:rsidRPr="0008315C" w:rsidRDefault="0008315C" w:rsidP="00BF3EAD">
      <w:pPr>
        <w:spacing w:line="360" w:lineRule="auto"/>
        <w:rPr>
          <w:rFonts w:ascii="Arial" w:hAnsi="Arial" w:cs="Times New Roman"/>
          <w:b/>
          <w:kern w:val="0"/>
          <w:sz w:val="20"/>
          <w:szCs w:val="24"/>
          <w:lang w:eastAsia="en-US"/>
        </w:rPr>
      </w:pPr>
      <w:r w:rsidRPr="0008315C">
        <w:rPr>
          <w:rFonts w:ascii="Arial" w:hAnsi="Arial" w:cs="Times New Roman"/>
          <w:b/>
          <w:kern w:val="0"/>
          <w:sz w:val="20"/>
          <w:szCs w:val="24"/>
          <w:lang w:eastAsia="en-US"/>
        </w:rPr>
        <w:lastRenderedPageBreak/>
        <w:t>Figure S3</w:t>
      </w:r>
    </w:p>
    <w:p w:rsidR="0008315C" w:rsidRDefault="0008315C" w:rsidP="00BF3EAD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08315C">
        <w:rPr>
          <w:rFonts w:ascii="Arial" w:hAnsi="Arial" w:cs="Times New Roman"/>
          <w:noProof/>
          <w:kern w:val="0"/>
          <w:sz w:val="20"/>
          <w:szCs w:val="24"/>
        </w:rPr>
        <w:drawing>
          <wp:inline distT="0" distB="0" distL="0" distR="0">
            <wp:extent cx="5274310" cy="1680830"/>
            <wp:effectExtent l="0" t="0" r="2540" b="0"/>
            <wp:docPr id="3" name="图片 3" descr="F:\20190823-姚晓军-肺腺癌转移整合分析-陈金凤\5-投稿\20191217-OncoTargets and therapy\修稿-2.11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0823-姚晓军-肺腺癌转移整合分析-陈金凤\5-投稿\20191217-OncoTargets and therapy\修稿-2.11\Figure S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8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5C" w:rsidRDefault="0008315C" w:rsidP="0008315C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 w:rsidRPr="0008315C">
        <w:rPr>
          <w:rFonts w:ascii="Arial" w:hAnsi="Arial" w:cs="Times New Roman"/>
          <w:b/>
          <w:kern w:val="0"/>
          <w:sz w:val="20"/>
          <w:szCs w:val="24"/>
          <w:lang w:eastAsia="en-US"/>
        </w:rPr>
        <w:t>Figure S3</w:t>
      </w:r>
      <w:r w:rsidR="007C3352">
        <w:rPr>
          <w:rFonts w:ascii="Arial" w:hAnsi="Arial" w:cs="Times New Roman" w:hint="eastAsia"/>
          <w:b/>
          <w:kern w:val="0"/>
          <w:sz w:val="20"/>
          <w:szCs w:val="24"/>
        </w:rPr>
        <w:t xml:space="preserve"> </w:t>
      </w:r>
      <w:r w:rsidRPr="0008315C">
        <w:rPr>
          <w:rFonts w:ascii="Arial" w:hAnsi="Arial" w:cs="Times New Roman"/>
          <w:kern w:val="0"/>
          <w:sz w:val="20"/>
          <w:szCs w:val="24"/>
          <w:lang w:eastAsia="en-US"/>
        </w:rPr>
        <w:t>Survival analysis of selected DEmRNAs and DElncRNAs</w:t>
      </w:r>
      <w:r w:rsidR="0003702A">
        <w:rPr>
          <w:rFonts w:ascii="Arial" w:hAnsi="Arial" w:cs="Times New Roman"/>
          <w:kern w:val="0"/>
          <w:sz w:val="20"/>
          <w:szCs w:val="24"/>
          <w:lang w:eastAsia="en-US"/>
        </w:rPr>
        <w:t xml:space="preserve"> in </w:t>
      </w:r>
      <w:r w:rsidR="00554E33" w:rsidRPr="000D3913">
        <w:rPr>
          <w:rFonts w:ascii="Arial" w:hAnsi="Arial" w:cs="Times New Roman"/>
          <w:kern w:val="0"/>
          <w:sz w:val="20"/>
          <w:szCs w:val="24"/>
          <w:lang w:eastAsia="en-US"/>
        </w:rPr>
        <w:t>metastatic LUAD</w:t>
      </w:r>
      <w:r w:rsidR="007C3352">
        <w:rPr>
          <w:rFonts w:ascii="Arial" w:hAnsi="Arial" w:cs="Times New Roman"/>
          <w:kern w:val="0"/>
          <w:sz w:val="20"/>
          <w:szCs w:val="24"/>
          <w:lang w:eastAsia="en-US"/>
        </w:rPr>
        <w:t xml:space="preserve"> groups (A-D) and non-</w:t>
      </w:r>
      <w:r w:rsidR="007C3352" w:rsidRPr="000D3913">
        <w:rPr>
          <w:rFonts w:ascii="Arial" w:hAnsi="Arial" w:cs="Times New Roman"/>
          <w:kern w:val="0"/>
          <w:sz w:val="20"/>
          <w:szCs w:val="24"/>
          <w:lang w:eastAsia="en-US"/>
        </w:rPr>
        <w:t>metastatic LUAD</w:t>
      </w:r>
      <w:r w:rsidR="007C3352">
        <w:rPr>
          <w:rFonts w:ascii="Arial" w:hAnsi="Arial" w:cs="Times New Roman"/>
          <w:kern w:val="0"/>
          <w:sz w:val="20"/>
          <w:szCs w:val="24"/>
          <w:lang w:eastAsia="en-US"/>
        </w:rPr>
        <w:t xml:space="preserve"> group</w:t>
      </w:r>
      <w:r w:rsidR="007C3352">
        <w:rPr>
          <w:rFonts w:ascii="Arial" w:hAnsi="Arial" w:cs="Times New Roman"/>
          <w:kern w:val="0"/>
          <w:sz w:val="20"/>
          <w:szCs w:val="24"/>
          <w:lang w:eastAsia="en-US"/>
        </w:rPr>
        <w:t>s (E-H).</w:t>
      </w:r>
    </w:p>
    <w:p w:rsidR="0008315C" w:rsidRPr="00BF3EAD" w:rsidRDefault="007C3352" w:rsidP="0008315C">
      <w:pPr>
        <w:spacing w:line="360" w:lineRule="auto"/>
        <w:rPr>
          <w:rFonts w:ascii="Arial" w:hAnsi="Arial" w:cs="Times New Roman"/>
          <w:kern w:val="0"/>
          <w:sz w:val="20"/>
          <w:szCs w:val="24"/>
          <w:lang w:eastAsia="en-US"/>
        </w:rPr>
      </w:pPr>
      <w:r>
        <w:rPr>
          <w:rFonts w:ascii="Arial" w:hAnsi="Arial" w:cs="Times New Roman"/>
          <w:kern w:val="0"/>
          <w:sz w:val="20"/>
          <w:szCs w:val="24"/>
          <w:lang w:eastAsia="en-US"/>
        </w:rPr>
        <w:t xml:space="preserve">A). </w:t>
      </w:r>
      <w:r w:rsidRPr="00845CC6">
        <w:rPr>
          <w:rFonts w:ascii="Arial" w:hAnsi="Arial" w:cs="Times New Roman" w:hint="eastAsia"/>
          <w:kern w:val="0"/>
          <w:sz w:val="20"/>
          <w:szCs w:val="24"/>
          <w:lang w:eastAsia="en-US"/>
        </w:rPr>
        <w:t>CRHR2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>;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r>
        <w:rPr>
          <w:rFonts w:ascii="Arial" w:hAnsi="Arial" w:cs="Times New Roman"/>
          <w:kern w:val="0"/>
          <w:sz w:val="20"/>
          <w:szCs w:val="24"/>
        </w:rPr>
        <w:t xml:space="preserve">B). </w:t>
      </w:r>
      <w:r w:rsidRPr="00845CC6">
        <w:rPr>
          <w:rFonts w:ascii="Arial" w:hAnsi="Arial" w:cs="Times New Roman" w:hint="eastAsia"/>
          <w:kern w:val="0"/>
          <w:sz w:val="20"/>
          <w:szCs w:val="24"/>
          <w:lang w:eastAsia="en-US"/>
        </w:rPr>
        <w:t>FAM83A-AS1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>;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r>
        <w:rPr>
          <w:rFonts w:ascii="Arial" w:hAnsi="Arial" w:cs="Times New Roman"/>
          <w:kern w:val="0"/>
          <w:sz w:val="20"/>
          <w:szCs w:val="24"/>
        </w:rPr>
        <w:t xml:space="preserve">C). </w:t>
      </w:r>
      <w:r w:rsidRPr="00845CC6">
        <w:rPr>
          <w:rFonts w:ascii="Arial" w:hAnsi="Arial" w:cs="Times New Roman" w:hint="eastAsia"/>
          <w:kern w:val="0"/>
          <w:sz w:val="20"/>
          <w:szCs w:val="24"/>
          <w:lang w:eastAsia="en-US"/>
        </w:rPr>
        <w:t>FAM83A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>;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r>
        <w:rPr>
          <w:rFonts w:ascii="Arial" w:hAnsi="Arial" w:cs="Times New Roman"/>
          <w:kern w:val="0"/>
          <w:sz w:val="20"/>
          <w:szCs w:val="24"/>
        </w:rPr>
        <w:t xml:space="preserve">D) </w:t>
      </w:r>
      <w:r w:rsidRPr="00845CC6">
        <w:rPr>
          <w:rFonts w:ascii="Arial" w:hAnsi="Arial" w:cs="Times New Roman" w:hint="eastAsia"/>
          <w:kern w:val="0"/>
          <w:sz w:val="20"/>
          <w:szCs w:val="24"/>
          <w:lang w:eastAsia="en-US"/>
        </w:rPr>
        <w:t>Z83843.1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 xml:space="preserve">; E). </w:t>
      </w:r>
      <w:r w:rsidRPr="002D0B5E">
        <w:rPr>
          <w:rFonts w:ascii="Arial" w:hAnsi="Arial" w:cs="Times New Roman" w:hint="eastAsia"/>
          <w:kern w:val="0"/>
          <w:sz w:val="20"/>
          <w:szCs w:val="24"/>
          <w:lang w:eastAsia="en-US"/>
        </w:rPr>
        <w:t>CHGB</w:t>
      </w:r>
      <w:r>
        <w:rPr>
          <w:rFonts w:ascii="Arial" w:hAnsi="Arial" w:cs="Times New Roman"/>
          <w:kern w:val="0"/>
          <w:sz w:val="20"/>
          <w:szCs w:val="24"/>
        </w:rPr>
        <w:t>;</w:t>
      </w:r>
      <w:r>
        <w:rPr>
          <w:rFonts w:ascii="Arial" w:hAnsi="Arial" w:cs="Times New Roman"/>
          <w:kern w:val="0"/>
          <w:sz w:val="20"/>
          <w:szCs w:val="24"/>
        </w:rPr>
        <w:t xml:space="preserve"> </w:t>
      </w:r>
      <w:r>
        <w:rPr>
          <w:rFonts w:ascii="Arial" w:hAnsi="Arial" w:cs="Times New Roman"/>
          <w:kern w:val="0"/>
          <w:sz w:val="20"/>
          <w:szCs w:val="24"/>
        </w:rPr>
        <w:t xml:space="preserve">F). </w:t>
      </w:r>
      <w:r w:rsidRPr="002D0B5E">
        <w:rPr>
          <w:rFonts w:ascii="Arial" w:hAnsi="Arial" w:cs="Times New Roman" w:hint="eastAsia"/>
          <w:kern w:val="0"/>
          <w:sz w:val="20"/>
          <w:szCs w:val="24"/>
          <w:lang w:eastAsia="en-US"/>
        </w:rPr>
        <w:t>CRHR2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>;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r>
        <w:rPr>
          <w:rFonts w:ascii="Arial" w:hAnsi="Arial" w:cs="Times New Roman"/>
          <w:kern w:val="0"/>
          <w:sz w:val="20"/>
          <w:szCs w:val="24"/>
        </w:rPr>
        <w:t xml:space="preserve">G). </w:t>
      </w:r>
      <w:r w:rsidRPr="002D0B5E">
        <w:rPr>
          <w:rFonts w:ascii="Arial" w:hAnsi="Arial" w:cs="Times New Roman" w:hint="eastAsia"/>
          <w:kern w:val="0"/>
          <w:sz w:val="20"/>
          <w:szCs w:val="24"/>
          <w:lang w:eastAsia="en-US"/>
        </w:rPr>
        <w:t>FAM83A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>;</w:t>
      </w:r>
      <w:r>
        <w:rPr>
          <w:rFonts w:ascii="Arial" w:hAnsi="Arial" w:cs="Times New Roman" w:hint="eastAsia"/>
          <w:kern w:val="0"/>
          <w:sz w:val="20"/>
          <w:szCs w:val="24"/>
        </w:rPr>
        <w:t xml:space="preserve"> </w:t>
      </w:r>
      <w:r>
        <w:rPr>
          <w:rFonts w:ascii="Arial" w:hAnsi="Arial" w:cs="Times New Roman"/>
          <w:kern w:val="0"/>
          <w:sz w:val="20"/>
          <w:szCs w:val="24"/>
        </w:rPr>
        <w:t xml:space="preserve">H). </w:t>
      </w:r>
      <w:r w:rsidRPr="002D0B5E">
        <w:rPr>
          <w:rFonts w:ascii="Arial" w:hAnsi="Arial" w:cs="Times New Roman" w:hint="eastAsia"/>
          <w:kern w:val="0"/>
          <w:sz w:val="20"/>
          <w:szCs w:val="24"/>
          <w:lang w:eastAsia="en-US"/>
        </w:rPr>
        <w:t>NEFL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 xml:space="preserve">. </w:t>
      </w:r>
      <w:bookmarkStart w:id="0" w:name="_GoBack"/>
      <w:bookmarkEnd w:id="0"/>
      <w:r w:rsidR="0008315C" w:rsidRPr="0008315C">
        <w:rPr>
          <w:rFonts w:ascii="Arial" w:hAnsi="Arial" w:cs="Times New Roman"/>
          <w:kern w:val="0"/>
          <w:sz w:val="20"/>
          <w:szCs w:val="24"/>
          <w:lang w:eastAsia="en-US"/>
        </w:rPr>
        <w:t>The x-axis indicated times (days) and y-axis indicated survival rate</w:t>
      </w:r>
      <w:r>
        <w:rPr>
          <w:rFonts w:ascii="Arial" w:hAnsi="Arial" w:cs="Times New Roman"/>
          <w:kern w:val="0"/>
          <w:sz w:val="20"/>
          <w:szCs w:val="24"/>
          <w:lang w:eastAsia="en-US"/>
        </w:rPr>
        <w:t>.</w:t>
      </w:r>
    </w:p>
    <w:sectPr w:rsidR="0008315C" w:rsidRPr="00BF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44" w:rsidRDefault="00E30044" w:rsidP="00BF3EAD">
      <w:r>
        <w:separator/>
      </w:r>
    </w:p>
  </w:endnote>
  <w:endnote w:type="continuationSeparator" w:id="0">
    <w:p w:rsidR="00E30044" w:rsidRDefault="00E30044" w:rsidP="00BF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44" w:rsidRDefault="00E30044" w:rsidP="00BF3EAD">
      <w:r>
        <w:separator/>
      </w:r>
    </w:p>
  </w:footnote>
  <w:footnote w:type="continuationSeparator" w:id="0">
    <w:p w:rsidR="00E30044" w:rsidRDefault="00E30044" w:rsidP="00BF3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91"/>
    <w:rsid w:val="0003702A"/>
    <w:rsid w:val="0008315C"/>
    <w:rsid w:val="001929F3"/>
    <w:rsid w:val="001C4801"/>
    <w:rsid w:val="00333891"/>
    <w:rsid w:val="00554E33"/>
    <w:rsid w:val="005B70DB"/>
    <w:rsid w:val="00700162"/>
    <w:rsid w:val="007C0802"/>
    <w:rsid w:val="007C3352"/>
    <w:rsid w:val="00B457AC"/>
    <w:rsid w:val="00BF3EAD"/>
    <w:rsid w:val="00C771F1"/>
    <w:rsid w:val="00E3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CE1F51-4D7F-4C99-8369-9423F3BB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156</Words>
  <Characters>895</Characters>
  <Application>Microsoft Office Word</Application>
  <DocSecurity>0</DocSecurity>
  <Lines>7</Lines>
  <Paragraphs>2</Paragraphs>
  <ScaleCrop>false</ScaleCrop>
  <Company>Sinopec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2020-02-21T06:16:00Z</dcterms:created>
  <dcterms:modified xsi:type="dcterms:W3CDTF">2020-03-20T03:01:00Z</dcterms:modified>
</cp:coreProperties>
</file>