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8F68" w14:textId="77777777" w:rsidR="00215818" w:rsidRPr="00160CDE" w:rsidRDefault="00215818" w:rsidP="00BD1DAC">
      <w:pPr>
        <w:pStyle w:val="PlainText"/>
        <w:rPr>
          <w:rFonts w:ascii="Times New Roman" w:hAnsi="Times New Roman"/>
          <w:b/>
          <w:sz w:val="24"/>
          <w:szCs w:val="24"/>
          <w:lang w:val="en-US"/>
        </w:rPr>
      </w:pPr>
      <w:r w:rsidRPr="00160CDE">
        <w:rPr>
          <w:rFonts w:ascii="Times New Roman" w:hAnsi="Times New Roman"/>
          <w:b/>
          <w:snapToGrid w:val="0"/>
          <w:sz w:val="24"/>
          <w:szCs w:val="24"/>
          <w:lang w:val="en-US"/>
        </w:rPr>
        <w:t>Supplementary Appendix</w:t>
      </w:r>
    </w:p>
    <w:p w14:paraId="59456DC9" w14:textId="77777777" w:rsidR="00215818" w:rsidRPr="00160CDE" w:rsidRDefault="00215818" w:rsidP="00BD1DAC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57918C2A" w14:textId="77777777" w:rsidR="00215818" w:rsidRPr="00160CDE" w:rsidRDefault="00215818" w:rsidP="00BD1DAC">
      <w:pPr>
        <w:pStyle w:val="PlainText"/>
        <w:rPr>
          <w:rFonts w:ascii="Times New Roman" w:hAnsi="Times New Roman"/>
          <w:sz w:val="20"/>
          <w:szCs w:val="24"/>
          <w:lang w:val="en-US"/>
        </w:rPr>
      </w:pPr>
      <w:r w:rsidRPr="00160CDE">
        <w:rPr>
          <w:rFonts w:ascii="Times New Roman" w:hAnsi="Times New Roman"/>
          <w:sz w:val="20"/>
          <w:szCs w:val="24"/>
          <w:lang w:val="en-US"/>
        </w:rPr>
        <w:t xml:space="preserve">This appendix has been provided by the authors to give readers additional information about their work. </w:t>
      </w:r>
    </w:p>
    <w:p w14:paraId="05BB006D" w14:textId="77777777" w:rsidR="00215818" w:rsidRPr="00160CDE" w:rsidRDefault="00215818" w:rsidP="00BD1DAC">
      <w:pPr>
        <w:pStyle w:val="PlainText"/>
        <w:rPr>
          <w:sz w:val="20"/>
          <w:szCs w:val="24"/>
          <w:lang w:val="en-US"/>
        </w:rPr>
      </w:pPr>
    </w:p>
    <w:p w14:paraId="720C0EEA" w14:textId="22DA888A" w:rsidR="00215818" w:rsidRPr="00160CDE" w:rsidRDefault="00215818" w:rsidP="007E4B02">
      <w:pPr>
        <w:rPr>
          <w:lang w:val="en-US"/>
        </w:rPr>
      </w:pPr>
      <w:r w:rsidRPr="00160CDE">
        <w:rPr>
          <w:sz w:val="20"/>
          <w:szCs w:val="24"/>
          <w:lang w:val="en-US"/>
        </w:rPr>
        <w:t>Supplement to:</w:t>
      </w:r>
      <w:bookmarkStart w:id="0" w:name="_Hlk511989208"/>
      <w:r w:rsidR="00515BAB" w:rsidRPr="00160CDE">
        <w:rPr>
          <w:b/>
          <w:sz w:val="20"/>
          <w:szCs w:val="24"/>
          <w:lang w:val="en-US"/>
        </w:rPr>
        <w:t xml:space="preserve"> </w:t>
      </w:r>
      <w:bookmarkEnd w:id="0"/>
      <w:r w:rsidR="007E4B02" w:rsidRPr="00160CDE">
        <w:rPr>
          <w:sz w:val="20"/>
          <w:szCs w:val="24"/>
          <w:lang w:val="en-US"/>
        </w:rPr>
        <w:t>Onset of Effect</w:t>
      </w:r>
      <w:r w:rsidR="00970F5E">
        <w:rPr>
          <w:sz w:val="20"/>
          <w:szCs w:val="24"/>
          <w:lang w:val="en-US"/>
        </w:rPr>
        <w:t xml:space="preserve">, </w:t>
      </w:r>
      <w:r w:rsidR="007E4B02" w:rsidRPr="00160CDE">
        <w:rPr>
          <w:sz w:val="20"/>
          <w:szCs w:val="24"/>
          <w:lang w:val="en-US"/>
        </w:rPr>
        <w:t>Changes in Airflow Obstruction and Lung Volume</w:t>
      </w:r>
      <w:r w:rsidR="00970F5E">
        <w:rPr>
          <w:sz w:val="20"/>
          <w:szCs w:val="24"/>
          <w:lang w:val="en-US"/>
        </w:rPr>
        <w:t>, and Health-Related Quality of Life Improvements</w:t>
      </w:r>
      <w:r w:rsidR="007E4B02" w:rsidRPr="00160CDE">
        <w:rPr>
          <w:sz w:val="20"/>
          <w:szCs w:val="24"/>
          <w:lang w:val="en-US"/>
        </w:rPr>
        <w:t xml:space="preserve"> with Benralizumab for Patients with Severe, Eosinophilic Asthma: Phase </w:t>
      </w:r>
      <w:proofErr w:type="spellStart"/>
      <w:r w:rsidR="007E4B02" w:rsidRPr="00160CDE">
        <w:rPr>
          <w:sz w:val="20"/>
          <w:szCs w:val="24"/>
          <w:lang w:val="en-US"/>
        </w:rPr>
        <w:t>IIIb</w:t>
      </w:r>
      <w:proofErr w:type="spellEnd"/>
      <w:r w:rsidR="007E4B02" w:rsidRPr="00160CDE">
        <w:rPr>
          <w:sz w:val="20"/>
          <w:szCs w:val="24"/>
          <w:lang w:val="en-US"/>
        </w:rPr>
        <w:t xml:space="preserve"> Randomi</w:t>
      </w:r>
      <w:r w:rsidR="008B5470" w:rsidRPr="00160CDE">
        <w:rPr>
          <w:sz w:val="20"/>
          <w:szCs w:val="24"/>
          <w:lang w:val="en-US"/>
        </w:rPr>
        <w:t>z</w:t>
      </w:r>
      <w:r w:rsidR="007E4B02" w:rsidRPr="00160CDE">
        <w:rPr>
          <w:sz w:val="20"/>
          <w:szCs w:val="24"/>
          <w:lang w:val="en-US"/>
        </w:rPr>
        <w:t>ed Controlled Trial (SOLANA)</w:t>
      </w:r>
    </w:p>
    <w:p w14:paraId="53A5257C" w14:textId="77777777" w:rsidR="00983673" w:rsidRPr="00160CDE" w:rsidRDefault="00983673" w:rsidP="00BD1DAC">
      <w:pPr>
        <w:rPr>
          <w:lang w:val="en-US"/>
        </w:rPr>
      </w:pPr>
      <w:r w:rsidRPr="00160CDE">
        <w:rPr>
          <w:lang w:val="en-US"/>
        </w:rPr>
        <w:br w:type="page"/>
      </w:r>
      <w:bookmarkStart w:id="1" w:name="_GoBack"/>
      <w:bookmarkEnd w:id="1"/>
    </w:p>
    <w:p w14:paraId="78A2E6E9" w14:textId="6E7C1139" w:rsidR="00590D00" w:rsidRPr="00160CDE" w:rsidRDefault="00590D00" w:rsidP="00F77F08">
      <w:pPr>
        <w:spacing w:line="240" w:lineRule="auto"/>
        <w:rPr>
          <w:b/>
          <w:snapToGrid w:val="0"/>
          <w:sz w:val="20"/>
          <w:szCs w:val="24"/>
          <w:lang w:val="en-US"/>
        </w:rPr>
      </w:pPr>
      <w:r w:rsidRPr="00160CDE">
        <w:rPr>
          <w:b/>
          <w:snapToGrid w:val="0"/>
          <w:sz w:val="20"/>
          <w:szCs w:val="24"/>
          <w:lang w:val="en-US"/>
        </w:rPr>
        <w:lastRenderedPageBreak/>
        <w:t>Table of Contents</w:t>
      </w:r>
    </w:p>
    <w:p w14:paraId="28ADB178" w14:textId="77777777" w:rsidR="00A876DB" w:rsidRPr="00160CDE" w:rsidRDefault="00A876DB" w:rsidP="00F77F08">
      <w:pPr>
        <w:spacing w:line="240" w:lineRule="auto"/>
        <w:rPr>
          <w:b/>
          <w:snapToGrid w:val="0"/>
          <w:sz w:val="18"/>
          <w:lang w:val="en-US"/>
        </w:rPr>
      </w:pPr>
    </w:p>
    <w:p w14:paraId="1C8162D2" w14:textId="09F962A2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1.</w:t>
      </w:r>
      <w:r w:rsidRPr="00160CDE">
        <w:rPr>
          <w:snapToGrid w:val="0"/>
          <w:sz w:val="20"/>
          <w:szCs w:val="24"/>
          <w:lang w:val="en-US"/>
        </w:rPr>
        <w:tab/>
        <w:t>Appendix 1: Principal</w:t>
      </w:r>
      <w:r w:rsidR="005E7D1A">
        <w:rPr>
          <w:snapToGrid w:val="0"/>
          <w:sz w:val="20"/>
          <w:szCs w:val="24"/>
          <w:lang w:val="en-US"/>
        </w:rPr>
        <w:t xml:space="preserve"> </w:t>
      </w:r>
      <w:r w:rsidRPr="00160CDE">
        <w:rPr>
          <w:snapToGrid w:val="0"/>
          <w:sz w:val="20"/>
          <w:szCs w:val="24"/>
          <w:lang w:val="en-US"/>
        </w:rPr>
        <w:t>Investigators</w:t>
      </w:r>
      <w:r w:rsidR="003B04A8">
        <w:rPr>
          <w:snapToGrid w:val="0"/>
          <w:sz w:val="20"/>
          <w:szCs w:val="24"/>
          <w:lang w:val="en-US"/>
        </w:rPr>
        <w:t xml:space="preserve"> and Study Locations...</w:t>
      </w:r>
      <w:r w:rsidR="00C70149" w:rsidRPr="00160CDE">
        <w:rPr>
          <w:snapToGrid w:val="0"/>
          <w:sz w:val="20"/>
          <w:szCs w:val="24"/>
          <w:lang w:val="en-US"/>
        </w:rPr>
        <w:t>………</w:t>
      </w:r>
      <w:r w:rsidR="00C04698" w:rsidRPr="00160CDE">
        <w:rPr>
          <w:snapToGrid w:val="0"/>
          <w:sz w:val="20"/>
          <w:szCs w:val="24"/>
          <w:lang w:val="en-US"/>
        </w:rPr>
        <w:t>…………………</w:t>
      </w:r>
      <w:r w:rsidR="00C70149" w:rsidRPr="00160CDE">
        <w:rPr>
          <w:snapToGrid w:val="0"/>
          <w:sz w:val="20"/>
          <w:szCs w:val="24"/>
          <w:lang w:val="en-US"/>
        </w:rPr>
        <w:t>……………</w:t>
      </w:r>
      <w:r w:rsidR="00C764CA" w:rsidRPr="00160CDE">
        <w:rPr>
          <w:snapToGrid w:val="0"/>
          <w:sz w:val="20"/>
          <w:szCs w:val="24"/>
          <w:lang w:val="en-US"/>
        </w:rPr>
        <w:t>.</w:t>
      </w:r>
      <w:r w:rsidR="00C70149" w:rsidRPr="00160CDE">
        <w:rPr>
          <w:snapToGrid w:val="0"/>
          <w:sz w:val="20"/>
          <w:szCs w:val="24"/>
          <w:lang w:val="en-US"/>
        </w:rPr>
        <w:t>…</w:t>
      </w:r>
      <w:r w:rsidRPr="00160CDE">
        <w:rPr>
          <w:snapToGrid w:val="0"/>
          <w:sz w:val="20"/>
          <w:szCs w:val="24"/>
          <w:lang w:val="en-US"/>
        </w:rPr>
        <w:t>3</w:t>
      </w:r>
    </w:p>
    <w:p w14:paraId="2AB8D49A" w14:textId="32791F1A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</w:t>
      </w:r>
      <w:r w:rsidRPr="00160CDE">
        <w:rPr>
          <w:snapToGrid w:val="0"/>
          <w:sz w:val="20"/>
          <w:szCs w:val="24"/>
          <w:lang w:val="en-US"/>
        </w:rPr>
        <w:tab/>
        <w:t>Appendix 2: Tables and Figures</w:t>
      </w:r>
      <w:r w:rsidR="00C70149" w:rsidRPr="00160CDE">
        <w:rPr>
          <w:snapToGrid w:val="0"/>
          <w:sz w:val="20"/>
          <w:szCs w:val="24"/>
          <w:lang w:val="en-US"/>
        </w:rPr>
        <w:t>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………………….</w:t>
      </w:r>
      <w:r w:rsidR="00C70149" w:rsidRPr="00160CDE">
        <w:rPr>
          <w:snapToGrid w:val="0"/>
          <w:sz w:val="20"/>
          <w:szCs w:val="24"/>
          <w:lang w:val="en-US"/>
        </w:rPr>
        <w:t>………………………</w:t>
      </w:r>
      <w:r w:rsidR="00C764CA" w:rsidRPr="00160CDE">
        <w:rPr>
          <w:snapToGrid w:val="0"/>
          <w:sz w:val="20"/>
          <w:szCs w:val="24"/>
          <w:lang w:val="en-US"/>
        </w:rPr>
        <w:t>.</w:t>
      </w:r>
      <w:r w:rsidR="00C70149" w:rsidRPr="00160CDE">
        <w:rPr>
          <w:snapToGrid w:val="0"/>
          <w:sz w:val="20"/>
          <w:szCs w:val="24"/>
          <w:lang w:val="en-US"/>
        </w:rPr>
        <w:t>….</w:t>
      </w:r>
      <w:r w:rsidRPr="00160CDE">
        <w:rPr>
          <w:snapToGrid w:val="0"/>
          <w:sz w:val="20"/>
          <w:szCs w:val="24"/>
          <w:lang w:val="en-US"/>
        </w:rPr>
        <w:t>4</w:t>
      </w:r>
    </w:p>
    <w:p w14:paraId="0FC0E846" w14:textId="18857351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2.1</w:t>
      </w:r>
      <w:r w:rsidRPr="00160CDE">
        <w:rPr>
          <w:snapToGrid w:val="0"/>
          <w:sz w:val="20"/>
          <w:szCs w:val="24"/>
          <w:lang w:val="en-US"/>
        </w:rPr>
        <w:tab/>
        <w:t>Figure S1. SOLANA Study Flow Chart</w:t>
      </w:r>
      <w:r w:rsidR="00C764CA" w:rsidRPr="00160CDE">
        <w:rPr>
          <w:snapToGrid w:val="0"/>
          <w:sz w:val="20"/>
          <w:szCs w:val="24"/>
          <w:lang w:val="en-US"/>
        </w:rPr>
        <w:t>………………………………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</w:t>
      </w:r>
      <w:r w:rsidR="005E7D1A">
        <w:rPr>
          <w:snapToGrid w:val="0"/>
          <w:sz w:val="20"/>
          <w:szCs w:val="24"/>
          <w:lang w:val="en-US"/>
        </w:rPr>
        <w:t>.</w:t>
      </w:r>
      <w:r w:rsidR="00C764CA" w:rsidRPr="00160CDE">
        <w:rPr>
          <w:snapToGrid w:val="0"/>
          <w:sz w:val="20"/>
          <w:szCs w:val="24"/>
          <w:lang w:val="en-US"/>
        </w:rPr>
        <w:t>………….….</w:t>
      </w:r>
      <w:r w:rsidRPr="00160CDE">
        <w:rPr>
          <w:snapToGrid w:val="0"/>
          <w:sz w:val="20"/>
          <w:szCs w:val="24"/>
          <w:lang w:val="en-US"/>
        </w:rPr>
        <w:t>4</w:t>
      </w:r>
    </w:p>
    <w:p w14:paraId="769B6E1D" w14:textId="52C4A2CE" w:rsidR="00590D00" w:rsidRPr="00160CDE" w:rsidRDefault="00590D00" w:rsidP="00F77F08">
      <w:pPr>
        <w:spacing w:line="240" w:lineRule="auto"/>
        <w:ind w:left="720" w:hanging="720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2.2</w:t>
      </w:r>
      <w:r w:rsidRPr="00160CDE">
        <w:rPr>
          <w:snapToGrid w:val="0"/>
          <w:sz w:val="20"/>
          <w:szCs w:val="24"/>
          <w:lang w:val="en-US"/>
        </w:rPr>
        <w:tab/>
        <w:t>Figure S2. Exponential Regression Analysis of Prebronchodilator FEV</w:t>
      </w:r>
      <w:r w:rsidRPr="00160CDE">
        <w:rPr>
          <w:snapToGrid w:val="0"/>
          <w:sz w:val="20"/>
          <w:szCs w:val="24"/>
          <w:vertAlign w:val="subscript"/>
          <w:lang w:val="en-US"/>
        </w:rPr>
        <w:t>1</w:t>
      </w:r>
      <w:r w:rsidRPr="00160CDE">
        <w:rPr>
          <w:snapToGrid w:val="0"/>
          <w:sz w:val="20"/>
          <w:szCs w:val="24"/>
          <w:lang w:val="en-US"/>
        </w:rPr>
        <w:t xml:space="preserve"> (L) Change from Baseline </w:t>
      </w:r>
      <w:r w:rsidR="00C04698" w:rsidRPr="00160CDE">
        <w:rPr>
          <w:snapToGrid w:val="0"/>
          <w:sz w:val="20"/>
          <w:szCs w:val="24"/>
          <w:lang w:val="en-US"/>
        </w:rPr>
        <w:br/>
      </w:r>
      <w:r w:rsidRPr="00160CDE">
        <w:rPr>
          <w:snapToGrid w:val="0"/>
          <w:sz w:val="20"/>
          <w:szCs w:val="24"/>
          <w:lang w:val="en-US"/>
        </w:rPr>
        <w:t>(Full Analysis</w:t>
      </w:r>
      <w:r w:rsidR="00C04698" w:rsidRPr="00160CDE">
        <w:rPr>
          <w:snapToGrid w:val="0"/>
          <w:sz w:val="20"/>
          <w:szCs w:val="24"/>
          <w:lang w:val="en-US"/>
        </w:rPr>
        <w:t xml:space="preserve"> </w:t>
      </w:r>
      <w:proofErr w:type="gramStart"/>
      <w:r w:rsidRPr="00160CDE">
        <w:rPr>
          <w:snapToGrid w:val="0"/>
          <w:sz w:val="20"/>
          <w:szCs w:val="24"/>
          <w:lang w:val="en-US"/>
        </w:rPr>
        <w:t>Set)</w:t>
      </w:r>
      <w:r w:rsidR="00C764CA" w:rsidRPr="00160CDE">
        <w:rPr>
          <w:snapToGrid w:val="0"/>
          <w:sz w:val="20"/>
          <w:szCs w:val="24"/>
          <w:lang w:val="en-US"/>
        </w:rPr>
        <w:t>…</w:t>
      </w:r>
      <w:proofErr w:type="gramEnd"/>
      <w:r w:rsidR="00C764CA" w:rsidRPr="00160CDE">
        <w:rPr>
          <w:snapToGrid w:val="0"/>
          <w:sz w:val="20"/>
          <w:szCs w:val="24"/>
          <w:lang w:val="en-US"/>
        </w:rPr>
        <w:t>………………………………………………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…………………………</w:t>
      </w:r>
      <w:r w:rsidR="00C764CA" w:rsidRPr="00160CDE">
        <w:rPr>
          <w:snapToGrid w:val="0"/>
          <w:sz w:val="20"/>
          <w:szCs w:val="24"/>
          <w:lang w:val="en-US"/>
        </w:rPr>
        <w:t>………</w:t>
      </w:r>
      <w:r w:rsidRPr="00160CDE">
        <w:rPr>
          <w:snapToGrid w:val="0"/>
          <w:sz w:val="20"/>
          <w:szCs w:val="24"/>
          <w:lang w:val="en-US"/>
        </w:rPr>
        <w:t>5</w:t>
      </w:r>
    </w:p>
    <w:p w14:paraId="43DC4093" w14:textId="42E0ACD4" w:rsidR="00590D00" w:rsidRPr="00160CDE" w:rsidRDefault="00590D00" w:rsidP="00F77F08">
      <w:pPr>
        <w:spacing w:line="240" w:lineRule="auto"/>
        <w:ind w:left="720" w:hanging="720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2.3</w:t>
      </w:r>
      <w:r w:rsidRPr="00160CDE">
        <w:rPr>
          <w:snapToGrid w:val="0"/>
          <w:sz w:val="20"/>
          <w:szCs w:val="24"/>
          <w:lang w:val="en-US"/>
        </w:rPr>
        <w:tab/>
        <w:t xml:space="preserve">Figure S3. ACQ-6 Average Change from Baseline by Subgroup, Repeated Measures Analysis </w:t>
      </w:r>
      <w:r w:rsidR="00C04698" w:rsidRPr="00160CDE">
        <w:rPr>
          <w:snapToGrid w:val="0"/>
          <w:sz w:val="20"/>
          <w:szCs w:val="24"/>
          <w:lang w:val="en-US"/>
        </w:rPr>
        <w:br/>
      </w:r>
      <w:r w:rsidRPr="00160CDE">
        <w:rPr>
          <w:snapToGrid w:val="0"/>
          <w:sz w:val="20"/>
          <w:szCs w:val="24"/>
          <w:lang w:val="en-US"/>
        </w:rPr>
        <w:t>(Full Analysis</w:t>
      </w:r>
      <w:r w:rsidR="00D45698" w:rsidRPr="00160CDE">
        <w:rPr>
          <w:snapToGrid w:val="0"/>
          <w:sz w:val="20"/>
          <w:szCs w:val="24"/>
          <w:lang w:val="en-US"/>
        </w:rPr>
        <w:t xml:space="preserve"> </w:t>
      </w:r>
      <w:proofErr w:type="gramStart"/>
      <w:r w:rsidRPr="00160CDE">
        <w:rPr>
          <w:snapToGrid w:val="0"/>
          <w:sz w:val="20"/>
          <w:szCs w:val="24"/>
          <w:lang w:val="en-US"/>
        </w:rPr>
        <w:t>Set)</w:t>
      </w:r>
      <w:r w:rsidR="00C764CA" w:rsidRPr="00160CDE">
        <w:rPr>
          <w:snapToGrid w:val="0"/>
          <w:sz w:val="20"/>
          <w:szCs w:val="24"/>
          <w:lang w:val="en-US"/>
        </w:rPr>
        <w:t>…</w:t>
      </w:r>
      <w:proofErr w:type="gramEnd"/>
      <w:r w:rsidR="00C764CA" w:rsidRPr="00160CDE">
        <w:rPr>
          <w:snapToGrid w:val="0"/>
          <w:sz w:val="20"/>
          <w:szCs w:val="24"/>
          <w:lang w:val="en-US"/>
        </w:rPr>
        <w:t>…………………………………………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……………………</w:t>
      </w:r>
      <w:r w:rsidR="00C764CA" w:rsidRPr="00160CDE">
        <w:rPr>
          <w:snapToGrid w:val="0"/>
          <w:sz w:val="20"/>
          <w:szCs w:val="24"/>
          <w:lang w:val="en-US"/>
        </w:rPr>
        <w:t>…………………</w:t>
      </w:r>
      <w:r w:rsidRPr="00160CDE">
        <w:rPr>
          <w:snapToGrid w:val="0"/>
          <w:sz w:val="20"/>
          <w:szCs w:val="24"/>
          <w:lang w:val="en-US"/>
        </w:rPr>
        <w:t>6</w:t>
      </w:r>
    </w:p>
    <w:p w14:paraId="73A632EC" w14:textId="10391FCF" w:rsidR="00590D00" w:rsidRPr="00160CDE" w:rsidRDefault="00590D00" w:rsidP="00F77F08">
      <w:pPr>
        <w:spacing w:line="240" w:lineRule="auto"/>
        <w:ind w:left="720" w:hanging="720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2.4</w:t>
      </w:r>
      <w:r w:rsidRPr="00160CDE">
        <w:rPr>
          <w:snapToGrid w:val="0"/>
          <w:sz w:val="20"/>
          <w:szCs w:val="24"/>
          <w:lang w:val="en-US"/>
        </w:rPr>
        <w:tab/>
        <w:t xml:space="preserve">Figure S4. SGRQ Average Change from Baseline by Subgroup, Repeated Measures Analysis </w:t>
      </w:r>
      <w:r w:rsidR="00C04698" w:rsidRPr="00160CDE">
        <w:rPr>
          <w:snapToGrid w:val="0"/>
          <w:sz w:val="20"/>
          <w:szCs w:val="24"/>
          <w:lang w:val="en-US"/>
        </w:rPr>
        <w:br/>
      </w:r>
      <w:r w:rsidRPr="00160CDE">
        <w:rPr>
          <w:snapToGrid w:val="0"/>
          <w:sz w:val="20"/>
          <w:szCs w:val="24"/>
          <w:lang w:val="en-US"/>
        </w:rPr>
        <w:t xml:space="preserve">(Full Analysis </w:t>
      </w:r>
      <w:proofErr w:type="gramStart"/>
      <w:r w:rsidRPr="00160CDE">
        <w:rPr>
          <w:snapToGrid w:val="0"/>
          <w:sz w:val="20"/>
          <w:szCs w:val="24"/>
          <w:lang w:val="en-US"/>
        </w:rPr>
        <w:t>Set)</w:t>
      </w:r>
      <w:r w:rsidR="00C764CA" w:rsidRPr="00160CDE">
        <w:rPr>
          <w:snapToGrid w:val="0"/>
          <w:sz w:val="20"/>
          <w:szCs w:val="24"/>
          <w:lang w:val="en-US"/>
        </w:rPr>
        <w:t>…</w:t>
      </w:r>
      <w:proofErr w:type="gramEnd"/>
      <w:r w:rsidR="00C764CA" w:rsidRPr="00160CDE">
        <w:rPr>
          <w:snapToGrid w:val="0"/>
          <w:sz w:val="20"/>
          <w:szCs w:val="24"/>
          <w:lang w:val="en-US"/>
        </w:rPr>
        <w:t>…………………</w:t>
      </w:r>
      <w:r w:rsidR="00D45698" w:rsidRPr="00160CDE">
        <w:rPr>
          <w:snapToGrid w:val="0"/>
          <w:sz w:val="20"/>
          <w:szCs w:val="24"/>
          <w:lang w:val="en-US"/>
        </w:rPr>
        <w:t>…</w:t>
      </w:r>
      <w:r w:rsidR="00C764CA" w:rsidRPr="00160CDE">
        <w:rPr>
          <w:snapToGrid w:val="0"/>
          <w:sz w:val="20"/>
          <w:szCs w:val="24"/>
          <w:lang w:val="en-US"/>
        </w:rPr>
        <w:t>……………………………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……………………………</w:t>
      </w:r>
      <w:r w:rsidR="00C764CA" w:rsidRPr="00160CDE">
        <w:rPr>
          <w:snapToGrid w:val="0"/>
          <w:sz w:val="20"/>
          <w:szCs w:val="24"/>
          <w:lang w:val="en-US"/>
        </w:rPr>
        <w:t>…</w:t>
      </w:r>
      <w:r w:rsidRPr="00160CDE">
        <w:rPr>
          <w:snapToGrid w:val="0"/>
          <w:sz w:val="20"/>
          <w:szCs w:val="24"/>
          <w:lang w:val="en-US"/>
        </w:rPr>
        <w:t>7</w:t>
      </w:r>
    </w:p>
    <w:p w14:paraId="49FC7AAD" w14:textId="28B591BB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2.5</w:t>
      </w:r>
      <w:r w:rsidRPr="00160CDE">
        <w:rPr>
          <w:snapToGrid w:val="0"/>
          <w:sz w:val="20"/>
          <w:szCs w:val="24"/>
          <w:lang w:val="en-US"/>
        </w:rPr>
        <w:tab/>
        <w:t>Table S1. Additional Secondary Endpoints</w:t>
      </w:r>
      <w:r w:rsidR="00C764CA" w:rsidRPr="00160CDE">
        <w:rPr>
          <w:snapToGrid w:val="0"/>
          <w:sz w:val="20"/>
          <w:szCs w:val="24"/>
          <w:lang w:val="en-US"/>
        </w:rPr>
        <w:t>………………………………</w:t>
      </w:r>
      <w:r w:rsidR="00C04698" w:rsidRPr="00160CDE">
        <w:rPr>
          <w:snapToGrid w:val="0"/>
          <w:sz w:val="20"/>
          <w:szCs w:val="24"/>
          <w:lang w:val="en-US"/>
        </w:rPr>
        <w:t>………………….</w:t>
      </w:r>
      <w:r w:rsidR="00C764CA" w:rsidRPr="00160CDE">
        <w:rPr>
          <w:snapToGrid w:val="0"/>
          <w:sz w:val="20"/>
          <w:szCs w:val="24"/>
          <w:lang w:val="en-US"/>
        </w:rPr>
        <w:t>……….</w:t>
      </w:r>
      <w:r w:rsidRPr="00160CDE">
        <w:rPr>
          <w:snapToGrid w:val="0"/>
          <w:sz w:val="20"/>
          <w:szCs w:val="24"/>
          <w:lang w:val="en-US"/>
        </w:rPr>
        <w:t>8</w:t>
      </w:r>
    </w:p>
    <w:p w14:paraId="75FB0AE6" w14:textId="34B4D60C" w:rsidR="00590D00" w:rsidRPr="00160CDE" w:rsidRDefault="00590D00" w:rsidP="00F77F08">
      <w:pPr>
        <w:spacing w:line="240" w:lineRule="auto"/>
        <w:ind w:left="720" w:hanging="720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2.6</w:t>
      </w:r>
      <w:r w:rsidRPr="00160CDE">
        <w:rPr>
          <w:snapToGrid w:val="0"/>
          <w:sz w:val="20"/>
          <w:szCs w:val="24"/>
          <w:lang w:val="en-US"/>
        </w:rPr>
        <w:tab/>
        <w:t xml:space="preserve">Table S2. ACQ-6 Comparisons of Percentages of Patients </w:t>
      </w:r>
      <w:r w:rsidR="00194A5A">
        <w:rPr>
          <w:snapToGrid w:val="0"/>
          <w:sz w:val="20"/>
          <w:szCs w:val="24"/>
          <w:lang w:val="en-US"/>
        </w:rPr>
        <w:t>w</w:t>
      </w:r>
      <w:r w:rsidRPr="00160CDE">
        <w:rPr>
          <w:snapToGrid w:val="0"/>
          <w:sz w:val="20"/>
          <w:szCs w:val="24"/>
          <w:lang w:val="en-US"/>
        </w:rPr>
        <w:t>ith Well</w:t>
      </w:r>
      <w:r w:rsidR="00E72DCA">
        <w:rPr>
          <w:snapToGrid w:val="0"/>
          <w:sz w:val="20"/>
          <w:szCs w:val="24"/>
          <w:lang w:val="en-US"/>
        </w:rPr>
        <w:t>-</w:t>
      </w:r>
      <w:r w:rsidRPr="00160CDE">
        <w:rPr>
          <w:snapToGrid w:val="0"/>
          <w:sz w:val="20"/>
          <w:szCs w:val="24"/>
          <w:lang w:val="en-US"/>
        </w:rPr>
        <w:t xml:space="preserve">Controlled Asthma or </w:t>
      </w:r>
      <w:r w:rsidR="005E7D1A">
        <w:rPr>
          <w:snapToGrid w:val="0"/>
          <w:sz w:val="20"/>
          <w:szCs w:val="24"/>
          <w:lang w:val="en-US"/>
        </w:rPr>
        <w:br/>
      </w:r>
      <w:r w:rsidRPr="00160CDE">
        <w:rPr>
          <w:snapToGrid w:val="0"/>
          <w:sz w:val="20"/>
          <w:szCs w:val="24"/>
          <w:lang w:val="en-US"/>
        </w:rPr>
        <w:t>Well</w:t>
      </w:r>
      <w:r w:rsidR="00E72DCA">
        <w:rPr>
          <w:snapToGrid w:val="0"/>
          <w:sz w:val="20"/>
          <w:szCs w:val="24"/>
          <w:lang w:val="en-US"/>
        </w:rPr>
        <w:t>-</w:t>
      </w:r>
      <w:r w:rsidRPr="00160CDE">
        <w:rPr>
          <w:snapToGrid w:val="0"/>
          <w:sz w:val="20"/>
          <w:szCs w:val="24"/>
          <w:lang w:val="en-US"/>
        </w:rPr>
        <w:t>Controlled/Partially Controlled Asthma, Logistic Regression (Full Analysis</w:t>
      </w:r>
      <w:r w:rsidR="005E7D1A">
        <w:rPr>
          <w:snapToGrid w:val="0"/>
          <w:sz w:val="20"/>
          <w:szCs w:val="24"/>
          <w:lang w:val="en-US"/>
        </w:rPr>
        <w:t xml:space="preserve"> </w:t>
      </w:r>
      <w:r w:rsidRPr="00160CDE">
        <w:rPr>
          <w:snapToGrid w:val="0"/>
          <w:sz w:val="20"/>
          <w:szCs w:val="24"/>
          <w:lang w:val="en-US"/>
        </w:rPr>
        <w:t>Set</w:t>
      </w:r>
      <w:proofErr w:type="gramStart"/>
      <w:r w:rsidRPr="00160CDE">
        <w:rPr>
          <w:snapToGrid w:val="0"/>
          <w:sz w:val="20"/>
          <w:szCs w:val="24"/>
          <w:lang w:val="en-US"/>
        </w:rPr>
        <w:t>)</w:t>
      </w:r>
      <w:r w:rsidR="007253DD" w:rsidRPr="00160CDE">
        <w:rPr>
          <w:snapToGrid w:val="0"/>
          <w:sz w:val="20"/>
          <w:szCs w:val="24"/>
          <w:lang w:val="en-US"/>
        </w:rPr>
        <w:t>..</w:t>
      </w:r>
      <w:proofErr w:type="gramEnd"/>
      <w:r w:rsidR="00D45698" w:rsidRPr="00160CDE">
        <w:rPr>
          <w:snapToGrid w:val="0"/>
          <w:sz w:val="20"/>
          <w:szCs w:val="24"/>
          <w:lang w:val="en-US"/>
        </w:rPr>
        <w:t>…</w:t>
      </w:r>
      <w:r w:rsidR="005E7D1A">
        <w:rPr>
          <w:snapToGrid w:val="0"/>
          <w:sz w:val="20"/>
          <w:szCs w:val="24"/>
          <w:lang w:val="en-US"/>
        </w:rPr>
        <w:t>…</w:t>
      </w:r>
      <w:r w:rsidR="002D45DA" w:rsidRPr="00160CDE">
        <w:rPr>
          <w:snapToGrid w:val="0"/>
          <w:sz w:val="20"/>
          <w:szCs w:val="24"/>
          <w:lang w:val="en-US"/>
        </w:rPr>
        <w:t>……</w:t>
      </w:r>
      <w:r w:rsidR="00194A5A">
        <w:rPr>
          <w:snapToGrid w:val="0"/>
          <w:sz w:val="20"/>
          <w:szCs w:val="24"/>
          <w:lang w:val="en-US"/>
        </w:rPr>
        <w:t>.</w:t>
      </w:r>
      <w:r w:rsidR="002D45DA" w:rsidRPr="00160CDE">
        <w:rPr>
          <w:snapToGrid w:val="0"/>
          <w:sz w:val="20"/>
          <w:szCs w:val="24"/>
          <w:lang w:val="en-US"/>
        </w:rPr>
        <w:t>.</w:t>
      </w:r>
      <w:r w:rsidR="00E74DF5">
        <w:rPr>
          <w:snapToGrid w:val="0"/>
          <w:sz w:val="20"/>
          <w:szCs w:val="24"/>
          <w:lang w:val="en-US"/>
        </w:rPr>
        <w:t>10</w:t>
      </w:r>
    </w:p>
    <w:p w14:paraId="3ADE0168" w14:textId="29ABAE36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2.7</w:t>
      </w:r>
      <w:r w:rsidRPr="00160CDE">
        <w:rPr>
          <w:snapToGrid w:val="0"/>
          <w:sz w:val="20"/>
          <w:szCs w:val="24"/>
          <w:lang w:val="en-US"/>
        </w:rPr>
        <w:tab/>
        <w:t>Table S3. MMRM Change from Baseline in Blood Eosinophils</w:t>
      </w:r>
      <w:r w:rsidR="002D75E8" w:rsidRPr="00160CDE">
        <w:rPr>
          <w:snapToGrid w:val="0"/>
          <w:sz w:val="20"/>
          <w:szCs w:val="24"/>
          <w:lang w:val="en-US"/>
        </w:rPr>
        <w:t>…</w:t>
      </w:r>
      <w:r w:rsidR="002D45DA" w:rsidRPr="00160CDE">
        <w:rPr>
          <w:snapToGrid w:val="0"/>
          <w:sz w:val="20"/>
          <w:szCs w:val="24"/>
          <w:lang w:val="en-US"/>
        </w:rPr>
        <w:t>………….</w:t>
      </w:r>
      <w:r w:rsidR="002D75E8" w:rsidRPr="00160CDE">
        <w:rPr>
          <w:snapToGrid w:val="0"/>
          <w:sz w:val="20"/>
          <w:szCs w:val="24"/>
          <w:lang w:val="en-US"/>
        </w:rPr>
        <w:t>………</w:t>
      </w:r>
      <w:r w:rsidR="005E7D1A">
        <w:rPr>
          <w:snapToGrid w:val="0"/>
          <w:sz w:val="20"/>
          <w:szCs w:val="24"/>
          <w:lang w:val="en-US"/>
        </w:rPr>
        <w:t>.</w:t>
      </w:r>
      <w:r w:rsidR="002D75E8" w:rsidRPr="00160CDE">
        <w:rPr>
          <w:snapToGrid w:val="0"/>
          <w:sz w:val="20"/>
          <w:szCs w:val="24"/>
          <w:lang w:val="en-US"/>
        </w:rPr>
        <w:t>…………</w:t>
      </w:r>
      <w:proofErr w:type="gramStart"/>
      <w:r w:rsidR="002D75E8" w:rsidRPr="00160CDE">
        <w:rPr>
          <w:snapToGrid w:val="0"/>
          <w:sz w:val="20"/>
          <w:szCs w:val="24"/>
          <w:lang w:val="en-US"/>
        </w:rPr>
        <w:t>…..</w:t>
      </w:r>
      <w:proofErr w:type="gramEnd"/>
      <w:r w:rsidR="00E74DF5" w:rsidRPr="00160CDE">
        <w:rPr>
          <w:snapToGrid w:val="0"/>
          <w:sz w:val="20"/>
          <w:szCs w:val="24"/>
          <w:lang w:val="en-US"/>
        </w:rPr>
        <w:t>1</w:t>
      </w:r>
      <w:r w:rsidR="00E74DF5">
        <w:rPr>
          <w:snapToGrid w:val="0"/>
          <w:sz w:val="20"/>
          <w:szCs w:val="24"/>
          <w:lang w:val="en-US"/>
        </w:rPr>
        <w:t>1</w:t>
      </w:r>
    </w:p>
    <w:p w14:paraId="71E8C354" w14:textId="52D6524F" w:rsidR="00590D00" w:rsidRPr="00160CDE" w:rsidRDefault="00590D00" w:rsidP="00F77F08">
      <w:pPr>
        <w:spacing w:line="240" w:lineRule="auto"/>
        <w:rPr>
          <w:snapToGrid w:val="0"/>
          <w:sz w:val="20"/>
          <w:szCs w:val="24"/>
          <w:lang w:val="en-US"/>
        </w:rPr>
      </w:pPr>
      <w:r w:rsidRPr="00160CDE">
        <w:rPr>
          <w:snapToGrid w:val="0"/>
          <w:sz w:val="20"/>
          <w:szCs w:val="24"/>
          <w:lang w:val="en-US"/>
        </w:rPr>
        <w:t>2.8</w:t>
      </w:r>
      <w:r w:rsidRPr="00160CDE">
        <w:rPr>
          <w:snapToGrid w:val="0"/>
          <w:sz w:val="20"/>
          <w:szCs w:val="24"/>
          <w:lang w:val="en-US"/>
        </w:rPr>
        <w:tab/>
        <w:t xml:space="preserve">Table S4. Body Plethysmography </w:t>
      </w:r>
      <w:proofErr w:type="spellStart"/>
      <w:r w:rsidRPr="00160CDE">
        <w:rPr>
          <w:snapToGrid w:val="0"/>
          <w:sz w:val="20"/>
          <w:szCs w:val="24"/>
          <w:lang w:val="en-US"/>
        </w:rPr>
        <w:t>Substudy</w:t>
      </w:r>
      <w:proofErr w:type="spellEnd"/>
      <w:r w:rsidRPr="00160CDE">
        <w:rPr>
          <w:snapToGrid w:val="0"/>
          <w:sz w:val="20"/>
          <w:szCs w:val="24"/>
          <w:lang w:val="en-US"/>
        </w:rPr>
        <w:t xml:space="preserve"> Additional Outcomes</w:t>
      </w:r>
      <w:r w:rsidR="002D75E8" w:rsidRPr="00160CDE">
        <w:rPr>
          <w:snapToGrid w:val="0"/>
          <w:sz w:val="20"/>
          <w:szCs w:val="24"/>
          <w:lang w:val="en-US"/>
        </w:rPr>
        <w:t>…</w:t>
      </w:r>
      <w:r w:rsidR="002D45DA" w:rsidRPr="00160CDE">
        <w:rPr>
          <w:snapToGrid w:val="0"/>
          <w:sz w:val="20"/>
          <w:szCs w:val="24"/>
          <w:lang w:val="en-US"/>
        </w:rPr>
        <w:t>………….</w:t>
      </w:r>
      <w:r w:rsidR="002D75E8" w:rsidRPr="00160CDE">
        <w:rPr>
          <w:snapToGrid w:val="0"/>
          <w:sz w:val="20"/>
          <w:szCs w:val="24"/>
          <w:lang w:val="en-US"/>
        </w:rPr>
        <w:t>…</w:t>
      </w:r>
      <w:r w:rsidR="005E7D1A">
        <w:rPr>
          <w:snapToGrid w:val="0"/>
          <w:sz w:val="20"/>
          <w:szCs w:val="24"/>
          <w:lang w:val="en-US"/>
        </w:rPr>
        <w:t>.</w:t>
      </w:r>
      <w:r w:rsidR="002D75E8" w:rsidRPr="00160CDE">
        <w:rPr>
          <w:snapToGrid w:val="0"/>
          <w:sz w:val="20"/>
          <w:szCs w:val="24"/>
          <w:lang w:val="en-US"/>
        </w:rPr>
        <w:t>……………</w:t>
      </w:r>
      <w:proofErr w:type="gramStart"/>
      <w:r w:rsidR="002D75E8" w:rsidRPr="00160CDE">
        <w:rPr>
          <w:snapToGrid w:val="0"/>
          <w:sz w:val="20"/>
          <w:szCs w:val="24"/>
          <w:lang w:val="en-US"/>
        </w:rPr>
        <w:t>…..</w:t>
      </w:r>
      <w:proofErr w:type="gramEnd"/>
      <w:r w:rsidR="00E74DF5" w:rsidRPr="00160CDE">
        <w:rPr>
          <w:snapToGrid w:val="0"/>
          <w:sz w:val="20"/>
          <w:szCs w:val="24"/>
          <w:lang w:val="en-US"/>
        </w:rPr>
        <w:t>1</w:t>
      </w:r>
      <w:r w:rsidR="00E74DF5">
        <w:rPr>
          <w:snapToGrid w:val="0"/>
          <w:sz w:val="20"/>
          <w:szCs w:val="24"/>
          <w:lang w:val="en-US"/>
        </w:rPr>
        <w:t>2</w:t>
      </w:r>
    </w:p>
    <w:p w14:paraId="6D9A38F6" w14:textId="679BF931" w:rsidR="00474390" w:rsidRPr="00160CDE" w:rsidRDefault="00474390" w:rsidP="00BD1DAC">
      <w:pPr>
        <w:rPr>
          <w:snapToGrid w:val="0"/>
          <w:lang w:val="en-US"/>
        </w:rPr>
      </w:pPr>
      <w:r w:rsidRPr="00160CDE">
        <w:rPr>
          <w:snapToGrid w:val="0"/>
          <w:lang w:val="en-US"/>
        </w:rPr>
        <w:br w:type="page"/>
      </w:r>
    </w:p>
    <w:p w14:paraId="5D9B3B27" w14:textId="25DD4702" w:rsidR="00474390" w:rsidRPr="00160CDE" w:rsidRDefault="00F809B0" w:rsidP="00797763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  <w:b/>
          <w:sz w:val="20"/>
          <w:szCs w:val="20"/>
          <w:lang w:val="en-US"/>
        </w:rPr>
      </w:pPr>
      <w:bookmarkStart w:id="2" w:name="_Toc531035837"/>
      <w:bookmarkStart w:id="3" w:name="_Toc531035991"/>
      <w:bookmarkStart w:id="4" w:name="_Toc531036119"/>
      <w:bookmarkStart w:id="5" w:name="_Toc531038567"/>
      <w:bookmarkStart w:id="6" w:name="_Toc531038978"/>
      <w:bookmarkStart w:id="7" w:name="_Toc531035143"/>
      <w:bookmarkStart w:id="8" w:name="_Toc531035570"/>
      <w:bookmarkStart w:id="9" w:name="_Toc531035764"/>
      <w:bookmarkStart w:id="10" w:name="_Toc531035838"/>
      <w:bookmarkStart w:id="11" w:name="_Toc531035992"/>
      <w:bookmarkStart w:id="12" w:name="_Toc531036120"/>
      <w:bookmarkStart w:id="13" w:name="_Toc531038568"/>
      <w:bookmarkStart w:id="14" w:name="_Toc531038979"/>
      <w:bookmarkStart w:id="15" w:name="_Toc535875897"/>
      <w:bookmarkStart w:id="16" w:name="_Toc535914004"/>
      <w:bookmarkStart w:id="17" w:name="_Toc53593837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160CDE">
        <w:rPr>
          <w:rFonts w:ascii="Times New Roman" w:hAnsi="Times New Roman"/>
          <w:b/>
          <w:sz w:val="20"/>
          <w:szCs w:val="20"/>
          <w:lang w:val="en-US"/>
        </w:rPr>
        <w:lastRenderedPageBreak/>
        <w:t xml:space="preserve">Appendix 1: Principal </w:t>
      </w:r>
      <w:r w:rsidR="007271D0" w:rsidRPr="00160CDE">
        <w:rPr>
          <w:rFonts w:ascii="Times New Roman" w:hAnsi="Times New Roman"/>
          <w:b/>
          <w:sz w:val="20"/>
          <w:szCs w:val="20"/>
          <w:lang w:val="en-US"/>
        </w:rPr>
        <w:t>Investigators</w:t>
      </w:r>
      <w:bookmarkEnd w:id="15"/>
      <w:bookmarkEnd w:id="16"/>
      <w:bookmarkEnd w:id="17"/>
      <w:r w:rsidR="003B04A8">
        <w:rPr>
          <w:rFonts w:ascii="Times New Roman" w:hAnsi="Times New Roman"/>
          <w:b/>
          <w:sz w:val="20"/>
          <w:szCs w:val="20"/>
          <w:lang w:val="en-US"/>
        </w:rPr>
        <w:t xml:space="preserve"> and Study Locations</w:t>
      </w:r>
    </w:p>
    <w:p w14:paraId="2F060417" w14:textId="77777777" w:rsidR="00797763" w:rsidRPr="00160CDE" w:rsidRDefault="00797763" w:rsidP="00797763">
      <w:pPr>
        <w:spacing w:after="0"/>
        <w:rPr>
          <w:sz w:val="20"/>
          <w:szCs w:val="20"/>
          <w:lang w:val="en-US"/>
        </w:rPr>
      </w:pPr>
    </w:p>
    <w:p w14:paraId="7DCF6FCA" w14:textId="4F5FF34F" w:rsidR="00E81915" w:rsidRPr="00160CDE" w:rsidRDefault="00E81915" w:rsidP="00BD1DAC">
      <w:pPr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The following principal investigators participated in the study:</w:t>
      </w:r>
    </w:p>
    <w:p w14:paraId="4480DBE2" w14:textId="77777777" w:rsidR="00E81915" w:rsidRPr="00160CDE" w:rsidRDefault="00E81915" w:rsidP="00BD1DAC">
      <w:pPr>
        <w:rPr>
          <w:sz w:val="20"/>
          <w:szCs w:val="20"/>
          <w:lang w:val="en-US"/>
        </w:rPr>
      </w:pPr>
    </w:p>
    <w:p w14:paraId="5EC832FB" w14:textId="3590886B" w:rsidR="00A87E8E" w:rsidRPr="00160CDE" w:rsidRDefault="00A87E8E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>Chile</w:t>
      </w:r>
    </w:p>
    <w:p w14:paraId="29E37DDF" w14:textId="0D699220" w:rsidR="00A87E8E" w:rsidRPr="00160CDE" w:rsidRDefault="003B5A38" w:rsidP="00BD1DAC">
      <w:pPr>
        <w:rPr>
          <w:sz w:val="20"/>
          <w:szCs w:val="20"/>
          <w:lang w:val="en-US"/>
        </w:rPr>
      </w:pPr>
      <w:proofErr w:type="spellStart"/>
      <w:r w:rsidRPr="00160CDE">
        <w:rPr>
          <w:sz w:val="20"/>
          <w:szCs w:val="20"/>
          <w:lang w:val="en-US"/>
        </w:rPr>
        <w:t>Absalon</w:t>
      </w:r>
      <w:proofErr w:type="spellEnd"/>
      <w:r w:rsidRPr="00160CDE">
        <w:rPr>
          <w:sz w:val="20"/>
          <w:szCs w:val="20"/>
          <w:lang w:val="en-US"/>
        </w:rPr>
        <w:t xml:space="preserve"> Silva</w:t>
      </w:r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Patricia </w:t>
      </w:r>
      <w:proofErr w:type="spellStart"/>
      <w:r w:rsidRPr="00160CDE">
        <w:rPr>
          <w:sz w:val="20"/>
          <w:szCs w:val="20"/>
          <w:lang w:val="en-US"/>
        </w:rPr>
        <w:t>Schönffeldt</w:t>
      </w:r>
      <w:proofErr w:type="spellEnd"/>
      <w:r w:rsidR="001535B5" w:rsidRPr="00160CDE">
        <w:rPr>
          <w:sz w:val="20"/>
          <w:szCs w:val="20"/>
          <w:lang w:val="en-US"/>
        </w:rPr>
        <w:t>,</w:t>
      </w:r>
      <w:r w:rsidR="006767C1" w:rsidRPr="00160CDE">
        <w:rPr>
          <w:sz w:val="20"/>
          <w:szCs w:val="20"/>
          <w:lang w:val="en-US"/>
        </w:rPr>
        <w:t xml:space="preserve"> </w:t>
      </w:r>
      <w:r w:rsidRPr="00160CDE">
        <w:rPr>
          <w:sz w:val="20"/>
          <w:szCs w:val="20"/>
          <w:lang w:val="en-US"/>
        </w:rPr>
        <w:t>Victor Martinez</w:t>
      </w:r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Rosa </w:t>
      </w:r>
      <w:proofErr w:type="spellStart"/>
      <w:r w:rsidRPr="00160CDE">
        <w:rPr>
          <w:sz w:val="20"/>
          <w:szCs w:val="20"/>
          <w:lang w:val="en-US"/>
        </w:rPr>
        <w:t>Feijoo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Fabian</w:t>
      </w:r>
      <w:r w:rsidR="008E4DFC"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Galleguillos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Francisco Rivas</w:t>
      </w:r>
      <w:r w:rsidR="006767C1" w:rsidRPr="00160CDE">
        <w:rPr>
          <w:sz w:val="20"/>
          <w:szCs w:val="20"/>
          <w:lang w:val="en-US"/>
        </w:rPr>
        <w:t xml:space="preserve">, </w:t>
      </w:r>
      <w:r w:rsidR="00807CEB" w:rsidRPr="00160CDE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>Roxana Fuentes</w:t>
      </w:r>
    </w:p>
    <w:p w14:paraId="5A310FFC" w14:textId="77777777" w:rsidR="00900B12" w:rsidRPr="00160CDE" w:rsidRDefault="00900B12" w:rsidP="00BD1DAC">
      <w:pPr>
        <w:rPr>
          <w:sz w:val="20"/>
          <w:szCs w:val="20"/>
          <w:lang w:val="en-US"/>
        </w:rPr>
      </w:pPr>
    </w:p>
    <w:p w14:paraId="4CA0DD33" w14:textId="20F5267F" w:rsidR="00900B12" w:rsidRPr="00160CDE" w:rsidRDefault="00900B12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>German</w:t>
      </w:r>
      <w:r w:rsidR="00E81915" w:rsidRPr="00160CDE">
        <w:rPr>
          <w:b/>
          <w:sz w:val="20"/>
          <w:szCs w:val="20"/>
          <w:lang w:val="en-US"/>
        </w:rPr>
        <w:t>y</w:t>
      </w:r>
    </w:p>
    <w:p w14:paraId="103CE309" w14:textId="44EAD922" w:rsidR="00900B12" w:rsidRPr="00160CDE" w:rsidRDefault="009231C2" w:rsidP="00BD1DAC">
      <w:pPr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Tobias</w:t>
      </w:r>
      <w:r w:rsidR="001535B5"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Welte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Margret </w:t>
      </w:r>
      <w:proofErr w:type="spellStart"/>
      <w:r w:rsidRPr="00160CDE">
        <w:rPr>
          <w:sz w:val="20"/>
          <w:szCs w:val="20"/>
          <w:lang w:val="en-US"/>
        </w:rPr>
        <w:t>Jandl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Claus Keller</w:t>
      </w:r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Joachim Kirschner</w:t>
      </w:r>
      <w:r w:rsidR="006767C1" w:rsidRPr="00160CDE">
        <w:rPr>
          <w:sz w:val="20"/>
          <w:szCs w:val="20"/>
          <w:lang w:val="en-US"/>
        </w:rPr>
        <w:t xml:space="preserve">, </w:t>
      </w:r>
      <w:r w:rsidR="005A7C86" w:rsidRPr="00160CDE">
        <w:rPr>
          <w:sz w:val="20"/>
          <w:szCs w:val="20"/>
          <w:lang w:val="en-US"/>
        </w:rPr>
        <w:t xml:space="preserve">Katrin </w:t>
      </w:r>
      <w:proofErr w:type="spellStart"/>
      <w:r w:rsidR="005A7C86" w:rsidRPr="00160CDE">
        <w:rPr>
          <w:sz w:val="20"/>
          <w:szCs w:val="20"/>
          <w:lang w:val="en-US"/>
        </w:rPr>
        <w:t>Milger-Kneidinger</w:t>
      </w:r>
      <w:proofErr w:type="spellEnd"/>
      <w:r w:rsidR="005A7C86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Martin</w:t>
      </w:r>
      <w:r w:rsidR="006767C1" w:rsidRPr="00160CDE">
        <w:rPr>
          <w:sz w:val="20"/>
          <w:szCs w:val="20"/>
          <w:lang w:val="en-US"/>
        </w:rPr>
        <w:t xml:space="preserve"> </w:t>
      </w:r>
      <w:r w:rsidRPr="00160CDE">
        <w:rPr>
          <w:sz w:val="20"/>
          <w:szCs w:val="20"/>
          <w:lang w:val="en-US"/>
        </w:rPr>
        <w:t>Hoffmann</w:t>
      </w:r>
      <w:r w:rsidR="006767C1" w:rsidRPr="00160CDE">
        <w:rPr>
          <w:sz w:val="20"/>
          <w:szCs w:val="20"/>
          <w:lang w:val="en-US"/>
        </w:rPr>
        <w:t xml:space="preserve">, </w:t>
      </w:r>
      <w:r w:rsidR="00AC0095" w:rsidRPr="00160CDE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 xml:space="preserve">Tibor </w:t>
      </w:r>
      <w:proofErr w:type="spellStart"/>
      <w:r w:rsidRPr="00160CDE">
        <w:rPr>
          <w:sz w:val="20"/>
          <w:szCs w:val="20"/>
          <w:lang w:val="en-US"/>
        </w:rPr>
        <w:t>Schmoller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Lutz </w:t>
      </w:r>
      <w:proofErr w:type="spellStart"/>
      <w:r w:rsidRPr="00160CDE">
        <w:rPr>
          <w:sz w:val="20"/>
          <w:szCs w:val="20"/>
          <w:lang w:val="en-US"/>
        </w:rPr>
        <w:t>Volgmann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Stephanie Korn</w:t>
      </w:r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Marc </w:t>
      </w:r>
      <w:proofErr w:type="spellStart"/>
      <w:r w:rsidRPr="00160CDE">
        <w:rPr>
          <w:sz w:val="20"/>
          <w:szCs w:val="20"/>
          <w:lang w:val="en-US"/>
        </w:rPr>
        <w:t>Kornmann</w:t>
      </w:r>
      <w:proofErr w:type="spellEnd"/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Richard Linde</w:t>
      </w:r>
      <w:r w:rsidR="006767C1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Andreas Forster</w:t>
      </w:r>
    </w:p>
    <w:p w14:paraId="6F2800E4" w14:textId="77777777" w:rsidR="009231C2" w:rsidRPr="00160CDE" w:rsidRDefault="009231C2" w:rsidP="00BD1DAC">
      <w:pPr>
        <w:pStyle w:val="ListParagraph"/>
        <w:rPr>
          <w:sz w:val="20"/>
          <w:szCs w:val="20"/>
          <w:lang w:val="en-US"/>
        </w:rPr>
      </w:pPr>
    </w:p>
    <w:p w14:paraId="52E18FD2" w14:textId="7050B173" w:rsidR="000651AC" w:rsidRPr="00160CDE" w:rsidRDefault="009231C2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>Hungary</w:t>
      </w:r>
    </w:p>
    <w:p w14:paraId="68FEB4F5" w14:textId="05937776" w:rsidR="009231C2" w:rsidRPr="00160CDE" w:rsidRDefault="009231C2" w:rsidP="00BD1DAC">
      <w:pPr>
        <w:rPr>
          <w:sz w:val="20"/>
          <w:szCs w:val="20"/>
          <w:lang w:val="en-US"/>
        </w:rPr>
      </w:pPr>
      <w:proofErr w:type="spellStart"/>
      <w:r w:rsidRPr="00160CDE">
        <w:rPr>
          <w:sz w:val="20"/>
          <w:szCs w:val="20"/>
          <w:lang w:val="en-US"/>
        </w:rPr>
        <w:t>Márta</w:t>
      </w:r>
      <w:proofErr w:type="spellEnd"/>
      <w:r w:rsidRPr="00160CDE">
        <w:rPr>
          <w:sz w:val="20"/>
          <w:szCs w:val="20"/>
          <w:lang w:val="en-US"/>
        </w:rPr>
        <w:t xml:space="preserve"> Papp</w:t>
      </w:r>
      <w:r w:rsidR="000651AC" w:rsidRPr="00160CDE">
        <w:rPr>
          <w:sz w:val="20"/>
          <w:szCs w:val="20"/>
          <w:lang w:val="en-US"/>
        </w:rPr>
        <w:t xml:space="preserve">, </w:t>
      </w:r>
      <w:proofErr w:type="spellStart"/>
      <w:r w:rsidRPr="00160CDE">
        <w:rPr>
          <w:sz w:val="20"/>
          <w:szCs w:val="20"/>
          <w:lang w:val="en-US"/>
        </w:rPr>
        <w:t>Teréz</w:t>
      </w:r>
      <w:proofErr w:type="spellEnd"/>
      <w:r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Kecskés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Magdolna </w:t>
      </w:r>
      <w:proofErr w:type="spellStart"/>
      <w:r w:rsidRPr="00160CDE">
        <w:rPr>
          <w:sz w:val="20"/>
          <w:szCs w:val="20"/>
          <w:lang w:val="en-US"/>
        </w:rPr>
        <w:t>Póczi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Lajos </w:t>
      </w:r>
      <w:proofErr w:type="spellStart"/>
      <w:r w:rsidRPr="00160CDE">
        <w:rPr>
          <w:sz w:val="20"/>
          <w:szCs w:val="20"/>
          <w:lang w:val="en-US"/>
        </w:rPr>
        <w:t>Molnár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Balázs</w:t>
      </w:r>
      <w:r w:rsidR="000651AC"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Medgyasszay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proofErr w:type="spellStart"/>
      <w:r w:rsidRPr="00160CDE">
        <w:rPr>
          <w:sz w:val="20"/>
          <w:szCs w:val="20"/>
          <w:lang w:val="en-US"/>
        </w:rPr>
        <w:t>Judit</w:t>
      </w:r>
      <w:proofErr w:type="spellEnd"/>
      <w:r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Schlezák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="004540E9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 xml:space="preserve">Melinda </w:t>
      </w:r>
      <w:proofErr w:type="spellStart"/>
      <w:r w:rsidRPr="00160CDE">
        <w:rPr>
          <w:sz w:val="20"/>
          <w:szCs w:val="20"/>
          <w:lang w:val="en-US"/>
        </w:rPr>
        <w:t>Szabó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Edina </w:t>
      </w:r>
      <w:proofErr w:type="spellStart"/>
      <w:r w:rsidRPr="00160CDE">
        <w:rPr>
          <w:sz w:val="20"/>
          <w:szCs w:val="20"/>
          <w:lang w:val="en-US"/>
        </w:rPr>
        <w:t>Kurucz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proofErr w:type="spellStart"/>
      <w:r w:rsidRPr="00160CDE">
        <w:rPr>
          <w:sz w:val="20"/>
          <w:szCs w:val="20"/>
          <w:lang w:val="en-US"/>
        </w:rPr>
        <w:t>János</w:t>
      </w:r>
      <w:proofErr w:type="spellEnd"/>
      <w:r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Mucsi</w:t>
      </w:r>
      <w:proofErr w:type="spellEnd"/>
    </w:p>
    <w:p w14:paraId="65C63BBB" w14:textId="77777777" w:rsidR="002E290D" w:rsidRPr="00160CDE" w:rsidRDefault="002E290D" w:rsidP="00BD1DAC">
      <w:pPr>
        <w:pStyle w:val="ListParagraph"/>
        <w:rPr>
          <w:sz w:val="20"/>
          <w:szCs w:val="20"/>
          <w:lang w:val="en-US"/>
        </w:rPr>
      </w:pPr>
    </w:p>
    <w:p w14:paraId="6081C751" w14:textId="0452FF21" w:rsidR="003B5A38" w:rsidRPr="00160CDE" w:rsidRDefault="00244E9B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 xml:space="preserve">The </w:t>
      </w:r>
      <w:r w:rsidR="00900B12" w:rsidRPr="00160CDE">
        <w:rPr>
          <w:b/>
          <w:sz w:val="20"/>
          <w:szCs w:val="20"/>
          <w:lang w:val="en-US"/>
        </w:rPr>
        <w:t>Philippines</w:t>
      </w:r>
    </w:p>
    <w:p w14:paraId="60861225" w14:textId="107054E8" w:rsidR="00900B12" w:rsidRPr="00160CDE" w:rsidRDefault="00900B12" w:rsidP="00BD1DAC">
      <w:pPr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Teresita Aquino</w:t>
      </w:r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Ronnie</w:t>
      </w:r>
      <w:r w:rsidR="000651AC"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Samoro</w:t>
      </w:r>
      <w:proofErr w:type="spellEnd"/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Albert Albay Jr</w:t>
      </w:r>
      <w:r w:rsidR="000651AC" w:rsidRPr="00160CDE">
        <w:rPr>
          <w:sz w:val="20"/>
          <w:szCs w:val="20"/>
          <w:lang w:val="en-US"/>
        </w:rPr>
        <w:t xml:space="preserve">., </w:t>
      </w:r>
      <w:r w:rsidRPr="00160CDE">
        <w:rPr>
          <w:sz w:val="20"/>
          <w:szCs w:val="20"/>
          <w:lang w:val="en-US"/>
        </w:rPr>
        <w:t>Tito Atienza</w:t>
      </w:r>
    </w:p>
    <w:p w14:paraId="68608386" w14:textId="77777777" w:rsidR="00900B12" w:rsidRPr="00160CDE" w:rsidRDefault="00900B12" w:rsidP="00BD1DAC">
      <w:pPr>
        <w:rPr>
          <w:sz w:val="20"/>
          <w:szCs w:val="20"/>
          <w:lang w:val="en-US"/>
        </w:rPr>
      </w:pPr>
    </w:p>
    <w:p w14:paraId="74037BC4" w14:textId="0A61D1FB" w:rsidR="000651AC" w:rsidRPr="00160CDE" w:rsidRDefault="00900B12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>South Korea</w:t>
      </w:r>
    </w:p>
    <w:p w14:paraId="5E1782C8" w14:textId="02EA3446" w:rsidR="00900B12" w:rsidRPr="00160CDE" w:rsidRDefault="00900B12" w:rsidP="00BD1DAC">
      <w:pPr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Heung-Woo Park</w:t>
      </w:r>
      <w:r w:rsidR="000651A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Mi-</w:t>
      </w:r>
      <w:proofErr w:type="spellStart"/>
      <w:r w:rsidRPr="00160CDE">
        <w:rPr>
          <w:sz w:val="20"/>
          <w:szCs w:val="20"/>
          <w:lang w:val="en-US"/>
        </w:rPr>
        <w:t>Kyeong</w:t>
      </w:r>
      <w:proofErr w:type="spellEnd"/>
      <w:r w:rsidRPr="00160CDE">
        <w:rPr>
          <w:sz w:val="20"/>
          <w:szCs w:val="20"/>
          <w:lang w:val="en-US"/>
        </w:rPr>
        <w:t xml:space="preserve"> Kim</w:t>
      </w:r>
      <w:r w:rsidR="001729A3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Jung-Won Park</w:t>
      </w:r>
      <w:r w:rsidR="001729A3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Sang Haak Lee</w:t>
      </w:r>
      <w:r w:rsidR="001729A3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You Sook Cho</w:t>
      </w:r>
      <w:r w:rsidR="001729A3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Sook Young Lee</w:t>
      </w:r>
      <w:r w:rsidR="001729A3" w:rsidRPr="00160CDE">
        <w:rPr>
          <w:sz w:val="20"/>
          <w:szCs w:val="20"/>
          <w:lang w:val="en-US"/>
        </w:rPr>
        <w:t xml:space="preserve">, </w:t>
      </w:r>
      <w:r w:rsidR="009A34EA" w:rsidRPr="00160CDE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>Byung Jae Lee</w:t>
      </w:r>
      <w:r w:rsidR="001729A3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Kwan Ho Lee</w:t>
      </w:r>
      <w:r w:rsidR="001729A3" w:rsidRPr="00160CDE">
        <w:rPr>
          <w:sz w:val="20"/>
          <w:szCs w:val="20"/>
          <w:lang w:val="en-US"/>
        </w:rPr>
        <w:t xml:space="preserve">, </w:t>
      </w:r>
      <w:proofErr w:type="spellStart"/>
      <w:r w:rsidRPr="00160CDE">
        <w:rPr>
          <w:sz w:val="20"/>
          <w:szCs w:val="20"/>
          <w:lang w:val="en-US"/>
        </w:rPr>
        <w:t>Yongchul</w:t>
      </w:r>
      <w:proofErr w:type="spellEnd"/>
      <w:r w:rsidRPr="00160CDE">
        <w:rPr>
          <w:sz w:val="20"/>
          <w:szCs w:val="20"/>
          <w:lang w:val="en-US"/>
        </w:rPr>
        <w:t xml:space="preserve"> Lee</w:t>
      </w:r>
    </w:p>
    <w:p w14:paraId="11C96F62" w14:textId="77777777" w:rsidR="002E290D" w:rsidRPr="00160CDE" w:rsidRDefault="002E290D" w:rsidP="00BD1DAC">
      <w:pPr>
        <w:pStyle w:val="ListParagraph"/>
        <w:rPr>
          <w:sz w:val="20"/>
          <w:szCs w:val="20"/>
          <w:lang w:val="en-US"/>
        </w:rPr>
      </w:pPr>
    </w:p>
    <w:p w14:paraId="5572A402" w14:textId="308E0E7E" w:rsidR="002E290D" w:rsidRPr="00160CDE" w:rsidRDefault="002E290D" w:rsidP="00BD1DAC">
      <w:pPr>
        <w:rPr>
          <w:b/>
          <w:sz w:val="20"/>
          <w:szCs w:val="20"/>
          <w:lang w:val="en-US"/>
        </w:rPr>
      </w:pPr>
      <w:r w:rsidRPr="00160CDE">
        <w:rPr>
          <w:b/>
          <w:sz w:val="20"/>
          <w:szCs w:val="20"/>
          <w:lang w:val="en-US"/>
        </w:rPr>
        <w:t>U</w:t>
      </w:r>
      <w:r w:rsidR="00E81915" w:rsidRPr="00160CDE">
        <w:rPr>
          <w:b/>
          <w:sz w:val="20"/>
          <w:szCs w:val="20"/>
          <w:lang w:val="en-US"/>
        </w:rPr>
        <w:t>nited States</w:t>
      </w:r>
    </w:p>
    <w:p w14:paraId="100CB1F1" w14:textId="1865A135" w:rsidR="00900B12" w:rsidRPr="00160CDE" w:rsidRDefault="002E290D" w:rsidP="00BD1DAC">
      <w:pPr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Louise</w:t>
      </w:r>
      <w:r w:rsidR="008E4DFC" w:rsidRPr="00160CDE">
        <w:rPr>
          <w:sz w:val="20"/>
          <w:szCs w:val="20"/>
          <w:lang w:val="en-US"/>
        </w:rPr>
        <w:t xml:space="preserve"> </w:t>
      </w:r>
      <w:r w:rsidRPr="00160CDE">
        <w:rPr>
          <w:sz w:val="20"/>
          <w:szCs w:val="20"/>
          <w:lang w:val="en-US"/>
        </w:rPr>
        <w:t>Thurman</w:t>
      </w:r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David Bernstein</w:t>
      </w:r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Luis De </w:t>
      </w:r>
      <w:proofErr w:type="spellStart"/>
      <w:r w:rsidRPr="00160CDE">
        <w:rPr>
          <w:sz w:val="20"/>
          <w:szCs w:val="20"/>
          <w:lang w:val="en-US"/>
        </w:rPr>
        <w:t>Armas</w:t>
      </w:r>
      <w:proofErr w:type="spellEnd"/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John Hagan</w:t>
      </w:r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Octavian </w:t>
      </w:r>
      <w:proofErr w:type="spellStart"/>
      <w:r w:rsidRPr="00160CDE">
        <w:rPr>
          <w:sz w:val="20"/>
          <w:szCs w:val="20"/>
          <w:lang w:val="en-US"/>
        </w:rPr>
        <w:t>Ioachimescu</w:t>
      </w:r>
      <w:proofErr w:type="spellEnd"/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Younus Ismail</w:t>
      </w:r>
      <w:r w:rsidR="008E4DFC" w:rsidRPr="00160CDE">
        <w:rPr>
          <w:sz w:val="20"/>
          <w:szCs w:val="20"/>
          <w:lang w:val="en-US"/>
        </w:rPr>
        <w:t xml:space="preserve">, </w:t>
      </w:r>
      <w:r w:rsidR="006D78ED" w:rsidRPr="00160CDE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>Flavia Hoyte</w:t>
      </w:r>
      <w:r w:rsidR="008E4DF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Edward Kerwin</w:t>
      </w:r>
      <w:r w:rsidR="00DE3AD2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Reynold Panettieri</w:t>
      </w:r>
      <w:r w:rsidR="00DE3AD2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Kartik Shenoy</w:t>
      </w:r>
      <w:r w:rsidR="00DE3AD2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John Suen</w:t>
      </w:r>
      <w:r w:rsidR="00DE3AD2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James Cain</w:t>
      </w:r>
      <w:r w:rsidR="00DE3AD2" w:rsidRPr="00160CDE">
        <w:rPr>
          <w:sz w:val="20"/>
          <w:szCs w:val="20"/>
          <w:lang w:val="en-US"/>
        </w:rPr>
        <w:t xml:space="preserve">, </w:t>
      </w:r>
      <w:r w:rsidR="00686B36">
        <w:rPr>
          <w:sz w:val="20"/>
          <w:szCs w:val="20"/>
          <w:lang w:val="en-US"/>
        </w:rPr>
        <w:br/>
      </w:r>
      <w:r w:rsidRPr="00160CDE">
        <w:rPr>
          <w:sz w:val="20"/>
          <w:szCs w:val="20"/>
          <w:lang w:val="en-US"/>
        </w:rPr>
        <w:t xml:space="preserve">Shahrukh </w:t>
      </w:r>
      <w:proofErr w:type="spellStart"/>
      <w:r w:rsidRPr="00160CDE">
        <w:rPr>
          <w:sz w:val="20"/>
          <w:szCs w:val="20"/>
          <w:lang w:val="en-US"/>
        </w:rPr>
        <w:t>Kureishy</w:t>
      </w:r>
      <w:proofErr w:type="spellEnd"/>
      <w:r w:rsidR="00DE3AD2" w:rsidRPr="00160CDE">
        <w:rPr>
          <w:sz w:val="20"/>
          <w:szCs w:val="20"/>
          <w:lang w:val="en-US"/>
        </w:rPr>
        <w:t xml:space="preserve">, </w:t>
      </w:r>
      <w:proofErr w:type="spellStart"/>
      <w:r w:rsidRPr="00160CDE">
        <w:rPr>
          <w:sz w:val="20"/>
          <w:szCs w:val="20"/>
          <w:lang w:val="en-US"/>
        </w:rPr>
        <w:t>Sady</w:t>
      </w:r>
      <w:proofErr w:type="spellEnd"/>
      <w:r w:rsidRPr="00160CDE">
        <w:rPr>
          <w:sz w:val="20"/>
          <w:szCs w:val="20"/>
          <w:lang w:val="en-US"/>
        </w:rPr>
        <w:t xml:space="preserve"> </w:t>
      </w:r>
      <w:proofErr w:type="spellStart"/>
      <w:r w:rsidRPr="00160CDE">
        <w:rPr>
          <w:sz w:val="20"/>
          <w:szCs w:val="20"/>
          <w:lang w:val="en-US"/>
        </w:rPr>
        <w:t>Alpizar</w:t>
      </w:r>
      <w:proofErr w:type="spellEnd"/>
      <w:r w:rsidR="00C4278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 xml:space="preserve">David </w:t>
      </w:r>
      <w:proofErr w:type="spellStart"/>
      <w:r w:rsidRPr="00160CDE">
        <w:rPr>
          <w:sz w:val="20"/>
          <w:szCs w:val="20"/>
          <w:lang w:val="en-US"/>
        </w:rPr>
        <w:t>Maybee</w:t>
      </w:r>
      <w:proofErr w:type="spellEnd"/>
      <w:r w:rsidR="00C4278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Faisal Fakih</w:t>
      </w:r>
      <w:r w:rsidR="00C4278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Manuel Villareal</w:t>
      </w:r>
      <w:r w:rsidR="00C4278C" w:rsidRPr="00160CDE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Neal Jain</w:t>
      </w:r>
    </w:p>
    <w:p w14:paraId="5944AADF" w14:textId="77777777" w:rsidR="00A542DF" w:rsidRPr="00160CDE" w:rsidRDefault="00A542DF" w:rsidP="00BD1DAC">
      <w:pPr>
        <w:rPr>
          <w:lang w:val="en-US"/>
        </w:rPr>
      </w:pPr>
      <w:bookmarkStart w:id="18" w:name="_Hlk514232091"/>
      <w:bookmarkStart w:id="19" w:name="_Hlk529880128"/>
    </w:p>
    <w:bookmarkEnd w:id="18"/>
    <w:p w14:paraId="5EEA8D3A" w14:textId="747479C5" w:rsidR="00623BB4" w:rsidRPr="00160CDE" w:rsidRDefault="00623BB4" w:rsidP="00BD1DAC">
      <w:pPr>
        <w:rPr>
          <w:snapToGrid w:val="0"/>
          <w:lang w:val="en-US"/>
        </w:rPr>
      </w:pPr>
    </w:p>
    <w:p w14:paraId="2DB04E2D" w14:textId="166657A2" w:rsidR="008D45C6" w:rsidRPr="00160CDE" w:rsidRDefault="008D45C6" w:rsidP="00BD1DAC">
      <w:pPr>
        <w:rPr>
          <w:snapToGrid w:val="0"/>
          <w:lang w:val="en-US"/>
        </w:rPr>
        <w:sectPr w:rsidR="008D45C6" w:rsidRPr="00160CDE" w:rsidSect="00E454AD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B05C823" w14:textId="1B4655FE" w:rsidR="001A370A" w:rsidRPr="00160CDE" w:rsidRDefault="00C36923" w:rsidP="00AF5B80">
      <w:pPr>
        <w:pStyle w:val="ListParagraph"/>
        <w:numPr>
          <w:ilvl w:val="0"/>
          <w:numId w:val="46"/>
        </w:numPr>
        <w:spacing w:after="0"/>
        <w:ind w:left="360"/>
        <w:rPr>
          <w:rFonts w:ascii="Times New Roman" w:hAnsi="Times New Roman"/>
          <w:b/>
          <w:sz w:val="20"/>
          <w:szCs w:val="20"/>
          <w:lang w:val="en-US"/>
        </w:rPr>
      </w:pPr>
      <w:bookmarkStart w:id="20" w:name="_Toc535875898"/>
      <w:bookmarkStart w:id="21" w:name="_Toc535914005"/>
      <w:bookmarkStart w:id="22" w:name="_Toc535938376"/>
      <w:r w:rsidRPr="00160CDE">
        <w:rPr>
          <w:rFonts w:ascii="Times New Roman" w:hAnsi="Times New Roman"/>
          <w:b/>
          <w:sz w:val="20"/>
          <w:szCs w:val="20"/>
          <w:lang w:val="en-US"/>
        </w:rPr>
        <w:lastRenderedPageBreak/>
        <w:t xml:space="preserve">Appendix 2: </w:t>
      </w:r>
      <w:r w:rsidR="0051040C" w:rsidRPr="00160CDE">
        <w:rPr>
          <w:rFonts w:ascii="Times New Roman" w:hAnsi="Times New Roman"/>
          <w:b/>
          <w:sz w:val="20"/>
          <w:szCs w:val="20"/>
          <w:lang w:val="en-US"/>
        </w:rPr>
        <w:t>Tables and Figures</w:t>
      </w:r>
      <w:bookmarkEnd w:id="20"/>
      <w:bookmarkEnd w:id="21"/>
      <w:bookmarkEnd w:id="22"/>
    </w:p>
    <w:p w14:paraId="6C3EF76C" w14:textId="77777777" w:rsidR="00AF5B80" w:rsidRPr="00160CDE" w:rsidRDefault="00AF5B80" w:rsidP="00AF5B80">
      <w:pPr>
        <w:spacing w:after="0"/>
        <w:ind w:left="360" w:hanging="360"/>
        <w:rPr>
          <w:b/>
          <w:sz w:val="20"/>
          <w:szCs w:val="20"/>
          <w:lang w:val="en-US"/>
        </w:rPr>
      </w:pPr>
      <w:bookmarkStart w:id="23" w:name="_Toc535914006"/>
      <w:bookmarkStart w:id="24" w:name="_Toc535938377"/>
      <w:bookmarkStart w:id="25" w:name="_Toc535875899"/>
    </w:p>
    <w:p w14:paraId="3DD2B21B" w14:textId="09BEDCEB" w:rsidR="00FA093A" w:rsidRPr="00160CDE" w:rsidRDefault="00D61887" w:rsidP="00EE4FA2">
      <w:pPr>
        <w:ind w:left="360" w:hanging="360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BCBCEC3" wp14:editId="40C1DFAD">
            <wp:simplePos x="0" y="0"/>
            <wp:positionH relativeFrom="column">
              <wp:posOffset>72390</wp:posOffset>
            </wp:positionH>
            <wp:positionV relativeFrom="paragraph">
              <wp:posOffset>257175</wp:posOffset>
            </wp:positionV>
            <wp:extent cx="6468110" cy="5363210"/>
            <wp:effectExtent l="0" t="0" r="8890" b="8890"/>
            <wp:wrapTight wrapText="bothSides">
              <wp:wrapPolygon edited="0">
                <wp:start x="0" y="0"/>
                <wp:lineTo x="0" y="21559"/>
                <wp:lineTo x="21566" y="21559"/>
                <wp:lineTo x="21566" y="0"/>
                <wp:lineTo x="0" y="0"/>
              </wp:wrapPolygon>
            </wp:wrapTight>
            <wp:docPr id="1" name="Picture 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F04730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"/>
                    <a:stretch/>
                  </pic:blipFill>
                  <pic:spPr bwMode="auto">
                    <a:xfrm>
                      <a:off x="0" y="0"/>
                      <a:ext cx="6468110" cy="536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3108" w:rsidRPr="00160CDE">
        <w:rPr>
          <w:b/>
          <w:sz w:val="20"/>
          <w:szCs w:val="20"/>
          <w:lang w:val="en-US"/>
        </w:rPr>
        <w:t>2.1</w:t>
      </w:r>
      <w:r w:rsidR="00EE4FA2" w:rsidRPr="00160CDE">
        <w:rPr>
          <w:b/>
          <w:sz w:val="20"/>
          <w:szCs w:val="20"/>
          <w:lang w:val="en-US"/>
        </w:rPr>
        <w:tab/>
      </w:r>
      <w:r w:rsidR="00084E51" w:rsidRPr="00160CDE">
        <w:rPr>
          <w:b/>
          <w:sz w:val="20"/>
          <w:szCs w:val="20"/>
          <w:lang w:val="en-US"/>
        </w:rPr>
        <w:t xml:space="preserve">Figure </w:t>
      </w:r>
      <w:r w:rsidR="00BC4BD7" w:rsidRPr="00160CDE">
        <w:rPr>
          <w:b/>
          <w:sz w:val="20"/>
          <w:szCs w:val="20"/>
          <w:lang w:val="en-US"/>
        </w:rPr>
        <w:t>S</w:t>
      </w:r>
      <w:r w:rsidR="004011F3" w:rsidRPr="00160CDE">
        <w:rPr>
          <w:b/>
          <w:sz w:val="20"/>
          <w:szCs w:val="20"/>
          <w:lang w:val="en-US"/>
        </w:rPr>
        <w:t>1</w:t>
      </w:r>
      <w:r w:rsidR="00D34253" w:rsidRPr="00160CDE">
        <w:rPr>
          <w:b/>
          <w:sz w:val="20"/>
          <w:szCs w:val="20"/>
          <w:lang w:val="en-US"/>
        </w:rPr>
        <w:t>.</w:t>
      </w:r>
      <w:r w:rsidR="004011F3" w:rsidRPr="00160CDE">
        <w:rPr>
          <w:b/>
          <w:sz w:val="20"/>
          <w:szCs w:val="20"/>
          <w:lang w:val="en-US"/>
        </w:rPr>
        <w:t xml:space="preserve"> SOLANA</w:t>
      </w:r>
      <w:r w:rsidR="00211A93" w:rsidRPr="00160CDE">
        <w:rPr>
          <w:b/>
          <w:sz w:val="20"/>
          <w:szCs w:val="20"/>
          <w:lang w:val="en-US"/>
        </w:rPr>
        <w:t xml:space="preserve"> </w:t>
      </w:r>
      <w:r w:rsidR="00501B71" w:rsidRPr="00160CDE">
        <w:rPr>
          <w:b/>
          <w:sz w:val="20"/>
          <w:szCs w:val="20"/>
          <w:lang w:val="en-US"/>
        </w:rPr>
        <w:t>S</w:t>
      </w:r>
      <w:r w:rsidR="00211A93" w:rsidRPr="00160CDE">
        <w:rPr>
          <w:b/>
          <w:sz w:val="20"/>
          <w:szCs w:val="20"/>
          <w:lang w:val="en-US"/>
        </w:rPr>
        <w:t xml:space="preserve">tudy </w:t>
      </w:r>
      <w:r w:rsidR="00501B71" w:rsidRPr="00160CDE">
        <w:rPr>
          <w:b/>
          <w:sz w:val="20"/>
          <w:szCs w:val="20"/>
          <w:lang w:val="en-US"/>
        </w:rPr>
        <w:t>F</w:t>
      </w:r>
      <w:r w:rsidR="00211A93" w:rsidRPr="00160CDE">
        <w:rPr>
          <w:b/>
          <w:sz w:val="20"/>
          <w:szCs w:val="20"/>
          <w:lang w:val="en-US"/>
        </w:rPr>
        <w:t xml:space="preserve">low </w:t>
      </w:r>
      <w:r w:rsidR="00501B71" w:rsidRPr="00160CDE">
        <w:rPr>
          <w:b/>
          <w:sz w:val="20"/>
          <w:szCs w:val="20"/>
          <w:lang w:val="en-US"/>
        </w:rPr>
        <w:t>C</w:t>
      </w:r>
      <w:r w:rsidR="00084E51" w:rsidRPr="00160CDE">
        <w:rPr>
          <w:b/>
          <w:sz w:val="20"/>
          <w:szCs w:val="20"/>
          <w:lang w:val="en-US"/>
        </w:rPr>
        <w:t>hart</w:t>
      </w:r>
      <w:bookmarkEnd w:id="23"/>
      <w:bookmarkEnd w:id="24"/>
      <w:r w:rsidR="00084E51" w:rsidRPr="00160CDE">
        <w:rPr>
          <w:lang w:val="en-US"/>
        </w:rPr>
        <w:t xml:space="preserve"> </w:t>
      </w:r>
      <w:bookmarkEnd w:id="25"/>
    </w:p>
    <w:p w14:paraId="76A2B859" w14:textId="2405B35E" w:rsidR="00F41DE4" w:rsidRPr="00160CDE" w:rsidRDefault="00F41DE4" w:rsidP="001460ED">
      <w:pPr>
        <w:ind w:left="360" w:hanging="360"/>
        <w:jc w:val="center"/>
        <w:rPr>
          <w:lang w:val="en-US"/>
        </w:rPr>
      </w:pPr>
    </w:p>
    <w:p w14:paraId="6B624899" w14:textId="54EAEA4B" w:rsidR="00247FBC" w:rsidRPr="00160CDE" w:rsidRDefault="00247FBC" w:rsidP="00247FBC">
      <w:pPr>
        <w:pStyle w:val="Heading2"/>
        <w:rPr>
          <w:lang w:val="en-US"/>
        </w:rPr>
        <w:sectPr w:rsidR="00247FBC" w:rsidRPr="00160CDE" w:rsidSect="000D7B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9668E5E" w14:textId="337F13A5" w:rsidR="006638E7" w:rsidRPr="00160CDE" w:rsidRDefault="00EE4FA2" w:rsidP="00EE4FA2">
      <w:pPr>
        <w:ind w:left="360" w:hanging="360"/>
        <w:rPr>
          <w:b/>
          <w:sz w:val="20"/>
          <w:szCs w:val="20"/>
          <w:lang w:val="en-US"/>
        </w:rPr>
      </w:pPr>
      <w:bookmarkStart w:id="26" w:name="_Toc535875900"/>
      <w:bookmarkStart w:id="27" w:name="_Toc535914007"/>
      <w:bookmarkStart w:id="28" w:name="_Toc535938378"/>
      <w:bookmarkStart w:id="29" w:name="_Hlk535848279"/>
      <w:bookmarkStart w:id="30" w:name="_Hlk531942482"/>
      <w:bookmarkEnd w:id="19"/>
      <w:r w:rsidRPr="00160CDE">
        <w:rPr>
          <w:b/>
          <w:sz w:val="20"/>
          <w:szCs w:val="20"/>
          <w:lang w:val="en-US"/>
        </w:rPr>
        <w:lastRenderedPageBreak/>
        <w:t>2.2</w:t>
      </w:r>
      <w:r w:rsidRPr="00160CDE">
        <w:rPr>
          <w:b/>
          <w:sz w:val="20"/>
          <w:szCs w:val="20"/>
          <w:lang w:val="en-US"/>
        </w:rPr>
        <w:tab/>
      </w:r>
      <w:r w:rsidR="006638E7" w:rsidRPr="00160CDE">
        <w:rPr>
          <w:b/>
          <w:sz w:val="20"/>
          <w:szCs w:val="20"/>
          <w:lang w:val="en-US"/>
        </w:rPr>
        <w:t>Figure S2. Exponential Regression Analysis of Prebronchodilator FEV</w:t>
      </w:r>
      <w:r w:rsidR="006638E7" w:rsidRPr="00160CDE">
        <w:rPr>
          <w:b/>
          <w:sz w:val="20"/>
          <w:szCs w:val="20"/>
          <w:vertAlign w:val="subscript"/>
          <w:lang w:val="en-US"/>
        </w:rPr>
        <w:t>1</w:t>
      </w:r>
      <w:r w:rsidR="006638E7" w:rsidRPr="00160CDE">
        <w:rPr>
          <w:b/>
          <w:sz w:val="20"/>
          <w:szCs w:val="20"/>
          <w:lang w:val="en-US"/>
        </w:rPr>
        <w:t xml:space="preserve"> (L) </w:t>
      </w:r>
      <w:r w:rsidR="002D63FB" w:rsidRPr="00160CDE">
        <w:rPr>
          <w:b/>
          <w:sz w:val="20"/>
          <w:szCs w:val="20"/>
          <w:lang w:val="en-US"/>
        </w:rPr>
        <w:t xml:space="preserve">Mean </w:t>
      </w:r>
      <w:r w:rsidR="006638E7" w:rsidRPr="00160CDE">
        <w:rPr>
          <w:b/>
          <w:sz w:val="20"/>
          <w:szCs w:val="20"/>
          <w:lang w:val="en-US"/>
        </w:rPr>
        <w:t>Change from Baseline (Full Analysis Set)</w:t>
      </w:r>
      <w:bookmarkEnd w:id="26"/>
      <w:bookmarkEnd w:id="27"/>
      <w:bookmarkEnd w:id="28"/>
    </w:p>
    <w:p w14:paraId="6F2C40DD" w14:textId="0FC16010" w:rsidR="004B2478" w:rsidRPr="00160CDE" w:rsidRDefault="004B2478" w:rsidP="004B2478">
      <w:pPr>
        <w:rPr>
          <w:lang w:val="en-US"/>
        </w:rPr>
      </w:pPr>
    </w:p>
    <w:p w14:paraId="088F105F" w14:textId="77777777" w:rsidR="004B2478" w:rsidRPr="00160CDE" w:rsidRDefault="004B2478" w:rsidP="004B2478">
      <w:pPr>
        <w:rPr>
          <w:lang w:val="en-US"/>
        </w:rPr>
      </w:pPr>
    </w:p>
    <w:bookmarkEnd w:id="29"/>
    <w:p w14:paraId="76C29852" w14:textId="1D6B758C" w:rsidR="002E3D3A" w:rsidRPr="00160CDE" w:rsidRDefault="004741C2" w:rsidP="00BD1DA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E894E81" wp14:editId="5F14C7E6">
            <wp:extent cx="5943600" cy="2798445"/>
            <wp:effectExtent l="0" t="0" r="0" b="1905"/>
            <wp:docPr id="3" name="Picture 3" descr="A screenshot of a map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0680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A715C" w14:textId="77777777" w:rsidR="002E3D3A" w:rsidRPr="00160CDE" w:rsidRDefault="002E3D3A" w:rsidP="00BD1DAC">
      <w:pPr>
        <w:pStyle w:val="Heading2"/>
        <w:numPr>
          <w:ilvl w:val="0"/>
          <w:numId w:val="0"/>
        </w:numPr>
        <w:ind w:left="360"/>
        <w:rPr>
          <w:lang w:val="en-US"/>
        </w:rPr>
      </w:pPr>
    </w:p>
    <w:p w14:paraId="5E42CBD5" w14:textId="5A05E2CB" w:rsidR="00FA093A" w:rsidRPr="00160CDE" w:rsidRDefault="00FA093A" w:rsidP="00350FA9">
      <w:pPr>
        <w:spacing w:after="0"/>
        <w:rPr>
          <w:lang w:val="en-US"/>
        </w:rPr>
      </w:pPr>
    </w:p>
    <w:p w14:paraId="2C9426D2" w14:textId="76D67EE7" w:rsidR="006638E7" w:rsidRPr="00160CDE" w:rsidRDefault="006638E7" w:rsidP="00350FA9">
      <w:pPr>
        <w:spacing w:after="0"/>
        <w:rPr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>Fitted lines based on estimates from Bayesian nonlinear mixed</w:t>
      </w:r>
      <w:r w:rsidR="00350FA9" w:rsidRPr="00160CDE">
        <w:rPr>
          <w:sz w:val="20"/>
          <w:szCs w:val="20"/>
          <w:lang w:val="en-US"/>
        </w:rPr>
        <w:t>-</w:t>
      </w:r>
      <w:r w:rsidRPr="00160CDE">
        <w:rPr>
          <w:sz w:val="20"/>
          <w:szCs w:val="20"/>
          <w:lang w:val="en-US"/>
        </w:rPr>
        <w:t>effect</w:t>
      </w:r>
      <w:r w:rsidR="00350FA9" w:rsidRPr="00160CDE">
        <w:rPr>
          <w:sz w:val="20"/>
          <w:szCs w:val="20"/>
          <w:lang w:val="en-US"/>
        </w:rPr>
        <w:t>s</w:t>
      </w:r>
      <w:r w:rsidRPr="00160CDE">
        <w:rPr>
          <w:sz w:val="20"/>
          <w:szCs w:val="20"/>
          <w:lang w:val="en-US"/>
        </w:rPr>
        <w:t xml:space="preserve"> model assuming an exponential relationship over time with 95% </w:t>
      </w:r>
      <w:r w:rsidR="00545564" w:rsidRPr="00160CDE">
        <w:rPr>
          <w:sz w:val="20"/>
          <w:szCs w:val="20"/>
          <w:lang w:val="en-US"/>
        </w:rPr>
        <w:t xml:space="preserve">credible </w:t>
      </w:r>
      <w:r w:rsidRPr="00160CDE">
        <w:rPr>
          <w:sz w:val="20"/>
          <w:szCs w:val="20"/>
          <w:lang w:val="en-US"/>
        </w:rPr>
        <w:t xml:space="preserve">intervals. n=number of </w:t>
      </w:r>
      <w:r w:rsidR="00350FA9" w:rsidRPr="00160CDE">
        <w:rPr>
          <w:sz w:val="20"/>
          <w:szCs w:val="20"/>
          <w:lang w:val="en-US"/>
        </w:rPr>
        <w:t>patients</w:t>
      </w:r>
      <w:r w:rsidRPr="00160CDE">
        <w:rPr>
          <w:sz w:val="20"/>
          <w:szCs w:val="20"/>
          <w:lang w:val="en-US"/>
        </w:rPr>
        <w:t xml:space="preserve"> with change from baseline data observed at the time point. Mean change</w:t>
      </w:r>
      <w:r w:rsidR="00350FA9" w:rsidRPr="00160CDE">
        <w:rPr>
          <w:sz w:val="20"/>
          <w:szCs w:val="20"/>
          <w:lang w:val="en-US"/>
        </w:rPr>
        <w:t>s</w:t>
      </w:r>
      <w:r w:rsidRPr="00160CDE">
        <w:rPr>
          <w:sz w:val="20"/>
          <w:szCs w:val="20"/>
          <w:lang w:val="en-US"/>
        </w:rPr>
        <w:t xml:space="preserve"> from baseline (derived from observed values) were represented by points. </w:t>
      </w:r>
      <w:r w:rsidR="00D2711D" w:rsidRPr="00160CDE">
        <w:rPr>
          <w:sz w:val="20"/>
          <w:szCs w:val="20"/>
          <w:lang w:val="en-US"/>
        </w:rPr>
        <w:t xml:space="preserve">Baseline was defined as the last </w:t>
      </w:r>
      <w:proofErr w:type="spellStart"/>
      <w:r w:rsidR="00D2711D" w:rsidRPr="00160CDE">
        <w:rPr>
          <w:sz w:val="20"/>
          <w:szCs w:val="20"/>
          <w:lang w:val="en-US"/>
        </w:rPr>
        <w:t>nonmissing</w:t>
      </w:r>
      <w:proofErr w:type="spellEnd"/>
      <w:r w:rsidR="00D2711D" w:rsidRPr="00160CDE">
        <w:rPr>
          <w:sz w:val="20"/>
          <w:szCs w:val="20"/>
          <w:lang w:val="en-US"/>
        </w:rPr>
        <w:t xml:space="preserve"> value with acceptable quality (acceptable or borderline quality grade) prior to the first dose of study treatment</w:t>
      </w:r>
      <w:r w:rsidR="00316D25" w:rsidRPr="00160CDE">
        <w:rPr>
          <w:sz w:val="20"/>
          <w:szCs w:val="20"/>
          <w:lang w:val="en-US"/>
        </w:rPr>
        <w:t>.</w:t>
      </w:r>
      <w:r w:rsidR="00392CE3" w:rsidRPr="00160CDE">
        <w:rPr>
          <w:sz w:val="20"/>
          <w:szCs w:val="20"/>
          <w:lang w:val="en-US"/>
        </w:rPr>
        <w:t xml:space="preserve"> </w:t>
      </w:r>
      <w:r w:rsidRPr="00160CDE">
        <w:rPr>
          <w:sz w:val="20"/>
          <w:szCs w:val="20"/>
          <w:lang w:val="en-US"/>
        </w:rPr>
        <w:t>FEV</w:t>
      </w:r>
      <w:r w:rsidRPr="00160CDE">
        <w:rPr>
          <w:sz w:val="20"/>
          <w:szCs w:val="20"/>
          <w:vertAlign w:val="subscript"/>
          <w:lang w:val="en-US"/>
        </w:rPr>
        <w:t>1</w:t>
      </w:r>
      <w:r w:rsidR="002661A0">
        <w:rPr>
          <w:sz w:val="20"/>
          <w:szCs w:val="20"/>
          <w:lang w:val="en-US"/>
        </w:rPr>
        <w:t xml:space="preserve">, </w:t>
      </w:r>
      <w:r w:rsidRPr="00160CDE">
        <w:rPr>
          <w:sz w:val="20"/>
          <w:szCs w:val="20"/>
          <w:lang w:val="en-US"/>
        </w:rPr>
        <w:t>forced expiratory volume in 1 second.</w:t>
      </w:r>
    </w:p>
    <w:p w14:paraId="03E60CB0" w14:textId="77777777" w:rsidR="00CD78EF" w:rsidRPr="00160CDE" w:rsidRDefault="00CD78EF" w:rsidP="00BD1DAC">
      <w:pPr>
        <w:rPr>
          <w:lang w:val="en-US"/>
        </w:rPr>
      </w:pPr>
      <w:r w:rsidRPr="00160CDE">
        <w:rPr>
          <w:lang w:val="en-US"/>
        </w:rPr>
        <w:br w:type="page"/>
      </w:r>
    </w:p>
    <w:p w14:paraId="48FEB191" w14:textId="36976CA3" w:rsidR="00E0194C" w:rsidRPr="00160CDE" w:rsidRDefault="00321A86" w:rsidP="00321A86">
      <w:pPr>
        <w:ind w:left="360" w:hanging="360"/>
        <w:rPr>
          <w:b/>
          <w:sz w:val="20"/>
          <w:szCs w:val="20"/>
          <w:lang w:val="en-US"/>
        </w:rPr>
      </w:pPr>
      <w:bookmarkStart w:id="31" w:name="_Toc535875901"/>
      <w:bookmarkStart w:id="32" w:name="_Toc535914008"/>
      <w:bookmarkStart w:id="33" w:name="_Toc535938379"/>
      <w:r w:rsidRPr="00160CDE">
        <w:rPr>
          <w:b/>
          <w:sz w:val="20"/>
          <w:szCs w:val="20"/>
          <w:lang w:val="en-US"/>
        </w:rPr>
        <w:lastRenderedPageBreak/>
        <w:t xml:space="preserve">2.3 </w:t>
      </w:r>
      <w:r w:rsidR="00E0194C" w:rsidRPr="00160CDE">
        <w:rPr>
          <w:b/>
          <w:sz w:val="20"/>
          <w:szCs w:val="20"/>
          <w:lang w:val="en-US"/>
        </w:rPr>
        <w:t>Figure S3. ACQ-6 Average Change from Baseline by Subgroup, Repeated Measures Analysis (Full Analysis Set)</w:t>
      </w:r>
      <w:bookmarkEnd w:id="31"/>
      <w:bookmarkEnd w:id="32"/>
      <w:bookmarkEnd w:id="33"/>
    </w:p>
    <w:p w14:paraId="6A2F76C3" w14:textId="77777777" w:rsidR="00564C0D" w:rsidRPr="00160CDE" w:rsidRDefault="00564C0D" w:rsidP="00321A86">
      <w:pPr>
        <w:ind w:left="360" w:hanging="360"/>
        <w:rPr>
          <w:b/>
          <w:sz w:val="20"/>
          <w:szCs w:val="20"/>
          <w:lang w:val="en-US"/>
        </w:rPr>
      </w:pPr>
    </w:p>
    <w:p w14:paraId="3A0CD1A4" w14:textId="429838DF" w:rsidR="007662BE" w:rsidRPr="00160CDE" w:rsidRDefault="00FE6A6E" w:rsidP="00350FA9">
      <w:pPr>
        <w:spacing w:after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CAA265" wp14:editId="24694063">
            <wp:extent cx="5421086" cy="5818980"/>
            <wp:effectExtent l="0" t="0" r="8255" b="0"/>
            <wp:docPr id="7" name="Picture 7" descr="A close up of text on a white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F088C1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800" cy="584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058AA" w14:textId="77777777" w:rsidR="00AE143B" w:rsidRPr="00160CDE" w:rsidRDefault="00AE143B" w:rsidP="00350FA9">
      <w:pPr>
        <w:spacing w:after="0"/>
        <w:rPr>
          <w:lang w:val="en-US"/>
        </w:rPr>
      </w:pPr>
    </w:p>
    <w:p w14:paraId="4F67F67D" w14:textId="77777777" w:rsidR="00993A33" w:rsidRPr="00160CDE" w:rsidRDefault="00993A33" w:rsidP="00350FA9">
      <w:pPr>
        <w:spacing w:after="0"/>
        <w:rPr>
          <w:sz w:val="20"/>
          <w:lang w:val="en-US"/>
        </w:rPr>
      </w:pPr>
    </w:p>
    <w:p w14:paraId="4B7272D3" w14:textId="77777777" w:rsidR="00993A33" w:rsidRPr="00160CDE" w:rsidRDefault="00993A33" w:rsidP="00350FA9">
      <w:pPr>
        <w:spacing w:after="0"/>
        <w:rPr>
          <w:sz w:val="20"/>
          <w:lang w:val="en-US"/>
        </w:rPr>
      </w:pPr>
    </w:p>
    <w:p w14:paraId="683748D8" w14:textId="6446E3B4" w:rsidR="0053002B" w:rsidRPr="00160CDE" w:rsidRDefault="0053002B" w:rsidP="00350FA9">
      <w:pPr>
        <w:spacing w:after="0"/>
        <w:rPr>
          <w:sz w:val="20"/>
          <w:lang w:val="en-US"/>
        </w:rPr>
      </w:pPr>
      <w:r w:rsidRPr="00160CDE">
        <w:rPr>
          <w:sz w:val="20"/>
          <w:lang w:val="en-US"/>
        </w:rPr>
        <w:t xml:space="preserve">Average change from baseline over </w:t>
      </w:r>
      <w:r w:rsidR="00AA3131" w:rsidRPr="00160CDE">
        <w:rPr>
          <w:sz w:val="20"/>
          <w:lang w:val="en-US"/>
        </w:rPr>
        <w:t>D</w:t>
      </w:r>
      <w:r w:rsidRPr="00160CDE">
        <w:rPr>
          <w:sz w:val="20"/>
          <w:lang w:val="en-US"/>
        </w:rPr>
        <w:t>ay</w:t>
      </w:r>
      <w:r w:rsidR="007A62AF" w:rsidRPr="00160CDE">
        <w:rPr>
          <w:sz w:val="20"/>
          <w:lang w:val="en-US"/>
        </w:rPr>
        <w:t>s</w:t>
      </w:r>
      <w:r w:rsidRPr="00160CDE">
        <w:rPr>
          <w:sz w:val="20"/>
          <w:lang w:val="en-US"/>
        </w:rPr>
        <w:t xml:space="preserve"> 28, 56, and 84. </w:t>
      </w:r>
      <w:bookmarkStart w:id="34" w:name="_Hlk12621294"/>
      <w:r w:rsidR="00D2711D" w:rsidRPr="00160CDE">
        <w:rPr>
          <w:sz w:val="20"/>
          <w:lang w:val="en-US"/>
        </w:rPr>
        <w:t xml:space="preserve">Baseline was defined as the last </w:t>
      </w:r>
      <w:proofErr w:type="spellStart"/>
      <w:r w:rsidR="00D2711D" w:rsidRPr="00160CDE">
        <w:rPr>
          <w:sz w:val="20"/>
          <w:lang w:val="en-US"/>
        </w:rPr>
        <w:t>nonmissing</w:t>
      </w:r>
      <w:proofErr w:type="spellEnd"/>
      <w:r w:rsidR="00D2711D" w:rsidRPr="00160CDE">
        <w:rPr>
          <w:sz w:val="20"/>
          <w:lang w:val="en-US"/>
        </w:rPr>
        <w:t xml:space="preserve"> value prior to randomi</w:t>
      </w:r>
      <w:r w:rsidR="00AA3131" w:rsidRPr="00160CDE">
        <w:rPr>
          <w:sz w:val="20"/>
          <w:lang w:val="en-US"/>
        </w:rPr>
        <w:t>z</w:t>
      </w:r>
      <w:r w:rsidR="00D2711D" w:rsidRPr="00160CDE">
        <w:rPr>
          <w:sz w:val="20"/>
          <w:lang w:val="en-US"/>
        </w:rPr>
        <w:t>ation.</w:t>
      </w:r>
      <w:r w:rsidR="00392CE3" w:rsidRPr="00160CDE">
        <w:rPr>
          <w:sz w:val="20"/>
          <w:lang w:val="en-US"/>
        </w:rPr>
        <w:t xml:space="preserve"> </w:t>
      </w:r>
      <w:bookmarkEnd w:id="34"/>
      <w:r w:rsidRPr="00160CDE">
        <w:rPr>
          <w:sz w:val="20"/>
          <w:lang w:val="en-US"/>
        </w:rPr>
        <w:t>ACQ-6</w:t>
      </w:r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Asthma Control Questionnaire 6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BMI</w:t>
      </w:r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body mass index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CI</w:t>
      </w:r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confidence interval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r w:rsidRPr="00160CDE">
        <w:rPr>
          <w:caps/>
          <w:sz w:val="20"/>
          <w:lang w:val="en-US"/>
        </w:rPr>
        <w:t>Eos</w:t>
      </w:r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eosinophils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proofErr w:type="spellStart"/>
      <w:r w:rsidRPr="00160CDE">
        <w:rPr>
          <w:sz w:val="20"/>
          <w:lang w:val="en-US"/>
        </w:rPr>
        <w:t>FeNO</w:t>
      </w:r>
      <w:proofErr w:type="spellEnd"/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fractional inhaled nitric oxide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proofErr w:type="spellStart"/>
      <w:r w:rsidRPr="00160CDE">
        <w:rPr>
          <w:sz w:val="20"/>
          <w:lang w:val="en-US"/>
        </w:rPr>
        <w:t>IgE</w:t>
      </w:r>
      <w:proofErr w:type="spellEnd"/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immunoglobulin E</w:t>
      </w:r>
      <w:r w:rsidR="002661A0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OCS</w:t>
      </w:r>
      <w:r w:rsidR="002661A0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oral corticosteroids.</w:t>
      </w:r>
    </w:p>
    <w:p w14:paraId="47F29734" w14:textId="409F9276" w:rsidR="00CD78EF" w:rsidRPr="00160CDE" w:rsidRDefault="00CD78EF" w:rsidP="00BD1DAC">
      <w:pPr>
        <w:rPr>
          <w:sz w:val="20"/>
          <w:lang w:val="en-US"/>
        </w:rPr>
      </w:pPr>
      <w:r w:rsidRPr="00160CDE">
        <w:rPr>
          <w:sz w:val="20"/>
          <w:lang w:val="en-US"/>
        </w:rPr>
        <w:br w:type="page"/>
      </w:r>
    </w:p>
    <w:p w14:paraId="5D3D159A" w14:textId="3F00665D" w:rsidR="007B5D70" w:rsidRPr="00160CDE" w:rsidRDefault="00321A86" w:rsidP="00321A86">
      <w:pPr>
        <w:ind w:left="360" w:hanging="360"/>
        <w:rPr>
          <w:b/>
          <w:sz w:val="20"/>
          <w:szCs w:val="20"/>
          <w:lang w:val="en-US"/>
        </w:rPr>
      </w:pPr>
      <w:bookmarkStart w:id="35" w:name="_Toc535875902"/>
      <w:bookmarkStart w:id="36" w:name="_Toc535914009"/>
      <w:bookmarkStart w:id="37" w:name="_Toc535938380"/>
      <w:r w:rsidRPr="00160CDE">
        <w:rPr>
          <w:b/>
          <w:sz w:val="20"/>
          <w:szCs w:val="20"/>
          <w:lang w:val="en-US"/>
        </w:rPr>
        <w:lastRenderedPageBreak/>
        <w:t>2.4</w:t>
      </w:r>
      <w:r w:rsidRPr="00160CDE">
        <w:rPr>
          <w:b/>
          <w:sz w:val="20"/>
          <w:szCs w:val="20"/>
          <w:lang w:val="en-US"/>
        </w:rPr>
        <w:tab/>
      </w:r>
      <w:r w:rsidR="007B5D70" w:rsidRPr="00160CDE">
        <w:rPr>
          <w:b/>
          <w:sz w:val="20"/>
          <w:szCs w:val="20"/>
          <w:lang w:val="en-US"/>
        </w:rPr>
        <w:t>Figure S4. SGRQ Average Change from Baseline by Subgroup, Repeated Measures Analysis (Full Analysis Set)</w:t>
      </w:r>
      <w:bookmarkEnd w:id="35"/>
      <w:bookmarkEnd w:id="36"/>
      <w:bookmarkEnd w:id="37"/>
    </w:p>
    <w:p w14:paraId="0D63D6F4" w14:textId="77777777" w:rsidR="00564C0D" w:rsidRPr="00160CDE" w:rsidRDefault="00564C0D" w:rsidP="00321A86">
      <w:pPr>
        <w:ind w:left="360" w:hanging="360"/>
        <w:rPr>
          <w:b/>
          <w:sz w:val="20"/>
          <w:szCs w:val="20"/>
          <w:lang w:val="en-US"/>
        </w:rPr>
      </w:pPr>
    </w:p>
    <w:p w14:paraId="39D3DFE5" w14:textId="28749E03" w:rsidR="0053002B" w:rsidRDefault="002C283B" w:rsidP="007B5D7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DEA8E4" wp14:editId="4FDAEBCC">
            <wp:extent cx="5581650" cy="5928714"/>
            <wp:effectExtent l="0" t="0" r="0" b="0"/>
            <wp:docPr id="9" name="Picture 9" descr="A close up of text on a white backgroun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F0589D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507" cy="593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83BC" w14:textId="5D8DF305" w:rsidR="00DE4F57" w:rsidRDefault="00DE4F57" w:rsidP="007B5D70">
      <w:pPr>
        <w:rPr>
          <w:lang w:val="en-US"/>
        </w:rPr>
      </w:pPr>
    </w:p>
    <w:p w14:paraId="76CE2DF1" w14:textId="77777777" w:rsidR="00993A33" w:rsidRPr="00160CDE" w:rsidRDefault="00993A33" w:rsidP="007B5D70">
      <w:pPr>
        <w:rPr>
          <w:sz w:val="20"/>
          <w:lang w:val="en-US"/>
        </w:rPr>
      </w:pPr>
    </w:p>
    <w:p w14:paraId="64A388A6" w14:textId="1A369BAD" w:rsidR="007B5D70" w:rsidRPr="00160CDE" w:rsidRDefault="007B5D70" w:rsidP="007B5D70">
      <w:pPr>
        <w:rPr>
          <w:sz w:val="20"/>
          <w:lang w:val="en-US"/>
        </w:rPr>
      </w:pPr>
      <w:r w:rsidRPr="00160CDE">
        <w:rPr>
          <w:sz w:val="20"/>
          <w:lang w:val="en-US"/>
        </w:rPr>
        <w:t xml:space="preserve">Average change from baseline over </w:t>
      </w:r>
      <w:r w:rsidR="00DB2888" w:rsidRPr="00160CDE">
        <w:rPr>
          <w:sz w:val="20"/>
          <w:lang w:val="en-US"/>
        </w:rPr>
        <w:t>D</w:t>
      </w:r>
      <w:r w:rsidRPr="00160CDE">
        <w:rPr>
          <w:sz w:val="20"/>
          <w:lang w:val="en-US"/>
        </w:rPr>
        <w:t>ay</w:t>
      </w:r>
      <w:r w:rsidR="007A62AF" w:rsidRPr="00160CDE">
        <w:rPr>
          <w:sz w:val="20"/>
          <w:lang w:val="en-US"/>
        </w:rPr>
        <w:t>s</w:t>
      </w:r>
      <w:r w:rsidRPr="00160CDE">
        <w:rPr>
          <w:sz w:val="20"/>
          <w:lang w:val="en-US"/>
        </w:rPr>
        <w:t xml:space="preserve"> 28, 56, and 84. </w:t>
      </w:r>
      <w:r w:rsidR="00D2711D" w:rsidRPr="00160CDE">
        <w:rPr>
          <w:sz w:val="20"/>
          <w:lang w:val="en-US"/>
        </w:rPr>
        <w:t xml:space="preserve">Baseline was defined as the last </w:t>
      </w:r>
      <w:proofErr w:type="spellStart"/>
      <w:r w:rsidR="00D2711D" w:rsidRPr="00160CDE">
        <w:rPr>
          <w:sz w:val="20"/>
          <w:lang w:val="en-US"/>
        </w:rPr>
        <w:t>nonmissing</w:t>
      </w:r>
      <w:proofErr w:type="spellEnd"/>
      <w:r w:rsidR="00D2711D" w:rsidRPr="00160CDE">
        <w:rPr>
          <w:sz w:val="20"/>
          <w:lang w:val="en-US"/>
        </w:rPr>
        <w:t xml:space="preserve"> value prior to randomi</w:t>
      </w:r>
      <w:r w:rsidR="00DB2888" w:rsidRPr="00160CDE">
        <w:rPr>
          <w:sz w:val="20"/>
          <w:lang w:val="en-US"/>
        </w:rPr>
        <w:t>z</w:t>
      </w:r>
      <w:r w:rsidR="00D2711D" w:rsidRPr="00160CDE">
        <w:rPr>
          <w:sz w:val="20"/>
          <w:lang w:val="en-US"/>
        </w:rPr>
        <w:t>ation.</w:t>
      </w:r>
      <w:r w:rsidR="00747541" w:rsidRPr="00160CDE">
        <w:rPr>
          <w:sz w:val="20"/>
          <w:lang w:val="en-US"/>
        </w:rPr>
        <w:t xml:space="preserve"> </w:t>
      </w:r>
      <w:r w:rsidRPr="00160CDE">
        <w:rPr>
          <w:sz w:val="20"/>
          <w:lang w:val="en-US"/>
        </w:rPr>
        <w:t>BMI</w:t>
      </w:r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body mass index</w:t>
      </w:r>
      <w:r w:rsidR="00E627C3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CI</w:t>
      </w:r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confidence interval</w:t>
      </w:r>
      <w:r w:rsidR="00E627C3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r w:rsidR="00347C80" w:rsidRPr="00160CDE">
        <w:rPr>
          <w:sz w:val="20"/>
          <w:lang w:val="en-US"/>
        </w:rPr>
        <w:t>EOS</w:t>
      </w:r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eosinophils</w:t>
      </w:r>
      <w:r w:rsidR="00E627C3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proofErr w:type="spellStart"/>
      <w:r w:rsidRPr="00160CDE">
        <w:rPr>
          <w:sz w:val="20"/>
          <w:lang w:val="en-US"/>
        </w:rPr>
        <w:t>FeNO</w:t>
      </w:r>
      <w:proofErr w:type="spellEnd"/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fractional inhaled nitric oxide</w:t>
      </w:r>
      <w:r w:rsidR="00E627C3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</w:t>
      </w:r>
      <w:proofErr w:type="spellStart"/>
      <w:r w:rsidRPr="00160CDE">
        <w:rPr>
          <w:sz w:val="20"/>
          <w:lang w:val="en-US"/>
        </w:rPr>
        <w:t>IgE</w:t>
      </w:r>
      <w:proofErr w:type="spellEnd"/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immunoglobulin E</w:t>
      </w:r>
      <w:r w:rsidR="00E627C3">
        <w:rPr>
          <w:sz w:val="20"/>
          <w:lang w:val="en-US"/>
        </w:rPr>
        <w:t>;</w:t>
      </w:r>
      <w:r w:rsidRPr="00160CDE">
        <w:rPr>
          <w:sz w:val="20"/>
          <w:lang w:val="en-US"/>
        </w:rPr>
        <w:t xml:space="preserve"> OCS</w:t>
      </w:r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oral corticosteroids</w:t>
      </w:r>
      <w:r w:rsidR="00E627C3">
        <w:rPr>
          <w:sz w:val="20"/>
          <w:lang w:val="en-US"/>
        </w:rPr>
        <w:t>;</w:t>
      </w:r>
      <w:r w:rsidR="00D2711D" w:rsidRPr="00160CDE">
        <w:rPr>
          <w:sz w:val="20"/>
          <w:lang w:val="en-US"/>
        </w:rPr>
        <w:t xml:space="preserve"> </w:t>
      </w:r>
      <w:r w:rsidRPr="00160CDE">
        <w:rPr>
          <w:sz w:val="20"/>
          <w:lang w:val="en-US"/>
        </w:rPr>
        <w:t>SGRQ</w:t>
      </w:r>
      <w:r w:rsidR="00E627C3">
        <w:rPr>
          <w:sz w:val="20"/>
          <w:lang w:val="en-US"/>
        </w:rPr>
        <w:t xml:space="preserve">, </w:t>
      </w:r>
      <w:r w:rsidRPr="00160CDE">
        <w:rPr>
          <w:sz w:val="20"/>
          <w:lang w:val="en-US"/>
        </w:rPr>
        <w:t>St. George’s Respiratory Questionnaire.</w:t>
      </w:r>
    </w:p>
    <w:p w14:paraId="1E18989E" w14:textId="77777777" w:rsidR="003567A0" w:rsidRPr="00160CDE" w:rsidRDefault="00D120C3" w:rsidP="00BD1DAC">
      <w:pPr>
        <w:rPr>
          <w:lang w:val="en-US"/>
        </w:rPr>
        <w:sectPr w:rsidR="003567A0" w:rsidRPr="00160CDE" w:rsidSect="00906DE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0CDE">
        <w:rPr>
          <w:lang w:val="en-US"/>
        </w:rPr>
        <w:br w:type="page"/>
      </w:r>
    </w:p>
    <w:p w14:paraId="0A479DE7" w14:textId="3B7D42D0" w:rsidR="004F4277" w:rsidRPr="00160CDE" w:rsidRDefault="00AA6D73" w:rsidP="00321A86">
      <w:pPr>
        <w:rPr>
          <w:b/>
          <w:sz w:val="20"/>
          <w:szCs w:val="20"/>
          <w:lang w:val="en-US"/>
        </w:rPr>
      </w:pPr>
      <w:bookmarkStart w:id="38" w:name="_Toc535875903"/>
      <w:bookmarkStart w:id="39" w:name="_Toc535914010"/>
      <w:bookmarkStart w:id="40" w:name="_Toc535938381"/>
      <w:r w:rsidRPr="00160CDE">
        <w:rPr>
          <w:b/>
          <w:sz w:val="20"/>
          <w:szCs w:val="20"/>
          <w:lang w:val="en-US"/>
        </w:rPr>
        <w:lastRenderedPageBreak/>
        <w:t xml:space="preserve">2.5 </w:t>
      </w:r>
      <w:r w:rsidR="004F4277" w:rsidRPr="00160CDE">
        <w:rPr>
          <w:b/>
          <w:sz w:val="20"/>
          <w:szCs w:val="20"/>
          <w:lang w:val="en-US"/>
        </w:rPr>
        <w:t>Table S</w:t>
      </w:r>
      <w:r w:rsidR="00D120C3" w:rsidRPr="00160CDE">
        <w:rPr>
          <w:b/>
          <w:sz w:val="20"/>
          <w:szCs w:val="20"/>
          <w:lang w:val="en-US"/>
        </w:rPr>
        <w:t>1</w:t>
      </w:r>
      <w:r w:rsidR="00211A93" w:rsidRPr="00160CDE">
        <w:rPr>
          <w:b/>
          <w:sz w:val="20"/>
          <w:szCs w:val="20"/>
          <w:lang w:val="en-US"/>
        </w:rPr>
        <w:t xml:space="preserve">. Additional </w:t>
      </w:r>
      <w:r w:rsidR="00E46B88" w:rsidRPr="00160CDE">
        <w:rPr>
          <w:b/>
          <w:sz w:val="20"/>
          <w:szCs w:val="20"/>
          <w:lang w:val="en-US"/>
        </w:rPr>
        <w:t>S</w:t>
      </w:r>
      <w:r w:rsidR="00211A93" w:rsidRPr="00160CDE">
        <w:rPr>
          <w:b/>
          <w:sz w:val="20"/>
          <w:szCs w:val="20"/>
          <w:lang w:val="en-US"/>
        </w:rPr>
        <w:t xml:space="preserve">econdary </w:t>
      </w:r>
      <w:r w:rsidR="00E46B88" w:rsidRPr="00160CDE">
        <w:rPr>
          <w:b/>
          <w:sz w:val="20"/>
          <w:szCs w:val="20"/>
          <w:lang w:val="en-US"/>
        </w:rPr>
        <w:t>E</w:t>
      </w:r>
      <w:r w:rsidR="004F4277" w:rsidRPr="00160CDE">
        <w:rPr>
          <w:b/>
          <w:sz w:val="20"/>
          <w:szCs w:val="20"/>
          <w:lang w:val="en-US"/>
        </w:rPr>
        <w:t>ndpoints</w:t>
      </w:r>
      <w:bookmarkEnd w:id="38"/>
      <w:bookmarkEnd w:id="39"/>
      <w:bookmarkEnd w:id="40"/>
    </w:p>
    <w:p w14:paraId="4F78F0DD" w14:textId="77777777" w:rsidR="003A2577" w:rsidRPr="00160CDE" w:rsidRDefault="003A2577" w:rsidP="00321A86">
      <w:pPr>
        <w:rPr>
          <w:b/>
          <w:sz w:val="20"/>
          <w:szCs w:val="20"/>
          <w:lang w:val="en-US"/>
        </w:rPr>
      </w:pPr>
    </w:p>
    <w:bookmarkEnd w:id="30"/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495"/>
        <w:gridCol w:w="1866"/>
        <w:gridCol w:w="1734"/>
        <w:gridCol w:w="2618"/>
        <w:gridCol w:w="1247"/>
      </w:tblGrid>
      <w:tr w:rsidR="001F5EEB" w:rsidRPr="00160CDE" w14:paraId="5BDBE3C4" w14:textId="77777777" w:rsidTr="005B1F46">
        <w:trPr>
          <w:cantSplit/>
          <w:trHeight w:val="240"/>
          <w:tblHeader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DBF9D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0C4DC6" w14:textId="765250C5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 xml:space="preserve">LS mean change from </w:t>
            </w:r>
            <w:proofErr w:type="spellStart"/>
            <w:r w:rsidRPr="00160CDE">
              <w:rPr>
                <w:b/>
                <w:sz w:val="16"/>
                <w:szCs w:val="16"/>
                <w:lang w:val="en-US"/>
              </w:rPr>
              <w:t>baseline</w:t>
            </w:r>
            <w:r w:rsidR="00F01246" w:rsidRPr="00F01246">
              <w:rPr>
                <w:b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="00F01246" w:rsidRPr="00F01246" w:rsidDel="00F01246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A108642" w14:textId="4EF19ACA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 xml:space="preserve">LS mean </w:t>
            </w:r>
            <w:proofErr w:type="spellStart"/>
            <w:r w:rsidRPr="00160CDE">
              <w:rPr>
                <w:b/>
                <w:sz w:val="16"/>
                <w:szCs w:val="16"/>
                <w:lang w:val="en-US"/>
              </w:rPr>
              <w:t>difference</w:t>
            </w:r>
            <w:r w:rsidR="00F01246">
              <w:rPr>
                <w:b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60CDE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66FB904E" w14:textId="77777777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1F5EEB" w:rsidRPr="00160CDE" w14:paraId="0553DA5C" w14:textId="77777777" w:rsidTr="005B1F46">
        <w:trPr>
          <w:cantSplit/>
          <w:trHeight w:val="240"/>
          <w:tblHeader/>
        </w:trPr>
        <w:tc>
          <w:tcPr>
            <w:tcW w:w="21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BDB17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bookmarkStart w:id="41" w:name="_Hlk531948210"/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14E0537" w14:textId="25CC26A7" w:rsidR="001F5EEB" w:rsidRPr="00160CDE" w:rsidRDefault="001F5EEB" w:rsidP="005B1F46">
            <w:pPr>
              <w:spacing w:after="0" w:line="240" w:lineRule="auto"/>
              <w:rPr>
                <w:b/>
                <w:sz w:val="16"/>
                <w:szCs w:val="16"/>
                <w:vertAlign w:val="superscript"/>
                <w:lang w:val="en-US"/>
              </w:rPr>
            </w:pPr>
            <w:proofErr w:type="spellStart"/>
            <w:r w:rsidRPr="00160CDE">
              <w:rPr>
                <w:b/>
                <w:sz w:val="16"/>
                <w:szCs w:val="16"/>
                <w:lang w:val="en-US"/>
              </w:rPr>
              <w:t>Benralizumab</w:t>
            </w:r>
            <w:proofErr w:type="spellEnd"/>
            <w:r w:rsidRPr="00160CDE">
              <w:rPr>
                <w:b/>
                <w:sz w:val="16"/>
                <w:szCs w:val="16"/>
                <w:lang w:val="en-US"/>
              </w:rPr>
              <w:br/>
              <w:t xml:space="preserve">30 </w:t>
            </w:r>
            <w:proofErr w:type="spellStart"/>
            <w:r w:rsidRPr="00160CDE">
              <w:rPr>
                <w:b/>
                <w:sz w:val="16"/>
                <w:szCs w:val="16"/>
                <w:lang w:val="en-US"/>
              </w:rPr>
              <w:t>mg</w:t>
            </w:r>
            <w:r w:rsidR="00917051">
              <w:rPr>
                <w:b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60CDE">
              <w:rPr>
                <w:b/>
                <w:sz w:val="16"/>
                <w:szCs w:val="16"/>
                <w:lang w:val="en-US"/>
              </w:rPr>
              <w:t xml:space="preserve"> (n)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C06E" w14:textId="77777777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>Placebo (</w:t>
            </w:r>
            <w:r w:rsidRPr="00E454AD">
              <w:rPr>
                <w:b/>
                <w:sz w:val="16"/>
                <w:szCs w:val="16"/>
                <w:lang w:val="en-US"/>
              </w:rPr>
              <w:t>n</w:t>
            </w:r>
            <w:r w:rsidRPr="00160CDE">
              <w:rPr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82537AA" w14:textId="77777777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>Benralizumab vs. placebo</w:t>
            </w:r>
            <w:r w:rsidRPr="00160CDE">
              <w:rPr>
                <w:b/>
                <w:sz w:val="16"/>
                <w:szCs w:val="16"/>
                <w:lang w:val="en-US"/>
              </w:rPr>
              <w:br/>
              <w:t>(95% CI)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46D570C4" w14:textId="77777777" w:rsidR="001F5EEB" w:rsidRPr="00160CDE" w:rsidRDefault="001F5EEB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E454AD">
              <w:rPr>
                <w:b/>
                <w:sz w:val="16"/>
                <w:szCs w:val="16"/>
                <w:lang w:val="en-US"/>
              </w:rPr>
              <w:t>P</w:t>
            </w:r>
            <w:r w:rsidRPr="00160CDE">
              <w:rPr>
                <w:b/>
                <w:sz w:val="16"/>
                <w:szCs w:val="16"/>
                <w:lang w:val="en-US"/>
              </w:rPr>
              <w:t>-value</w:t>
            </w:r>
          </w:p>
        </w:tc>
      </w:tr>
      <w:tr w:rsidR="001F5EEB" w:rsidRPr="00160CDE" w14:paraId="7C7DEC3F" w14:textId="77777777" w:rsidTr="005B1F46">
        <w:trPr>
          <w:cantSplit/>
          <w:trHeight w:val="240"/>
        </w:trPr>
        <w:tc>
          <w:tcPr>
            <w:tcW w:w="21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ECB603" w14:textId="23F3A465" w:rsidR="001F5EEB" w:rsidRPr="00160CDE" w:rsidRDefault="001F5EEB" w:rsidP="005B1F46">
            <w:pPr>
              <w:spacing w:line="240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Change from baseline in prebronchodilator FVC, mL</w:t>
            </w: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0F92F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4F927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5856F93A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1BA3F86B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1F5EEB" w:rsidRPr="00160CDE" w14:paraId="345E5D94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05DD22C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Day 3 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0F8AEEF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118 (110)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5FFDB9E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112 (107)</w:t>
            </w:r>
          </w:p>
        </w:tc>
        <w:tc>
          <w:tcPr>
            <w:tcW w:w="1010" w:type="pct"/>
          </w:tcPr>
          <w:p w14:paraId="23D142F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6 (−62 to 73)</w:t>
            </w:r>
          </w:p>
        </w:tc>
        <w:tc>
          <w:tcPr>
            <w:tcW w:w="481" w:type="pct"/>
          </w:tcPr>
          <w:p w14:paraId="2E0296C2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0.87</w:t>
            </w:r>
          </w:p>
        </w:tc>
      </w:tr>
      <w:tr w:rsidR="001F5EEB" w:rsidRPr="00160CDE" w14:paraId="0BBA9FE7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2338CD1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7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5520820F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138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5B2A54B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97 (112)</w:t>
            </w:r>
          </w:p>
        </w:tc>
        <w:tc>
          <w:tcPr>
            <w:tcW w:w="1010" w:type="pct"/>
          </w:tcPr>
          <w:p w14:paraId="0200AD1A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41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33 to 115)</w:t>
            </w:r>
          </w:p>
        </w:tc>
        <w:tc>
          <w:tcPr>
            <w:tcW w:w="481" w:type="pct"/>
          </w:tcPr>
          <w:p w14:paraId="6EFD6FE5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0.27</w:t>
            </w:r>
          </w:p>
        </w:tc>
      </w:tr>
      <w:tr w:rsidR="001F5EEB" w:rsidRPr="00160CDE" w14:paraId="54DD591E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1195272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14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220AD809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126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150E89D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111 (113)</w:t>
            </w:r>
          </w:p>
        </w:tc>
        <w:tc>
          <w:tcPr>
            <w:tcW w:w="1010" w:type="pct"/>
          </w:tcPr>
          <w:p w14:paraId="69CADC43" w14:textId="432B2DA4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15 (−68 to 98)</w:t>
            </w:r>
          </w:p>
        </w:tc>
        <w:tc>
          <w:tcPr>
            <w:tcW w:w="481" w:type="pct"/>
          </w:tcPr>
          <w:p w14:paraId="2670EA6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0.73</w:t>
            </w:r>
          </w:p>
        </w:tc>
      </w:tr>
      <w:tr w:rsidR="001F5EEB" w:rsidRPr="00160CDE" w14:paraId="54244828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4AB0BCB9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7944E377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210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62D7396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135 (113)</w:t>
            </w:r>
          </w:p>
        </w:tc>
        <w:tc>
          <w:tcPr>
            <w:tcW w:w="1010" w:type="pct"/>
          </w:tcPr>
          <w:p w14:paraId="75C1F0EB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75 (−14 to 164)</w:t>
            </w:r>
          </w:p>
        </w:tc>
        <w:tc>
          <w:tcPr>
            <w:tcW w:w="481" w:type="pct"/>
          </w:tcPr>
          <w:p w14:paraId="2C4452AC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0.098</w:t>
            </w:r>
          </w:p>
        </w:tc>
      </w:tr>
      <w:tr w:rsidR="001F5EEB" w:rsidRPr="00160CDE" w14:paraId="1DED93EC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0EF0FECD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4E6BB0E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210 (116)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146E4AC3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187 (113)</w:t>
            </w:r>
          </w:p>
        </w:tc>
        <w:tc>
          <w:tcPr>
            <w:tcW w:w="1010" w:type="pct"/>
          </w:tcPr>
          <w:p w14:paraId="6636E132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23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77 to 122)</w:t>
            </w:r>
          </w:p>
        </w:tc>
        <w:tc>
          <w:tcPr>
            <w:tcW w:w="481" w:type="pct"/>
          </w:tcPr>
          <w:p w14:paraId="626A2A8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0.65</w:t>
            </w:r>
          </w:p>
        </w:tc>
      </w:tr>
      <w:tr w:rsidR="001F5EEB" w:rsidRPr="00160CDE" w14:paraId="7932126A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3E507E4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84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310956D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223 (114)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4E544E6A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131 (114)</w:t>
            </w:r>
          </w:p>
        </w:tc>
        <w:tc>
          <w:tcPr>
            <w:tcW w:w="1010" w:type="pct"/>
          </w:tcPr>
          <w:p w14:paraId="13512515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92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4 to 188)</w:t>
            </w:r>
          </w:p>
        </w:tc>
        <w:tc>
          <w:tcPr>
            <w:tcW w:w="481" w:type="pct"/>
          </w:tcPr>
          <w:p w14:paraId="2B0851AD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0.06</w:t>
            </w:r>
          </w:p>
        </w:tc>
      </w:tr>
      <w:tr w:rsidR="001F5EEB" w:rsidRPr="00160CDE" w14:paraId="7B6D7E97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10F97209" w14:textId="28A30733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Average over Days 28, 56</w:t>
            </w:r>
            <w:r w:rsidR="00204A00">
              <w:rPr>
                <w:sz w:val="16"/>
                <w:szCs w:val="16"/>
                <w:lang w:val="en-US"/>
              </w:rPr>
              <w:t>,</w:t>
            </w:r>
            <w:r w:rsidRPr="00160CDE">
              <w:rPr>
                <w:sz w:val="16"/>
                <w:szCs w:val="16"/>
                <w:lang w:val="en-US"/>
              </w:rPr>
              <w:t xml:space="preserve"> and 84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4C986AC2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214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0E4463C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151 (114)</w:t>
            </w:r>
          </w:p>
        </w:tc>
        <w:tc>
          <w:tcPr>
            <w:tcW w:w="1010" w:type="pct"/>
          </w:tcPr>
          <w:p w14:paraId="70B39D5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63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20 to 147)</w:t>
            </w:r>
          </w:p>
        </w:tc>
        <w:tc>
          <w:tcPr>
            <w:tcW w:w="481" w:type="pct"/>
          </w:tcPr>
          <w:p w14:paraId="35A7A4E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0.14</w:t>
            </w:r>
          </w:p>
        </w:tc>
      </w:tr>
      <w:tr w:rsidR="001F5EEB" w:rsidRPr="00160CDE" w14:paraId="74022DB6" w14:textId="77777777" w:rsidTr="005B1F46">
        <w:trPr>
          <w:cantSplit/>
          <w:trHeight w:val="240"/>
        </w:trPr>
        <w:tc>
          <w:tcPr>
            <w:tcW w:w="21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9E56CD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Change from baseline in FeNO, ppb</w:t>
            </w:r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F74B855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D0881F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4A02CED3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68C54C0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1F5EEB" w:rsidRPr="00160CDE" w14:paraId="15533548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12A08D6A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Day 3 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345DDD5F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8.6 (101)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1002526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−1.3 (99)</w:t>
            </w:r>
          </w:p>
        </w:tc>
        <w:tc>
          <w:tcPr>
            <w:tcW w:w="1010" w:type="pct"/>
          </w:tcPr>
          <w:p w14:paraId="441F87BE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9.9 (3.7 to 16.0)</w:t>
            </w:r>
          </w:p>
        </w:tc>
        <w:tc>
          <w:tcPr>
            <w:tcW w:w="481" w:type="pct"/>
          </w:tcPr>
          <w:p w14:paraId="08A74D75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0.0017</w:t>
            </w:r>
          </w:p>
        </w:tc>
      </w:tr>
      <w:tr w:rsidR="001F5EEB" w:rsidRPr="00160CDE" w14:paraId="52B92560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342FD257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7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29A51C83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7.0 (106)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3E439D50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−3.0 (99)</w:t>
            </w:r>
          </w:p>
        </w:tc>
        <w:tc>
          <w:tcPr>
            <w:tcW w:w="1010" w:type="pct"/>
          </w:tcPr>
          <w:p w14:paraId="42F6EA1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10.0 (3.3 to 16.7)</w:t>
            </w:r>
          </w:p>
        </w:tc>
        <w:tc>
          <w:tcPr>
            <w:tcW w:w="481" w:type="pct"/>
          </w:tcPr>
          <w:p w14:paraId="157F610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0.0037</w:t>
            </w:r>
          </w:p>
        </w:tc>
      </w:tr>
      <w:tr w:rsidR="001F5EEB" w:rsidRPr="00160CDE" w14:paraId="19E47114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23DBAEB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14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3DC97579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6.3 (100)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74AC6D22" w14:textId="6A82C272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−0.</w:t>
            </w:r>
            <w:r w:rsidR="00D95AAF">
              <w:rPr>
                <w:sz w:val="16"/>
                <w:szCs w:val="16"/>
                <w:lang w:val="en-US"/>
              </w:rPr>
              <w:t>55</w:t>
            </w:r>
            <w:r w:rsidR="00D95AAF" w:rsidRPr="00160CDE">
              <w:rPr>
                <w:sz w:val="16"/>
                <w:szCs w:val="16"/>
                <w:lang w:val="en-US"/>
              </w:rPr>
              <w:t xml:space="preserve"> </w:t>
            </w:r>
            <w:r w:rsidRPr="00160CDE">
              <w:rPr>
                <w:sz w:val="16"/>
                <w:szCs w:val="16"/>
                <w:lang w:val="en-US"/>
              </w:rPr>
              <w:t>(94)</w:t>
            </w:r>
          </w:p>
        </w:tc>
        <w:tc>
          <w:tcPr>
            <w:tcW w:w="1010" w:type="pct"/>
          </w:tcPr>
          <w:p w14:paraId="15E3AAD0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6.9 (0.1 to 13.6)</w:t>
            </w:r>
          </w:p>
        </w:tc>
        <w:tc>
          <w:tcPr>
            <w:tcW w:w="481" w:type="pct"/>
          </w:tcPr>
          <w:p w14:paraId="5A1CB1F9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0.047</w:t>
            </w:r>
          </w:p>
        </w:tc>
      </w:tr>
      <w:tr w:rsidR="001F5EEB" w:rsidRPr="00160CDE" w14:paraId="7D6AC240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6BD2DB03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1328FEA0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7.4 (96)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26BCEF6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−4.1 (92)</w:t>
            </w:r>
          </w:p>
        </w:tc>
        <w:tc>
          <w:tcPr>
            <w:tcW w:w="1010" w:type="pct"/>
          </w:tcPr>
          <w:p w14:paraId="393933DC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11.5 (3.3 to 19.7)</w:t>
            </w:r>
          </w:p>
        </w:tc>
        <w:tc>
          <w:tcPr>
            <w:tcW w:w="481" w:type="pct"/>
          </w:tcPr>
          <w:p w14:paraId="628758E9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0.0063</w:t>
            </w:r>
          </w:p>
        </w:tc>
      </w:tr>
      <w:tr w:rsidR="001F5EEB" w:rsidRPr="00160CDE" w14:paraId="6CAED39D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03AB08C4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537BEFE3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6.0 (101)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54AEC98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−1.4 (106)</w:t>
            </w:r>
          </w:p>
        </w:tc>
        <w:tc>
          <w:tcPr>
            <w:tcW w:w="1010" w:type="pct"/>
          </w:tcPr>
          <w:p w14:paraId="5075453C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7.4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1.3 to 16.1)</w:t>
            </w:r>
          </w:p>
        </w:tc>
        <w:tc>
          <w:tcPr>
            <w:tcW w:w="481" w:type="pct"/>
          </w:tcPr>
          <w:p w14:paraId="3DEDF3CD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0.095</w:t>
            </w:r>
          </w:p>
        </w:tc>
      </w:tr>
      <w:tr w:rsidR="001F5EEB" w:rsidRPr="00160CDE" w14:paraId="0322C402" w14:textId="77777777" w:rsidTr="005B1F46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09F92D9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84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3755CD26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4.9 (103)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71ABEA7E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−0.5 (106)</w:t>
            </w:r>
          </w:p>
        </w:tc>
        <w:tc>
          <w:tcPr>
            <w:tcW w:w="1010" w:type="pct"/>
          </w:tcPr>
          <w:p w14:paraId="6B4FCCBF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5.4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 w:rsidRPr="00160CDE">
              <w:rPr>
                <w:sz w:val="16"/>
                <w:szCs w:val="16"/>
                <w:lang w:val="en-US" w:eastAsia="ja-JP"/>
              </w:rPr>
              <w:t>4.5 to 15.3)</w:t>
            </w:r>
          </w:p>
        </w:tc>
        <w:tc>
          <w:tcPr>
            <w:tcW w:w="481" w:type="pct"/>
          </w:tcPr>
          <w:p w14:paraId="6F6EA7A8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0.28</w:t>
            </w:r>
          </w:p>
        </w:tc>
      </w:tr>
      <w:tr w:rsidR="001F5EEB" w:rsidRPr="00160CDE" w14:paraId="5E1EAD8E" w14:textId="77777777" w:rsidTr="004A55D7">
        <w:trPr>
          <w:cantSplit/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C62A76" w14:textId="1157E8A0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Average over Days 28, 56</w:t>
            </w:r>
            <w:r w:rsidR="00204A00">
              <w:rPr>
                <w:sz w:val="16"/>
                <w:szCs w:val="16"/>
                <w:lang w:val="en-US"/>
              </w:rPr>
              <w:t>,</w:t>
            </w:r>
            <w:r w:rsidRPr="00160CDE">
              <w:rPr>
                <w:sz w:val="16"/>
                <w:szCs w:val="16"/>
                <w:lang w:val="en-US"/>
              </w:rPr>
              <w:t xml:space="preserve"> and 84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57D161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6.1 (114)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83EEC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−2.0 (111)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3629E8F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8.1 (0.1 to 16.1)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7969779D" w14:textId="77777777" w:rsidR="001F5EEB" w:rsidRPr="00160CDE" w:rsidRDefault="001F5EEB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0.048</w:t>
            </w:r>
          </w:p>
        </w:tc>
      </w:tr>
      <w:tr w:rsidR="00E74DF5" w:rsidRPr="00160CDE" w14:paraId="294EE934" w14:textId="77777777" w:rsidTr="004A55D7">
        <w:trPr>
          <w:cantSplit/>
          <w:trHeight w:val="240"/>
        </w:trPr>
        <w:tc>
          <w:tcPr>
            <w:tcW w:w="21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E83DEBD" w14:textId="6442AA08" w:rsidR="00E74DF5" w:rsidRPr="00160CDE" w:rsidRDefault="00E74DF5" w:rsidP="00E74DF5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5B51F1">
              <w:rPr>
                <w:sz w:val="16"/>
                <w:szCs w:val="16"/>
                <w:lang w:val="en-US"/>
              </w:rPr>
              <w:t>Change from baseline in F</w:t>
            </w:r>
            <w:r>
              <w:rPr>
                <w:sz w:val="16"/>
                <w:szCs w:val="16"/>
                <w:lang w:val="en-US"/>
              </w:rPr>
              <w:t>EF25</w:t>
            </w:r>
            <w:r w:rsidRPr="00C1025B">
              <w:rPr>
                <w:sz w:val="16"/>
                <w:szCs w:val="16"/>
                <w:lang w:val="en-US"/>
              </w:rPr>
              <w:t>–</w:t>
            </w:r>
            <w:r>
              <w:rPr>
                <w:sz w:val="16"/>
                <w:szCs w:val="16"/>
                <w:lang w:val="en-US"/>
              </w:rPr>
              <w:t xml:space="preserve">75%, </w:t>
            </w:r>
            <w:proofErr w:type="spellStart"/>
            <w:r>
              <w:rPr>
                <w:sz w:val="16"/>
                <w:szCs w:val="16"/>
                <w:lang w:val="en-US"/>
              </w:rPr>
              <w:t>mL</w:t>
            </w:r>
            <w:r w:rsidRPr="00DD150E">
              <w:rPr>
                <w:sz w:val="16"/>
                <w:szCs w:val="16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404E681" w14:textId="77777777" w:rsidR="00E74DF5" w:rsidRPr="00160CDE" w:rsidRDefault="00E74DF5" w:rsidP="00E74DF5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BC7CA" w14:textId="77777777" w:rsidR="00E74DF5" w:rsidRPr="00160CDE" w:rsidRDefault="00E74DF5" w:rsidP="00E74DF5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6DFC83EB" w14:textId="77777777" w:rsidR="00E74DF5" w:rsidRPr="00160CDE" w:rsidRDefault="00E74DF5" w:rsidP="00E74DF5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481" w:type="pct"/>
            <w:tcBorders>
              <w:top w:val="single" w:sz="4" w:space="0" w:color="auto"/>
            </w:tcBorders>
          </w:tcPr>
          <w:p w14:paraId="0B5DD206" w14:textId="77777777" w:rsidR="00E74DF5" w:rsidRPr="00160CDE" w:rsidRDefault="00E74DF5" w:rsidP="00E74DF5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4A55D7" w:rsidRPr="00160CDE" w14:paraId="1D50A2B5" w14:textId="77777777" w:rsidTr="00E74DF5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3F6D5338" w14:textId="6C81D2B7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Day 3 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601E6CD3" w14:textId="4B7DA034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88 </w:t>
            </w:r>
            <w:r w:rsidRPr="00160CDE">
              <w:rPr>
                <w:sz w:val="16"/>
                <w:szCs w:val="16"/>
                <w:lang w:val="en-US"/>
              </w:rPr>
              <w:t>(110)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0A41C08F" w14:textId="2D77D01F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  <w:r w:rsidRPr="00160CDE">
              <w:rPr>
                <w:sz w:val="16"/>
                <w:szCs w:val="16"/>
                <w:lang w:val="en-US"/>
              </w:rPr>
              <w:t xml:space="preserve"> (107)</w:t>
            </w:r>
          </w:p>
        </w:tc>
        <w:tc>
          <w:tcPr>
            <w:tcW w:w="1010" w:type="pct"/>
          </w:tcPr>
          <w:p w14:paraId="1784E2A0" w14:textId="6877F7F2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29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sz w:val="16"/>
                <w:szCs w:val="16"/>
                <w:lang w:val="en-US" w:eastAsia="ja-JP"/>
              </w:rPr>
              <w:t>55 to 113)</w:t>
            </w:r>
          </w:p>
        </w:tc>
        <w:tc>
          <w:tcPr>
            <w:tcW w:w="481" w:type="pct"/>
          </w:tcPr>
          <w:p w14:paraId="5FF6E233" w14:textId="356A6F66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</w:t>
            </w:r>
            <w:r w:rsidR="007C7ABE">
              <w:rPr>
                <w:sz w:val="16"/>
                <w:szCs w:val="16"/>
                <w:lang w:val="en-US" w:eastAsia="ja-JP"/>
              </w:rPr>
              <w:t>50</w:t>
            </w:r>
          </w:p>
        </w:tc>
      </w:tr>
      <w:tr w:rsidR="004A55D7" w:rsidRPr="00160CDE" w14:paraId="53F5A73C" w14:textId="77777777" w:rsidTr="004A55D7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1E49F32F" w14:textId="5D6FF214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7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16031AC2" w14:textId="2AA6CA13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109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10263F4C" w14:textId="5BA30874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50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(112)</w:t>
            </w:r>
          </w:p>
        </w:tc>
        <w:tc>
          <w:tcPr>
            <w:tcW w:w="1010" w:type="pct"/>
          </w:tcPr>
          <w:p w14:paraId="265710A4" w14:textId="188823E8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59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13 to 131)</w:t>
            </w:r>
          </w:p>
        </w:tc>
        <w:tc>
          <w:tcPr>
            <w:tcW w:w="481" w:type="pct"/>
            <w:vAlign w:val="center"/>
          </w:tcPr>
          <w:p w14:paraId="752628BC" w14:textId="4F4069AE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</w:t>
            </w:r>
            <w:r w:rsidR="007C7ABE" w:rsidRPr="00166073">
              <w:rPr>
                <w:sz w:val="16"/>
                <w:szCs w:val="16"/>
                <w:lang w:val="en-US" w:eastAsia="ja-JP"/>
              </w:rPr>
              <w:t>1</w:t>
            </w:r>
            <w:r w:rsidR="007C7ABE">
              <w:rPr>
                <w:sz w:val="16"/>
                <w:szCs w:val="16"/>
                <w:lang w:val="en-US" w:eastAsia="ja-JP"/>
              </w:rPr>
              <w:t>1</w:t>
            </w:r>
          </w:p>
        </w:tc>
      </w:tr>
      <w:tr w:rsidR="004A55D7" w:rsidRPr="00160CDE" w14:paraId="7E2CE83F" w14:textId="77777777" w:rsidTr="004A55D7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537CB385" w14:textId="39D645FC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14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71FFC5DD" w14:textId="6C47B20E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  <w:r w:rsidRPr="00160CDE">
              <w:rPr>
                <w:sz w:val="16"/>
                <w:szCs w:val="16"/>
                <w:lang w:val="en-US"/>
              </w:rPr>
              <w:t xml:space="preserve">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7C56933C" w14:textId="1586B74D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  <w:r w:rsidRPr="00160CDE">
              <w:rPr>
                <w:sz w:val="16"/>
                <w:szCs w:val="16"/>
                <w:lang w:val="en-US"/>
              </w:rPr>
              <w:t xml:space="preserve"> (113)</w:t>
            </w:r>
          </w:p>
        </w:tc>
        <w:tc>
          <w:tcPr>
            <w:tcW w:w="1010" w:type="pct"/>
          </w:tcPr>
          <w:p w14:paraId="205B70FD" w14:textId="6C32D452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30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78 to 137)</w:t>
            </w:r>
          </w:p>
        </w:tc>
        <w:tc>
          <w:tcPr>
            <w:tcW w:w="481" w:type="pct"/>
            <w:vAlign w:val="center"/>
          </w:tcPr>
          <w:p w14:paraId="6F0A6E0D" w14:textId="752318F1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</w:t>
            </w:r>
            <w:r w:rsidR="007C7ABE" w:rsidRPr="00166073">
              <w:rPr>
                <w:sz w:val="16"/>
                <w:szCs w:val="16"/>
                <w:lang w:val="en-US" w:eastAsia="ja-JP"/>
              </w:rPr>
              <w:t>5</w:t>
            </w:r>
            <w:r w:rsidR="007C7ABE">
              <w:rPr>
                <w:sz w:val="16"/>
                <w:szCs w:val="16"/>
                <w:lang w:val="en-US" w:eastAsia="ja-JP"/>
              </w:rPr>
              <w:t>9</w:t>
            </w:r>
          </w:p>
        </w:tc>
      </w:tr>
      <w:tr w:rsidR="004A55D7" w:rsidRPr="00160CDE" w14:paraId="620E4C0B" w14:textId="77777777" w:rsidTr="004A55D7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17C4AA50" w14:textId="75083556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6EC67A07" w14:textId="56F325A4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198</w:t>
            </w:r>
            <w:r w:rsidRPr="00160CDE">
              <w:rPr>
                <w:sz w:val="16"/>
                <w:szCs w:val="16"/>
                <w:lang w:val="en-US"/>
              </w:rPr>
              <w:t xml:space="preserve"> (118)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4F445CDF" w14:textId="48F7F917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  <w:r w:rsidRPr="00160CDE">
              <w:rPr>
                <w:sz w:val="16"/>
                <w:szCs w:val="16"/>
                <w:lang w:val="en-US"/>
              </w:rPr>
              <w:t xml:space="preserve"> (113)</w:t>
            </w:r>
          </w:p>
        </w:tc>
        <w:tc>
          <w:tcPr>
            <w:tcW w:w="1010" w:type="pct"/>
          </w:tcPr>
          <w:p w14:paraId="0CABBA72" w14:textId="6C1BD280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88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25 to 201)</w:t>
            </w:r>
          </w:p>
        </w:tc>
        <w:tc>
          <w:tcPr>
            <w:tcW w:w="481" w:type="pct"/>
            <w:vAlign w:val="center"/>
          </w:tcPr>
          <w:p w14:paraId="331C5C51" w14:textId="5E80C27F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</w:t>
            </w:r>
            <w:r w:rsidR="007C7ABE" w:rsidRPr="00166073">
              <w:rPr>
                <w:sz w:val="16"/>
                <w:szCs w:val="16"/>
                <w:lang w:val="en-US" w:eastAsia="ja-JP"/>
              </w:rPr>
              <w:t>1</w:t>
            </w:r>
            <w:r w:rsidR="007C7ABE">
              <w:rPr>
                <w:sz w:val="16"/>
                <w:szCs w:val="16"/>
                <w:lang w:val="en-US" w:eastAsia="ja-JP"/>
              </w:rPr>
              <w:t>3</w:t>
            </w:r>
          </w:p>
        </w:tc>
      </w:tr>
      <w:tr w:rsidR="004A55D7" w:rsidRPr="00160CDE" w14:paraId="27AFC960" w14:textId="77777777" w:rsidTr="004A55D7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51B209D9" w14:textId="02676EF7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3630B01C" w14:textId="5518B3F3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240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(116)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04E0F9B1" w14:textId="2FBC504A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177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(113)</w:t>
            </w:r>
          </w:p>
        </w:tc>
        <w:tc>
          <w:tcPr>
            <w:tcW w:w="1010" w:type="pct"/>
          </w:tcPr>
          <w:p w14:paraId="45D7B4C5" w14:textId="6660FDA6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63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60 to 186)</w:t>
            </w:r>
          </w:p>
        </w:tc>
        <w:tc>
          <w:tcPr>
            <w:tcW w:w="481" w:type="pct"/>
            <w:vAlign w:val="center"/>
          </w:tcPr>
          <w:p w14:paraId="7F3ECF9D" w14:textId="0CB2602D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</w:t>
            </w:r>
            <w:r w:rsidR="007C7ABE" w:rsidRPr="00166073">
              <w:rPr>
                <w:sz w:val="16"/>
                <w:szCs w:val="16"/>
                <w:lang w:val="en-US" w:eastAsia="ja-JP"/>
              </w:rPr>
              <w:t>3</w:t>
            </w:r>
            <w:r w:rsidR="007C7ABE">
              <w:rPr>
                <w:sz w:val="16"/>
                <w:szCs w:val="16"/>
                <w:lang w:val="en-US" w:eastAsia="ja-JP"/>
              </w:rPr>
              <w:t>2</w:t>
            </w:r>
          </w:p>
        </w:tc>
      </w:tr>
      <w:tr w:rsidR="004A55D7" w:rsidRPr="00160CDE" w14:paraId="0DA6813A" w14:textId="77777777" w:rsidTr="004A55D7">
        <w:trPr>
          <w:cantSplit/>
          <w:trHeight w:val="240"/>
        </w:trPr>
        <w:tc>
          <w:tcPr>
            <w:tcW w:w="2120" w:type="pct"/>
            <w:shd w:val="clear" w:color="auto" w:fill="auto"/>
            <w:noWrap/>
            <w:vAlign w:val="center"/>
          </w:tcPr>
          <w:p w14:paraId="4A3FD566" w14:textId="31EFB02F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lastRenderedPageBreak/>
              <w:t>Day 84</w:t>
            </w:r>
          </w:p>
        </w:tc>
        <w:tc>
          <w:tcPr>
            <w:tcW w:w="720" w:type="pct"/>
            <w:shd w:val="clear" w:color="auto" w:fill="auto"/>
            <w:noWrap/>
            <w:vAlign w:val="bottom"/>
          </w:tcPr>
          <w:p w14:paraId="0DEA7C1B" w14:textId="5346BD9C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223 </w:t>
            </w:r>
            <w:r w:rsidRPr="00160CDE">
              <w:rPr>
                <w:sz w:val="16"/>
                <w:szCs w:val="16"/>
                <w:lang w:val="en-US" w:eastAsia="ja-JP"/>
              </w:rPr>
              <w:t>(114)</w:t>
            </w:r>
          </w:p>
        </w:tc>
        <w:tc>
          <w:tcPr>
            <w:tcW w:w="669" w:type="pct"/>
            <w:shd w:val="clear" w:color="auto" w:fill="auto"/>
            <w:vAlign w:val="bottom"/>
          </w:tcPr>
          <w:p w14:paraId="77A7C74F" w14:textId="5BE4EEE6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165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(114)</w:t>
            </w:r>
          </w:p>
        </w:tc>
        <w:tc>
          <w:tcPr>
            <w:tcW w:w="1010" w:type="pct"/>
          </w:tcPr>
          <w:p w14:paraId="7A96280B" w14:textId="78ADD69A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58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67 to 182)</w:t>
            </w:r>
          </w:p>
        </w:tc>
        <w:tc>
          <w:tcPr>
            <w:tcW w:w="481" w:type="pct"/>
            <w:vAlign w:val="center"/>
          </w:tcPr>
          <w:p w14:paraId="6D8B220F" w14:textId="32205040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0.36</w:t>
            </w:r>
          </w:p>
        </w:tc>
      </w:tr>
      <w:tr w:rsidR="004A55D7" w:rsidRPr="00160CDE" w14:paraId="2BF43437" w14:textId="77777777" w:rsidTr="004A55D7">
        <w:trPr>
          <w:cantSplit/>
          <w:trHeight w:val="240"/>
        </w:trPr>
        <w:tc>
          <w:tcPr>
            <w:tcW w:w="21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10177E" w14:textId="74840555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Average over Days 28, 56</w:t>
            </w:r>
            <w:r w:rsidR="00204A00">
              <w:rPr>
                <w:sz w:val="16"/>
                <w:szCs w:val="16"/>
                <w:lang w:val="en-US"/>
              </w:rPr>
              <w:t>,</w:t>
            </w:r>
            <w:r w:rsidRPr="00160CDE">
              <w:rPr>
                <w:sz w:val="16"/>
                <w:szCs w:val="16"/>
                <w:lang w:val="en-US"/>
              </w:rPr>
              <w:t xml:space="preserve"> and 84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62012F" w14:textId="11ACA40F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220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(118)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43BB1" w14:textId="271E819B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151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(114)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D02EA6B" w14:textId="585EECF3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69 (</w:t>
            </w:r>
            <w:r w:rsidRPr="00160CDE">
              <w:rPr>
                <w:rFonts w:eastAsia="Times New Roman"/>
                <w:sz w:val="16"/>
                <w:szCs w:val="16"/>
                <w:lang w:val="en-US"/>
              </w:rPr>
              <w:t>−</w:t>
            </w:r>
            <w:r>
              <w:rPr>
                <w:rFonts w:eastAsia="Times New Roman"/>
                <w:sz w:val="16"/>
                <w:szCs w:val="16"/>
                <w:lang w:val="en-US"/>
              </w:rPr>
              <w:t>38 to 177)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14:paraId="43E7BAC0" w14:textId="1CB3800B" w:rsidR="004A55D7" w:rsidRPr="00160CDE" w:rsidRDefault="004A55D7" w:rsidP="004A55D7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6073">
              <w:rPr>
                <w:sz w:val="16"/>
                <w:szCs w:val="16"/>
                <w:lang w:val="en-US" w:eastAsia="ja-JP"/>
              </w:rPr>
              <w:t>0.20</w:t>
            </w:r>
          </w:p>
        </w:tc>
      </w:tr>
      <w:bookmarkEnd w:id="41"/>
    </w:tbl>
    <w:p w14:paraId="403D5B9E" w14:textId="77777777" w:rsidR="003A2577" w:rsidRPr="00160CDE" w:rsidRDefault="003A2577" w:rsidP="00BD1DAC">
      <w:pPr>
        <w:rPr>
          <w:sz w:val="20"/>
          <w:szCs w:val="20"/>
          <w:lang w:val="en-US"/>
        </w:rPr>
      </w:pPr>
    </w:p>
    <w:p w14:paraId="2FC8DD74" w14:textId="05AD436F" w:rsidR="004F4277" w:rsidRPr="00160CDE" w:rsidRDefault="00F01246" w:rsidP="00BD1DAC">
      <w:pPr>
        <w:rPr>
          <w:b/>
          <w:sz w:val="16"/>
          <w:szCs w:val="16"/>
          <w:vertAlign w:val="superscript"/>
          <w:lang w:val="en-US"/>
        </w:rPr>
      </w:pPr>
      <w:proofErr w:type="spellStart"/>
      <w:r w:rsidRPr="00E454AD">
        <w:rPr>
          <w:sz w:val="20"/>
          <w:szCs w:val="20"/>
          <w:vertAlign w:val="superscript"/>
          <w:lang w:val="en-US"/>
        </w:rPr>
        <w:t>a</w:t>
      </w:r>
      <w:r w:rsidR="003B643F" w:rsidRPr="00160CDE">
        <w:rPr>
          <w:sz w:val="20"/>
          <w:szCs w:val="20"/>
          <w:lang w:val="en-US"/>
        </w:rPr>
        <w:t>Baseline</w:t>
      </w:r>
      <w:proofErr w:type="spellEnd"/>
      <w:r w:rsidR="003B643F" w:rsidRPr="00160CDE">
        <w:rPr>
          <w:sz w:val="20"/>
          <w:szCs w:val="20"/>
          <w:lang w:val="en-US"/>
        </w:rPr>
        <w:t xml:space="preserve"> was defined as the last </w:t>
      </w:r>
      <w:proofErr w:type="spellStart"/>
      <w:r w:rsidR="003B643F" w:rsidRPr="00160CDE">
        <w:rPr>
          <w:sz w:val="20"/>
          <w:szCs w:val="20"/>
          <w:lang w:val="en-US"/>
        </w:rPr>
        <w:t>nonmissing</w:t>
      </w:r>
      <w:proofErr w:type="spellEnd"/>
      <w:r w:rsidR="003B643F" w:rsidRPr="00160CDE">
        <w:rPr>
          <w:sz w:val="20"/>
          <w:szCs w:val="20"/>
          <w:lang w:val="en-US"/>
        </w:rPr>
        <w:t xml:space="preserve"> value with acceptable quality (acceptable or borderline quality grade) prior to the first dose of study treatment. A patient with missing value </w:t>
      </w:r>
      <w:r w:rsidR="004F0B17" w:rsidRPr="00160CDE">
        <w:rPr>
          <w:sz w:val="20"/>
          <w:szCs w:val="20"/>
          <w:lang w:val="en-US"/>
        </w:rPr>
        <w:t xml:space="preserve">for </w:t>
      </w:r>
      <w:r w:rsidR="003B643F" w:rsidRPr="00160CDE">
        <w:rPr>
          <w:sz w:val="20"/>
          <w:szCs w:val="20"/>
          <w:lang w:val="en-US"/>
        </w:rPr>
        <w:t xml:space="preserve">change from baseline at a visit was excluded from the calculation of proportion of responders at that visit. </w:t>
      </w:r>
      <w:proofErr w:type="spellStart"/>
      <w:r w:rsidRPr="00E454AD">
        <w:rPr>
          <w:sz w:val="16"/>
          <w:szCs w:val="16"/>
          <w:vertAlign w:val="superscript"/>
          <w:lang w:val="en-US"/>
        </w:rPr>
        <w:t>b</w:t>
      </w:r>
      <w:r w:rsidR="003B643F" w:rsidRPr="00160CDE">
        <w:rPr>
          <w:sz w:val="20"/>
          <w:szCs w:val="20"/>
          <w:lang w:val="en-US"/>
        </w:rPr>
        <w:t>Estimate</w:t>
      </w:r>
      <w:proofErr w:type="spellEnd"/>
      <w:r w:rsidR="003B643F" w:rsidRPr="00160CDE">
        <w:rPr>
          <w:sz w:val="20"/>
          <w:szCs w:val="20"/>
          <w:lang w:val="en-US"/>
        </w:rPr>
        <w:t xml:space="preserve"> of the mean change from baseline at each day in the active treatment group was compared with the placebo group using a repeated measures analysis. Estimates were least squares means. The model was: Change from baseline in </w:t>
      </w:r>
      <w:proofErr w:type="spellStart"/>
      <w:r w:rsidR="003B643F" w:rsidRPr="00160CDE">
        <w:rPr>
          <w:sz w:val="20"/>
          <w:szCs w:val="20"/>
          <w:lang w:val="en-US"/>
        </w:rPr>
        <w:t>FeNO</w:t>
      </w:r>
      <w:proofErr w:type="spellEnd"/>
      <w:r w:rsidR="003B643F" w:rsidRPr="00160CDE">
        <w:rPr>
          <w:sz w:val="20"/>
          <w:szCs w:val="20"/>
          <w:lang w:val="en-US"/>
        </w:rPr>
        <w:t>=</w:t>
      </w:r>
      <w:proofErr w:type="spellStart"/>
      <w:r w:rsidR="003B643F" w:rsidRPr="00160CDE">
        <w:rPr>
          <w:sz w:val="20"/>
          <w:szCs w:val="20"/>
          <w:lang w:val="en-US"/>
        </w:rPr>
        <w:t>treatment+baseline</w:t>
      </w:r>
      <w:proofErr w:type="spellEnd"/>
      <w:r w:rsidR="003B643F" w:rsidRPr="00160CDE">
        <w:rPr>
          <w:sz w:val="20"/>
          <w:szCs w:val="20"/>
          <w:lang w:val="en-US"/>
        </w:rPr>
        <w:t xml:space="preserve"> </w:t>
      </w:r>
      <w:proofErr w:type="spellStart"/>
      <w:r w:rsidR="003B643F" w:rsidRPr="00160CDE">
        <w:rPr>
          <w:sz w:val="20"/>
          <w:szCs w:val="20"/>
          <w:lang w:val="en-US"/>
        </w:rPr>
        <w:t>FeNO+region+visit+treatment</w:t>
      </w:r>
      <w:r w:rsidR="00FD135E" w:rsidRPr="00160CDE">
        <w:rPr>
          <w:sz w:val="20"/>
          <w:szCs w:val="20"/>
          <w:lang w:val="en-US"/>
        </w:rPr>
        <w:t>×</w:t>
      </w:r>
      <w:r w:rsidR="003B643F" w:rsidRPr="00160CDE">
        <w:rPr>
          <w:sz w:val="20"/>
          <w:szCs w:val="20"/>
          <w:lang w:val="en-US"/>
        </w:rPr>
        <w:t>visit</w:t>
      </w:r>
      <w:proofErr w:type="spellEnd"/>
      <w:r w:rsidR="003B643F" w:rsidRPr="00160CDE">
        <w:rPr>
          <w:sz w:val="20"/>
          <w:szCs w:val="20"/>
          <w:lang w:val="en-US"/>
        </w:rPr>
        <w:t xml:space="preserve">. </w:t>
      </w:r>
      <w:proofErr w:type="spellStart"/>
      <w:r w:rsidR="004A55D7" w:rsidRPr="00DD150E">
        <w:rPr>
          <w:sz w:val="20"/>
          <w:szCs w:val="20"/>
          <w:vertAlign w:val="superscript"/>
          <w:lang w:val="en-US"/>
        </w:rPr>
        <w:t>c</w:t>
      </w:r>
      <w:r w:rsidR="004A55D7">
        <w:rPr>
          <w:sz w:val="20"/>
          <w:szCs w:val="20"/>
          <w:lang w:val="en-US"/>
        </w:rPr>
        <w:t>Performed</w:t>
      </w:r>
      <w:proofErr w:type="spellEnd"/>
      <w:r w:rsidR="004A55D7">
        <w:rPr>
          <w:sz w:val="20"/>
          <w:szCs w:val="20"/>
          <w:lang w:val="en-US"/>
        </w:rPr>
        <w:t xml:space="preserve"> as a </w:t>
      </w:r>
      <w:r w:rsidR="004A55D7" w:rsidRPr="00184DD5">
        <w:rPr>
          <w:i/>
          <w:sz w:val="20"/>
          <w:szCs w:val="20"/>
          <w:lang w:val="en-US"/>
        </w:rPr>
        <w:t>post-hoc</w:t>
      </w:r>
      <w:r w:rsidR="004A55D7">
        <w:rPr>
          <w:sz w:val="20"/>
          <w:szCs w:val="20"/>
          <w:lang w:val="en-US"/>
        </w:rPr>
        <w:t xml:space="preserve"> analysis. </w:t>
      </w:r>
      <w:r w:rsidR="00922B92" w:rsidRPr="00160CDE">
        <w:rPr>
          <w:sz w:val="20"/>
          <w:szCs w:val="20"/>
          <w:lang w:val="en-US"/>
        </w:rPr>
        <w:t>CI</w:t>
      </w:r>
      <w:r w:rsidR="002C16C0">
        <w:rPr>
          <w:sz w:val="20"/>
          <w:szCs w:val="20"/>
          <w:lang w:val="en-US"/>
        </w:rPr>
        <w:t xml:space="preserve">, </w:t>
      </w:r>
      <w:r w:rsidR="00922B92" w:rsidRPr="00160CDE">
        <w:rPr>
          <w:sz w:val="20"/>
          <w:szCs w:val="20"/>
          <w:lang w:val="en-US"/>
        </w:rPr>
        <w:t>confidence interval</w:t>
      </w:r>
      <w:r w:rsidR="002C16C0">
        <w:rPr>
          <w:sz w:val="20"/>
          <w:szCs w:val="20"/>
          <w:lang w:val="en-US"/>
        </w:rPr>
        <w:t>;</w:t>
      </w:r>
      <w:r w:rsidR="00922B92" w:rsidRPr="00160CDE">
        <w:rPr>
          <w:sz w:val="20"/>
          <w:szCs w:val="20"/>
          <w:lang w:val="en-US"/>
        </w:rPr>
        <w:t xml:space="preserve"> </w:t>
      </w:r>
      <w:r w:rsidR="00F66175" w:rsidRPr="00160CDE">
        <w:rPr>
          <w:sz w:val="20"/>
          <w:szCs w:val="20"/>
          <w:lang w:val="en-US"/>
        </w:rPr>
        <w:t>FVC</w:t>
      </w:r>
      <w:r w:rsidR="002C16C0">
        <w:rPr>
          <w:sz w:val="20"/>
          <w:szCs w:val="20"/>
          <w:lang w:val="en-US"/>
        </w:rPr>
        <w:t xml:space="preserve">, </w:t>
      </w:r>
      <w:r w:rsidR="00F66175" w:rsidRPr="00160CDE">
        <w:rPr>
          <w:sz w:val="20"/>
          <w:szCs w:val="20"/>
          <w:lang w:val="en-US"/>
        </w:rPr>
        <w:t>forced vital capacity</w:t>
      </w:r>
      <w:r w:rsidR="002C16C0">
        <w:rPr>
          <w:sz w:val="20"/>
          <w:szCs w:val="20"/>
          <w:lang w:val="en-US"/>
        </w:rPr>
        <w:t>;</w:t>
      </w:r>
      <w:r w:rsidR="00365CDA" w:rsidRPr="00160CDE">
        <w:rPr>
          <w:sz w:val="20"/>
          <w:szCs w:val="20"/>
          <w:lang w:val="en-US"/>
        </w:rPr>
        <w:t xml:space="preserve"> </w:t>
      </w:r>
      <w:r w:rsidR="004A55D7">
        <w:rPr>
          <w:sz w:val="20"/>
          <w:szCs w:val="20"/>
          <w:lang w:val="en-US"/>
        </w:rPr>
        <w:t>FEF25</w:t>
      </w:r>
      <w:r w:rsidR="004A55D7" w:rsidRPr="00C1025B">
        <w:rPr>
          <w:sz w:val="20"/>
          <w:szCs w:val="20"/>
          <w:lang w:val="en-US"/>
        </w:rPr>
        <w:t>–</w:t>
      </w:r>
      <w:r w:rsidR="004A55D7">
        <w:rPr>
          <w:sz w:val="20"/>
          <w:szCs w:val="20"/>
          <w:lang w:val="en-US"/>
        </w:rPr>
        <w:t>75,</w:t>
      </w:r>
      <w:r w:rsidR="004A55D7" w:rsidRPr="00C1025B">
        <w:t xml:space="preserve"> </w:t>
      </w:r>
      <w:bookmarkStart w:id="42" w:name="_Hlk29572755"/>
      <w:r w:rsidR="004A55D7" w:rsidRPr="00C1025B">
        <w:rPr>
          <w:sz w:val="20"/>
          <w:szCs w:val="20"/>
          <w:lang w:val="en-US"/>
        </w:rPr>
        <w:t>forced expiratory flow at 25–75% of forced vital capacity</w:t>
      </w:r>
      <w:bookmarkEnd w:id="42"/>
      <w:r w:rsidR="004A55D7">
        <w:rPr>
          <w:sz w:val="20"/>
          <w:szCs w:val="20"/>
          <w:lang w:val="en-US"/>
        </w:rPr>
        <w:t xml:space="preserve">; </w:t>
      </w:r>
      <w:proofErr w:type="spellStart"/>
      <w:r w:rsidR="00365CDA" w:rsidRPr="00160CDE">
        <w:rPr>
          <w:sz w:val="20"/>
          <w:szCs w:val="20"/>
          <w:lang w:val="en-US"/>
        </w:rPr>
        <w:t>FeNO</w:t>
      </w:r>
      <w:proofErr w:type="spellEnd"/>
      <w:r w:rsidR="002C16C0">
        <w:rPr>
          <w:sz w:val="20"/>
          <w:szCs w:val="20"/>
          <w:lang w:val="en-US"/>
        </w:rPr>
        <w:t xml:space="preserve">, </w:t>
      </w:r>
      <w:r w:rsidR="00365CDA" w:rsidRPr="00160CDE">
        <w:rPr>
          <w:sz w:val="20"/>
          <w:szCs w:val="20"/>
          <w:lang w:val="en-US"/>
        </w:rPr>
        <w:t>fractional exhaled nitric oxide</w:t>
      </w:r>
      <w:r w:rsidR="002C16C0">
        <w:rPr>
          <w:sz w:val="20"/>
          <w:szCs w:val="20"/>
          <w:lang w:val="en-US"/>
        </w:rPr>
        <w:t>;</w:t>
      </w:r>
      <w:r w:rsidR="00365CDA" w:rsidRPr="00160CDE">
        <w:rPr>
          <w:sz w:val="20"/>
          <w:szCs w:val="20"/>
          <w:lang w:val="en-US"/>
        </w:rPr>
        <w:t xml:space="preserve"> LS</w:t>
      </w:r>
      <w:r w:rsidR="002C16C0">
        <w:rPr>
          <w:sz w:val="20"/>
          <w:szCs w:val="20"/>
          <w:lang w:val="en-US"/>
        </w:rPr>
        <w:t xml:space="preserve">, </w:t>
      </w:r>
      <w:r w:rsidR="00365CDA" w:rsidRPr="00160CDE">
        <w:rPr>
          <w:sz w:val="20"/>
          <w:szCs w:val="20"/>
          <w:lang w:val="en-US"/>
        </w:rPr>
        <w:t>least squares.</w:t>
      </w:r>
    </w:p>
    <w:p w14:paraId="2C3C3825" w14:textId="1D42BE2F" w:rsidR="003560E3" w:rsidRPr="00160CDE" w:rsidRDefault="003560E3" w:rsidP="00BD1DAC">
      <w:pPr>
        <w:rPr>
          <w:sz w:val="20"/>
          <w:szCs w:val="20"/>
          <w:lang w:val="en-US"/>
        </w:rPr>
      </w:pPr>
    </w:p>
    <w:p w14:paraId="520EE0DD" w14:textId="77777777" w:rsidR="003567A0" w:rsidRPr="00160CDE" w:rsidRDefault="003567A0" w:rsidP="00BD1DAC">
      <w:pPr>
        <w:rPr>
          <w:lang w:val="en-US"/>
        </w:rPr>
        <w:sectPr w:rsidR="003567A0" w:rsidRPr="00160CDE" w:rsidSect="003567A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FB39ADF" w14:textId="6A908D48" w:rsidR="00D120C3" w:rsidRPr="00160CDE" w:rsidRDefault="00AA6D73" w:rsidP="00AA6D73">
      <w:pPr>
        <w:ind w:left="360" w:hanging="360"/>
        <w:rPr>
          <w:b/>
          <w:sz w:val="20"/>
          <w:szCs w:val="24"/>
          <w:lang w:val="en-US"/>
        </w:rPr>
      </w:pPr>
      <w:bookmarkStart w:id="43" w:name="_Toc535875904"/>
      <w:bookmarkStart w:id="44" w:name="_Toc535914011"/>
      <w:bookmarkStart w:id="45" w:name="_Toc535938382"/>
      <w:r w:rsidRPr="00160CDE">
        <w:rPr>
          <w:b/>
          <w:sz w:val="20"/>
          <w:szCs w:val="24"/>
          <w:lang w:val="en-US"/>
        </w:rPr>
        <w:lastRenderedPageBreak/>
        <w:t xml:space="preserve">2.6 </w:t>
      </w:r>
      <w:r w:rsidR="00CC071E" w:rsidRPr="00160CDE">
        <w:rPr>
          <w:b/>
          <w:sz w:val="20"/>
          <w:szCs w:val="24"/>
          <w:lang w:val="en-US"/>
        </w:rPr>
        <w:t>Table S2. ACQ-6 Comparisons of Percentage</w:t>
      </w:r>
      <w:r w:rsidR="002759C5" w:rsidRPr="00160CDE">
        <w:rPr>
          <w:b/>
          <w:sz w:val="20"/>
          <w:szCs w:val="24"/>
          <w:lang w:val="en-US"/>
        </w:rPr>
        <w:t>s</w:t>
      </w:r>
      <w:r w:rsidR="00CC071E" w:rsidRPr="00160CDE">
        <w:rPr>
          <w:b/>
          <w:sz w:val="20"/>
          <w:szCs w:val="24"/>
          <w:lang w:val="en-US"/>
        </w:rPr>
        <w:t xml:space="preserve"> of Patients </w:t>
      </w:r>
      <w:r w:rsidR="00194A5A">
        <w:rPr>
          <w:b/>
          <w:sz w:val="20"/>
          <w:szCs w:val="24"/>
          <w:lang w:val="en-US"/>
        </w:rPr>
        <w:t>w</w:t>
      </w:r>
      <w:r w:rsidR="00A05FBA" w:rsidRPr="00160CDE">
        <w:rPr>
          <w:b/>
          <w:sz w:val="20"/>
          <w:szCs w:val="24"/>
          <w:lang w:val="en-US"/>
        </w:rPr>
        <w:t xml:space="preserve">ith </w:t>
      </w:r>
      <w:r w:rsidR="00CC071E" w:rsidRPr="00160CDE">
        <w:rPr>
          <w:b/>
          <w:sz w:val="20"/>
          <w:szCs w:val="24"/>
          <w:lang w:val="en-US"/>
        </w:rPr>
        <w:t>Well</w:t>
      </w:r>
      <w:r w:rsidR="003B5F1F" w:rsidRPr="00160CDE">
        <w:rPr>
          <w:b/>
          <w:sz w:val="20"/>
          <w:szCs w:val="24"/>
          <w:lang w:val="en-US"/>
        </w:rPr>
        <w:t>-</w:t>
      </w:r>
      <w:r w:rsidR="00CC071E" w:rsidRPr="00160CDE">
        <w:rPr>
          <w:b/>
          <w:sz w:val="20"/>
          <w:szCs w:val="24"/>
          <w:lang w:val="en-US"/>
        </w:rPr>
        <w:t xml:space="preserve">Controlled </w:t>
      </w:r>
      <w:r w:rsidR="00AB0BBC" w:rsidRPr="00160CDE">
        <w:rPr>
          <w:b/>
          <w:sz w:val="20"/>
          <w:szCs w:val="24"/>
          <w:lang w:val="en-US"/>
        </w:rPr>
        <w:t xml:space="preserve">Asthma </w:t>
      </w:r>
      <w:r w:rsidR="00CC071E" w:rsidRPr="00160CDE">
        <w:rPr>
          <w:b/>
          <w:sz w:val="20"/>
          <w:szCs w:val="24"/>
          <w:lang w:val="en-US"/>
        </w:rPr>
        <w:t>or Well</w:t>
      </w:r>
      <w:r w:rsidR="00825889" w:rsidRPr="00160CDE">
        <w:rPr>
          <w:b/>
          <w:sz w:val="20"/>
          <w:szCs w:val="24"/>
          <w:lang w:val="en-US"/>
        </w:rPr>
        <w:t>-</w:t>
      </w:r>
      <w:r w:rsidR="00CC071E" w:rsidRPr="00160CDE">
        <w:rPr>
          <w:b/>
          <w:sz w:val="20"/>
          <w:szCs w:val="24"/>
          <w:lang w:val="en-US"/>
        </w:rPr>
        <w:t>Controlled/Partially Controlled</w:t>
      </w:r>
      <w:r w:rsidR="00A05FBA" w:rsidRPr="00160CDE">
        <w:rPr>
          <w:b/>
          <w:sz w:val="20"/>
          <w:szCs w:val="24"/>
          <w:lang w:val="en-US"/>
        </w:rPr>
        <w:t xml:space="preserve"> Asthma</w:t>
      </w:r>
      <w:r w:rsidR="00CC071E" w:rsidRPr="00160CDE">
        <w:rPr>
          <w:b/>
          <w:sz w:val="20"/>
          <w:szCs w:val="24"/>
          <w:lang w:val="en-US"/>
        </w:rPr>
        <w:t>, Logistic Regression (Full Analysis Set)</w:t>
      </w:r>
      <w:bookmarkEnd w:id="43"/>
      <w:bookmarkEnd w:id="44"/>
      <w:bookmarkEnd w:id="45"/>
    </w:p>
    <w:p w14:paraId="2625A12E" w14:textId="77777777" w:rsidR="00D4768F" w:rsidRPr="00160CDE" w:rsidRDefault="00D4768F" w:rsidP="00AA6D73">
      <w:pPr>
        <w:ind w:left="360" w:hanging="360"/>
        <w:rPr>
          <w:b/>
          <w:sz w:val="20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E39F4" w:rsidRPr="00160CDE" w14:paraId="06348C4C" w14:textId="77777777" w:rsidTr="005B1F46">
        <w:tc>
          <w:tcPr>
            <w:tcW w:w="18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15200B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B0B01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Well-controlled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20A5F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Well-controlled/partially controlled</w:t>
            </w:r>
          </w:p>
        </w:tc>
      </w:tr>
      <w:tr w:rsidR="005E39F4" w:rsidRPr="00160CDE" w14:paraId="4A53F389" w14:textId="77777777" w:rsidTr="005B1F46"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F6F26A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4BE9CD3" w14:textId="1B639E9B" w:rsidR="005E39F4" w:rsidRPr="00160CDE" w:rsidRDefault="005E39F4" w:rsidP="00AF49B0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Benralizumab 30 mg </w:t>
            </w:r>
            <w:r w:rsidR="00AF49B0" w:rsidRPr="00160CDE">
              <w:rPr>
                <w:b/>
                <w:sz w:val="16"/>
                <w:szCs w:val="20"/>
                <w:lang w:val="en-US"/>
              </w:rPr>
              <w:br/>
            </w:r>
            <w:r w:rsidRPr="00160CDE">
              <w:rPr>
                <w:b/>
                <w:sz w:val="16"/>
                <w:szCs w:val="20"/>
                <w:lang w:val="en-US"/>
              </w:rPr>
              <w:t>(n=118)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F930A74" w14:textId="3B3D57F3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Placebo (n=115)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704E464" w14:textId="029E4620" w:rsidR="005E39F4" w:rsidRPr="00160CDE" w:rsidRDefault="005E39F4" w:rsidP="00AF49B0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Benralizumab 30 mg </w:t>
            </w:r>
            <w:r w:rsidR="00AF49B0" w:rsidRPr="00160CDE">
              <w:rPr>
                <w:b/>
                <w:sz w:val="16"/>
                <w:szCs w:val="20"/>
                <w:lang w:val="en-US"/>
              </w:rPr>
              <w:br/>
            </w:r>
            <w:r w:rsidRPr="00160CDE">
              <w:rPr>
                <w:b/>
                <w:sz w:val="16"/>
                <w:szCs w:val="20"/>
                <w:lang w:val="en-US"/>
              </w:rPr>
              <w:t>(n=118)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1BA7CD5" w14:textId="2A2A9C4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Placebo (n=115)</w:t>
            </w:r>
          </w:p>
        </w:tc>
      </w:tr>
      <w:tr w:rsidR="005E39F4" w:rsidRPr="00160CDE" w14:paraId="0D37BD76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1B2A7CA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Patients at Day 14, </w:t>
            </w:r>
            <w:r w:rsidRPr="00160CDE">
              <w:rPr>
                <w:b/>
                <w:sz w:val="16"/>
                <w:szCs w:val="20"/>
                <w:lang w:val="en-US"/>
              </w:rPr>
              <w:br/>
              <w:t>n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DDB9BC5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18 (15)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CF38E90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8 (7)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6B0F46A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48 (41)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D9D7900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32 (28)</w:t>
            </w:r>
          </w:p>
        </w:tc>
      </w:tr>
      <w:tr w:rsidR="005E39F4" w:rsidRPr="00160CDE" w14:paraId="0D39C769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E6BFDC8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>OR benralizumab vs.</w:t>
            </w:r>
            <w:r w:rsidRPr="00160CDE">
              <w:rPr>
                <w:i/>
                <w:sz w:val="16"/>
                <w:szCs w:val="20"/>
                <w:lang w:val="en-US"/>
              </w:rPr>
              <w:t xml:space="preserve"> </w:t>
            </w:r>
            <w:r w:rsidRPr="00160CDE">
              <w:rPr>
                <w:sz w:val="16"/>
                <w:szCs w:val="20"/>
                <w:lang w:val="en-US"/>
              </w:rPr>
              <w:t>placebo (95% CI)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FF3B80C" w14:textId="620CD65E" w:rsidR="005E39F4" w:rsidRPr="00160CDE" w:rsidRDefault="005E39F4" w:rsidP="00AF49B0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2.57 (1.12–5.89) </w:t>
            </w:r>
            <w:r w:rsidR="00AF49B0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=0.025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3E88EC2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BB97F9E" w14:textId="183BFE66" w:rsidR="005E39F4" w:rsidRPr="00160CDE" w:rsidRDefault="005E39F4" w:rsidP="00AF49B0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1.98 (1.14–3.43) </w:t>
            </w:r>
            <w:r w:rsidR="00AF49B0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=0.015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661B3C1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</w:tr>
      <w:tr w:rsidR="005E39F4" w:rsidRPr="00160CDE" w14:paraId="470F10D9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CA3C7E1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Patients at Day 28, </w:t>
            </w:r>
            <w:r w:rsidRPr="00160CDE">
              <w:rPr>
                <w:b/>
                <w:sz w:val="16"/>
                <w:szCs w:val="20"/>
                <w:lang w:val="en-US"/>
              </w:rPr>
              <w:br/>
              <w:t>n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238008B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27 (23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979AD70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7 (6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BFF6C77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54 (46)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0F0F5B5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39 (34)</w:t>
            </w:r>
          </w:p>
        </w:tc>
      </w:tr>
      <w:tr w:rsidR="005E39F4" w:rsidRPr="00160CDE" w14:paraId="63EFEEF6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806247C" w14:textId="509B41B5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>OR benralizumab vs.</w:t>
            </w:r>
            <w:r w:rsidRPr="00160CDE">
              <w:rPr>
                <w:i/>
                <w:sz w:val="16"/>
                <w:szCs w:val="20"/>
                <w:lang w:val="en-US"/>
              </w:rPr>
              <w:t xml:space="preserve"> </w:t>
            </w:r>
            <w:r w:rsidRPr="00160CDE">
              <w:rPr>
                <w:sz w:val="16"/>
                <w:szCs w:val="20"/>
                <w:lang w:val="en-US"/>
              </w:rPr>
              <w:t>placebo (95% CI)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EB25FBF" w14:textId="72F6D669" w:rsidR="005E39F4" w:rsidRPr="00160CDE" w:rsidRDefault="005E39F4" w:rsidP="00AF49B0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5.12 (2.18–12.06) </w:t>
            </w:r>
            <w:r w:rsidR="00AF49B0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=0.0002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C0FECCA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9FBE962" w14:textId="5E67664F" w:rsidR="005E39F4" w:rsidRPr="00160CDE" w:rsidRDefault="005E39F4" w:rsidP="00AF49B0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1.81 (1.03–3.19) </w:t>
            </w:r>
            <w:r w:rsidR="00AF49B0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=0.04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03532F1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</w:tr>
      <w:tr w:rsidR="005E39F4" w:rsidRPr="00160CDE" w14:paraId="00D422CF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6AF420A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Patients at Day 56, </w:t>
            </w:r>
            <w:r w:rsidRPr="00160CDE">
              <w:rPr>
                <w:b/>
                <w:sz w:val="16"/>
                <w:szCs w:val="20"/>
                <w:lang w:val="en-US"/>
              </w:rPr>
              <w:br/>
              <w:t>n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C8537FA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32 (27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DC12A17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15 (13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6789E02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64 (54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C526AB2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46 (40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</w:tr>
      <w:tr w:rsidR="005E39F4" w:rsidRPr="00160CDE" w14:paraId="095477C5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548014A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>OR benralizumab vs. placebo (95% CI)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6666687" w14:textId="35BD10AA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2.74 (1.34–5.59)  </w:t>
            </w:r>
            <w:r w:rsidR="003A2577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=0.0055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1780489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452DE27" w14:textId="5A620744" w:rsidR="005E39F4" w:rsidRPr="00160CDE" w:rsidRDefault="005E39F4" w:rsidP="003A2577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1.98 (1.12–3.50) </w:t>
            </w:r>
            <w:r w:rsidR="003A2577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=0.019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A2144AE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</w:tr>
      <w:tr w:rsidR="005E39F4" w:rsidRPr="00160CDE" w14:paraId="7608BD68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088368A8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 xml:space="preserve">Patients at Day 84, </w:t>
            </w:r>
            <w:r w:rsidRPr="00160CDE">
              <w:rPr>
                <w:b/>
                <w:sz w:val="16"/>
                <w:szCs w:val="20"/>
                <w:lang w:val="en-US"/>
              </w:rPr>
              <w:br/>
              <w:t>n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3452AF54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45 (38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31CE921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23 (20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72878FE" w14:textId="77777777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71 (60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6B69898" w14:textId="276AD243" w:rsidR="005E39F4" w:rsidRPr="00160CDE" w:rsidRDefault="005E39F4" w:rsidP="005B1F46">
            <w:pPr>
              <w:spacing w:after="160"/>
              <w:rPr>
                <w:b/>
                <w:sz w:val="16"/>
                <w:szCs w:val="20"/>
                <w:lang w:val="en-US"/>
              </w:rPr>
            </w:pPr>
            <w:r w:rsidRPr="00160CDE">
              <w:rPr>
                <w:b/>
                <w:sz w:val="16"/>
                <w:szCs w:val="20"/>
                <w:lang w:val="en-US"/>
              </w:rPr>
              <w:t>50 (</w:t>
            </w:r>
            <w:r w:rsidR="00B40324" w:rsidRPr="00160CDE">
              <w:rPr>
                <w:b/>
                <w:sz w:val="16"/>
                <w:szCs w:val="20"/>
                <w:lang w:val="en-US"/>
              </w:rPr>
              <w:t>4</w:t>
            </w:r>
            <w:r w:rsidR="00B40324">
              <w:rPr>
                <w:b/>
                <w:sz w:val="16"/>
                <w:szCs w:val="20"/>
                <w:lang w:val="en-US"/>
              </w:rPr>
              <w:t>3</w:t>
            </w:r>
            <w:r w:rsidRPr="00160CDE">
              <w:rPr>
                <w:rFonts w:eastAsia="Times New Roman"/>
                <w:b/>
                <w:bCs/>
                <w:kern w:val="32"/>
                <w:sz w:val="16"/>
                <w:szCs w:val="20"/>
                <w:lang w:val="en-US"/>
              </w:rPr>
              <w:t>)</w:t>
            </w:r>
          </w:p>
        </w:tc>
      </w:tr>
      <w:tr w:rsidR="005E39F4" w:rsidRPr="00160CDE" w14:paraId="398F493C" w14:textId="77777777" w:rsidTr="005B1F46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485735D8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>OR benralizumab vs. placebo (95% CI)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54B96B12" w14:textId="758A14D5" w:rsidR="005E39F4" w:rsidRPr="00160CDE" w:rsidRDefault="005E39F4" w:rsidP="003A2577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2.78 (1.46–5.30)   </w:t>
            </w:r>
            <w:r w:rsidR="003A2577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=0.0019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684D75F1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7EB287AC" w14:textId="47FDA17C" w:rsidR="005E39F4" w:rsidRPr="00160CDE" w:rsidRDefault="005E39F4" w:rsidP="003A2577">
            <w:pPr>
              <w:spacing w:after="160"/>
              <w:rPr>
                <w:sz w:val="16"/>
                <w:szCs w:val="20"/>
                <w:lang w:val="en-US"/>
              </w:rPr>
            </w:pPr>
            <w:r w:rsidRPr="00160CDE">
              <w:rPr>
                <w:sz w:val="16"/>
                <w:szCs w:val="20"/>
                <w:lang w:val="en-US"/>
              </w:rPr>
              <w:t xml:space="preserve">2.21 (1.24–3.94) </w:t>
            </w:r>
            <w:r w:rsidR="003A2577" w:rsidRPr="00160CDE">
              <w:rPr>
                <w:sz w:val="16"/>
                <w:szCs w:val="20"/>
                <w:lang w:val="en-US"/>
              </w:rPr>
              <w:br/>
            </w:r>
            <w:r w:rsidR="008700D4" w:rsidRPr="00E454AD">
              <w:rPr>
                <w:sz w:val="16"/>
                <w:szCs w:val="20"/>
                <w:lang w:val="en-US"/>
              </w:rPr>
              <w:t>p</w:t>
            </w:r>
            <w:r w:rsidRPr="00160CDE">
              <w:rPr>
                <w:sz w:val="16"/>
                <w:szCs w:val="20"/>
                <w:lang w:val="en-US"/>
              </w:rPr>
              <w:t>=0.0071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220BCB9F" w14:textId="77777777" w:rsidR="005E39F4" w:rsidRPr="00160CDE" w:rsidRDefault="005E39F4" w:rsidP="005B1F46">
            <w:pPr>
              <w:spacing w:after="160"/>
              <w:rPr>
                <w:sz w:val="16"/>
                <w:szCs w:val="20"/>
                <w:lang w:val="en-US"/>
              </w:rPr>
            </w:pPr>
          </w:p>
        </w:tc>
      </w:tr>
    </w:tbl>
    <w:p w14:paraId="687F6B18" w14:textId="77777777" w:rsidR="00D4768F" w:rsidRPr="00160CDE" w:rsidRDefault="00D4768F" w:rsidP="00722C48">
      <w:pPr>
        <w:spacing w:before="60"/>
        <w:rPr>
          <w:sz w:val="20"/>
          <w:lang w:val="en-US"/>
        </w:rPr>
      </w:pPr>
    </w:p>
    <w:p w14:paraId="5A529C49" w14:textId="755440EC" w:rsidR="00DD17E9" w:rsidRPr="00160CDE" w:rsidRDefault="00D120C3" w:rsidP="00722C48">
      <w:pPr>
        <w:spacing w:before="60"/>
        <w:rPr>
          <w:sz w:val="20"/>
          <w:lang w:val="en-US"/>
        </w:rPr>
      </w:pPr>
      <w:r w:rsidRPr="00160CDE">
        <w:rPr>
          <w:sz w:val="20"/>
          <w:lang w:val="en-US"/>
        </w:rPr>
        <w:t xml:space="preserve">Estimate of the log odds of </w:t>
      </w:r>
      <w:r w:rsidR="00623B77" w:rsidRPr="00160CDE">
        <w:rPr>
          <w:sz w:val="20"/>
          <w:lang w:val="en-US"/>
        </w:rPr>
        <w:t xml:space="preserve">asthma </w:t>
      </w:r>
      <w:r w:rsidRPr="00160CDE">
        <w:rPr>
          <w:sz w:val="20"/>
          <w:lang w:val="en-US"/>
        </w:rPr>
        <w:t>being well</w:t>
      </w:r>
      <w:r w:rsidR="00E72DCA">
        <w:rPr>
          <w:sz w:val="20"/>
          <w:lang w:val="en-US"/>
        </w:rPr>
        <w:t>-</w:t>
      </w:r>
      <w:r w:rsidRPr="00160CDE">
        <w:rPr>
          <w:sz w:val="20"/>
          <w:lang w:val="en-US"/>
        </w:rPr>
        <w:t>controlled (or partially controlled, as applicable) in the treatment group was compared</w:t>
      </w:r>
      <w:r w:rsidR="00623B77" w:rsidRPr="00160CDE">
        <w:rPr>
          <w:sz w:val="20"/>
          <w:lang w:val="en-US"/>
        </w:rPr>
        <w:t xml:space="preserve"> with</w:t>
      </w:r>
      <w:r w:rsidRPr="00160CDE">
        <w:rPr>
          <w:sz w:val="20"/>
          <w:lang w:val="en-US"/>
        </w:rPr>
        <w:t xml:space="preserve"> the </w:t>
      </w:r>
      <w:r w:rsidR="00DD17E9" w:rsidRPr="00160CDE">
        <w:rPr>
          <w:sz w:val="20"/>
          <w:lang w:val="en-US"/>
        </w:rPr>
        <w:t>p</w:t>
      </w:r>
      <w:r w:rsidRPr="00160CDE">
        <w:rPr>
          <w:sz w:val="20"/>
          <w:lang w:val="en-US"/>
        </w:rPr>
        <w:t xml:space="preserve">lacebo group </w:t>
      </w:r>
      <w:r w:rsidR="00623B77" w:rsidRPr="00160CDE">
        <w:rPr>
          <w:sz w:val="20"/>
          <w:lang w:val="en-US"/>
        </w:rPr>
        <w:t xml:space="preserve">via </w:t>
      </w:r>
      <w:r w:rsidRPr="00160CDE">
        <w:rPr>
          <w:sz w:val="20"/>
          <w:lang w:val="en-US"/>
        </w:rPr>
        <w:t>a logistic regression with repeated measures. The model was</w:t>
      </w:r>
      <w:r w:rsidR="00623B77" w:rsidRPr="00160CDE">
        <w:rPr>
          <w:sz w:val="20"/>
          <w:lang w:val="en-US"/>
        </w:rPr>
        <w:t>:</w:t>
      </w:r>
      <w:r w:rsidRPr="00160CDE">
        <w:rPr>
          <w:sz w:val="20"/>
          <w:lang w:val="en-US"/>
        </w:rPr>
        <w:t xml:space="preserve"> ln(p/1-p)=</w:t>
      </w:r>
      <w:r w:rsidR="00CC071E" w:rsidRPr="00160CDE">
        <w:rPr>
          <w:sz w:val="20"/>
          <w:lang w:val="en-US"/>
        </w:rPr>
        <w:t>t</w:t>
      </w:r>
      <w:r w:rsidRPr="00160CDE">
        <w:rPr>
          <w:sz w:val="20"/>
          <w:lang w:val="en-US"/>
        </w:rPr>
        <w:t>reatment+region+baseline ACQ-6 score+visit+treatment</w:t>
      </w:r>
      <w:r w:rsidR="00623B77" w:rsidRPr="00160CDE">
        <w:rPr>
          <w:sz w:val="20"/>
          <w:lang w:val="en-US"/>
        </w:rPr>
        <w:t>×</w:t>
      </w:r>
      <w:r w:rsidRPr="00160CDE">
        <w:rPr>
          <w:sz w:val="20"/>
          <w:lang w:val="en-US"/>
        </w:rPr>
        <w:t>visit, where p</w:t>
      </w:r>
      <w:r w:rsidR="007361AA" w:rsidRPr="00160CDE">
        <w:rPr>
          <w:sz w:val="20"/>
          <w:lang w:val="en-US"/>
        </w:rPr>
        <w:t xml:space="preserve"> </w:t>
      </w:r>
      <w:r w:rsidR="00623B77" w:rsidRPr="00160CDE">
        <w:rPr>
          <w:sz w:val="20"/>
          <w:lang w:val="en-US"/>
        </w:rPr>
        <w:t>is</w:t>
      </w:r>
      <w:r w:rsidR="007361AA" w:rsidRPr="00160CDE">
        <w:rPr>
          <w:sz w:val="20"/>
          <w:lang w:val="en-US"/>
        </w:rPr>
        <w:t xml:space="preserve"> </w:t>
      </w:r>
      <w:r w:rsidRPr="00160CDE">
        <w:rPr>
          <w:sz w:val="20"/>
          <w:lang w:val="en-US"/>
        </w:rPr>
        <w:t>the percentage of patients who were well</w:t>
      </w:r>
      <w:r w:rsidR="00E72DCA">
        <w:rPr>
          <w:sz w:val="20"/>
          <w:lang w:val="en-US"/>
        </w:rPr>
        <w:t>-</w:t>
      </w:r>
      <w:r w:rsidRPr="00160CDE">
        <w:rPr>
          <w:sz w:val="20"/>
          <w:lang w:val="en-US"/>
        </w:rPr>
        <w:t>controlled (defined as ACQ-6 score ≤0.75) or partially controlled (defined as ACQ-6 score ≤1.5), as applicable. ACQ-6 score was defined as the average of the first</w:t>
      </w:r>
      <w:r w:rsidR="00CC743B" w:rsidRPr="00160CDE">
        <w:rPr>
          <w:sz w:val="20"/>
          <w:lang w:val="en-US"/>
        </w:rPr>
        <w:t xml:space="preserve"> six </w:t>
      </w:r>
      <w:r w:rsidRPr="00160CDE">
        <w:rPr>
          <w:sz w:val="20"/>
          <w:lang w:val="en-US"/>
        </w:rPr>
        <w:t>items of the ACQ</w:t>
      </w:r>
      <w:r w:rsidR="00CC743B" w:rsidRPr="00160CDE">
        <w:rPr>
          <w:sz w:val="20"/>
          <w:lang w:val="en-US"/>
        </w:rPr>
        <w:t>-6</w:t>
      </w:r>
      <w:r w:rsidRPr="00160CDE">
        <w:rPr>
          <w:sz w:val="20"/>
          <w:lang w:val="en-US"/>
        </w:rPr>
        <w:t xml:space="preserve"> questionnaire on symptoms, activity limitations, and rescue medication. Scores range from 0 (totally controlled) to 6 (severely uncontrolled). Baseline was defined as the last </w:t>
      </w:r>
      <w:proofErr w:type="spellStart"/>
      <w:r w:rsidRPr="00160CDE">
        <w:rPr>
          <w:sz w:val="20"/>
          <w:lang w:val="en-US"/>
        </w:rPr>
        <w:t>nonmissing</w:t>
      </w:r>
      <w:proofErr w:type="spellEnd"/>
      <w:r w:rsidRPr="00160CDE">
        <w:rPr>
          <w:sz w:val="20"/>
          <w:lang w:val="en-US"/>
        </w:rPr>
        <w:t xml:space="preserve"> value prior to randomi</w:t>
      </w:r>
      <w:r w:rsidR="0075301B" w:rsidRPr="00160CDE">
        <w:rPr>
          <w:sz w:val="20"/>
          <w:lang w:val="en-US"/>
        </w:rPr>
        <w:t>z</w:t>
      </w:r>
      <w:r w:rsidRPr="00160CDE">
        <w:rPr>
          <w:sz w:val="20"/>
          <w:lang w:val="en-US"/>
        </w:rPr>
        <w:t xml:space="preserve">ation. Patients with missing or </w:t>
      </w:r>
      <w:proofErr w:type="spellStart"/>
      <w:r w:rsidRPr="00160CDE">
        <w:rPr>
          <w:sz w:val="20"/>
          <w:lang w:val="en-US"/>
        </w:rPr>
        <w:t>nonevaluable</w:t>
      </w:r>
      <w:proofErr w:type="spellEnd"/>
      <w:r w:rsidRPr="00160CDE">
        <w:rPr>
          <w:sz w:val="20"/>
          <w:lang w:val="en-US"/>
        </w:rPr>
        <w:t xml:space="preserve"> ACQ-6 score</w:t>
      </w:r>
      <w:r w:rsidR="00CC743B" w:rsidRPr="00160CDE">
        <w:rPr>
          <w:sz w:val="20"/>
          <w:lang w:val="en-US"/>
        </w:rPr>
        <w:t>s</w:t>
      </w:r>
      <w:r w:rsidRPr="00160CDE">
        <w:rPr>
          <w:sz w:val="20"/>
          <w:lang w:val="en-US"/>
        </w:rPr>
        <w:t xml:space="preserve"> at </w:t>
      </w:r>
      <w:r w:rsidR="00CC743B" w:rsidRPr="00160CDE">
        <w:rPr>
          <w:sz w:val="20"/>
          <w:lang w:val="en-US"/>
        </w:rPr>
        <w:t>the</w:t>
      </w:r>
      <w:r w:rsidR="002B66F0" w:rsidRPr="00160CDE">
        <w:rPr>
          <w:sz w:val="20"/>
          <w:lang w:val="en-US"/>
        </w:rPr>
        <w:t xml:space="preserve"> </w:t>
      </w:r>
      <w:r w:rsidRPr="00160CDE">
        <w:rPr>
          <w:sz w:val="20"/>
          <w:lang w:val="en-US"/>
        </w:rPr>
        <w:t xml:space="preserve">post-baseline visit were considered </w:t>
      </w:r>
      <w:r w:rsidR="00CC743B" w:rsidRPr="00160CDE">
        <w:rPr>
          <w:sz w:val="20"/>
          <w:lang w:val="en-US"/>
        </w:rPr>
        <w:t xml:space="preserve">as having </w:t>
      </w:r>
      <w:r w:rsidRPr="00160CDE">
        <w:rPr>
          <w:sz w:val="20"/>
          <w:lang w:val="en-US"/>
        </w:rPr>
        <w:t>not well</w:t>
      </w:r>
      <w:r w:rsidR="0020443E" w:rsidRPr="00160CDE">
        <w:rPr>
          <w:sz w:val="20"/>
          <w:lang w:val="en-US"/>
        </w:rPr>
        <w:t>-</w:t>
      </w:r>
      <w:r w:rsidRPr="00160CDE">
        <w:rPr>
          <w:sz w:val="20"/>
          <w:lang w:val="en-US"/>
        </w:rPr>
        <w:t>controlled or partially controlled</w:t>
      </w:r>
      <w:r w:rsidR="00CC743B" w:rsidRPr="00160CDE">
        <w:rPr>
          <w:sz w:val="20"/>
          <w:lang w:val="en-US"/>
        </w:rPr>
        <w:t xml:space="preserve"> asthma</w:t>
      </w:r>
      <w:r w:rsidRPr="00160CDE">
        <w:rPr>
          <w:sz w:val="20"/>
          <w:lang w:val="en-US"/>
        </w:rPr>
        <w:t>, as applicable.</w:t>
      </w:r>
      <w:r w:rsidR="00DC687D" w:rsidRPr="00160CDE">
        <w:rPr>
          <w:sz w:val="20"/>
          <w:lang w:val="en-US"/>
        </w:rPr>
        <w:t xml:space="preserve"> </w:t>
      </w:r>
      <w:r w:rsidR="00DD17E9" w:rsidRPr="00160CDE">
        <w:rPr>
          <w:sz w:val="20"/>
          <w:lang w:val="en-US"/>
        </w:rPr>
        <w:t>ACQ-6</w:t>
      </w:r>
      <w:r w:rsidR="00054D83">
        <w:rPr>
          <w:sz w:val="20"/>
          <w:lang w:val="en-US"/>
        </w:rPr>
        <w:t xml:space="preserve">, </w:t>
      </w:r>
      <w:r w:rsidR="00DD17E9" w:rsidRPr="00160CDE">
        <w:rPr>
          <w:sz w:val="20"/>
          <w:lang w:val="en-US"/>
        </w:rPr>
        <w:t>Asthma Control Questionnaire 6</w:t>
      </w:r>
      <w:r w:rsidR="00054D83">
        <w:rPr>
          <w:sz w:val="20"/>
          <w:lang w:val="en-US"/>
        </w:rPr>
        <w:t>;</w:t>
      </w:r>
      <w:r w:rsidR="00DD17E9" w:rsidRPr="00160CDE">
        <w:rPr>
          <w:sz w:val="20"/>
          <w:lang w:val="en-US"/>
        </w:rPr>
        <w:t xml:space="preserve"> CI</w:t>
      </w:r>
      <w:r w:rsidR="00054D83">
        <w:rPr>
          <w:sz w:val="20"/>
          <w:lang w:val="en-US"/>
        </w:rPr>
        <w:t xml:space="preserve">, </w:t>
      </w:r>
      <w:r w:rsidR="00DD17E9" w:rsidRPr="00160CDE">
        <w:rPr>
          <w:sz w:val="20"/>
          <w:lang w:val="en-US"/>
        </w:rPr>
        <w:t>confidence interval</w:t>
      </w:r>
      <w:r w:rsidR="00054D83">
        <w:rPr>
          <w:sz w:val="20"/>
          <w:lang w:val="en-US"/>
        </w:rPr>
        <w:t>;</w:t>
      </w:r>
      <w:r w:rsidR="00DD17E9" w:rsidRPr="00160CDE">
        <w:rPr>
          <w:sz w:val="20"/>
          <w:lang w:val="en-US"/>
        </w:rPr>
        <w:t xml:space="preserve"> OR</w:t>
      </w:r>
      <w:r w:rsidR="00054D83">
        <w:rPr>
          <w:sz w:val="20"/>
          <w:lang w:val="en-US"/>
        </w:rPr>
        <w:t xml:space="preserve">, </w:t>
      </w:r>
      <w:r w:rsidR="00DD17E9" w:rsidRPr="00160CDE">
        <w:rPr>
          <w:sz w:val="20"/>
          <w:lang w:val="en-US"/>
        </w:rPr>
        <w:t>odds ratio.</w:t>
      </w:r>
    </w:p>
    <w:p w14:paraId="3EAE7EB8" w14:textId="14807D22" w:rsidR="00D120C3" w:rsidRPr="00160CDE" w:rsidRDefault="00D120C3" w:rsidP="00BD1DAC">
      <w:pPr>
        <w:rPr>
          <w:lang w:val="en-US"/>
        </w:rPr>
        <w:sectPr w:rsidR="00D120C3" w:rsidRPr="00160CDE" w:rsidSect="003567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9DB1F9" w14:textId="34EED0D5" w:rsidR="001D5E24" w:rsidRPr="00160CDE" w:rsidRDefault="00AA6D73" w:rsidP="00AA6D73">
      <w:pPr>
        <w:ind w:left="360" w:hanging="360"/>
        <w:rPr>
          <w:b/>
          <w:sz w:val="20"/>
          <w:szCs w:val="24"/>
          <w:lang w:val="en-US"/>
        </w:rPr>
      </w:pPr>
      <w:bookmarkStart w:id="46" w:name="_Toc535875905"/>
      <w:bookmarkStart w:id="47" w:name="_Toc535914012"/>
      <w:bookmarkStart w:id="48" w:name="_Toc535938383"/>
      <w:r w:rsidRPr="00160CDE">
        <w:rPr>
          <w:b/>
          <w:sz w:val="20"/>
          <w:szCs w:val="24"/>
          <w:lang w:val="en-US"/>
        </w:rPr>
        <w:lastRenderedPageBreak/>
        <w:t>2.7</w:t>
      </w:r>
      <w:r w:rsidRPr="00160CDE">
        <w:rPr>
          <w:b/>
          <w:sz w:val="20"/>
          <w:szCs w:val="24"/>
          <w:lang w:val="en-US"/>
        </w:rPr>
        <w:tab/>
      </w:r>
      <w:r w:rsidR="00520F95" w:rsidRPr="00160CDE">
        <w:rPr>
          <w:b/>
          <w:sz w:val="20"/>
          <w:szCs w:val="24"/>
          <w:lang w:val="en-US"/>
        </w:rPr>
        <w:t>Table S</w:t>
      </w:r>
      <w:r w:rsidR="003B5A32" w:rsidRPr="00160CDE">
        <w:rPr>
          <w:b/>
          <w:sz w:val="20"/>
          <w:szCs w:val="24"/>
          <w:lang w:val="en-US"/>
        </w:rPr>
        <w:t>3</w:t>
      </w:r>
      <w:r w:rsidR="00520F95" w:rsidRPr="00160CDE">
        <w:rPr>
          <w:b/>
          <w:sz w:val="20"/>
          <w:szCs w:val="24"/>
          <w:lang w:val="en-US"/>
        </w:rPr>
        <w:t>.</w:t>
      </w:r>
      <w:r w:rsidR="00A96E1C" w:rsidRPr="00160CDE">
        <w:rPr>
          <w:b/>
          <w:sz w:val="20"/>
          <w:szCs w:val="24"/>
          <w:lang w:val="en-US"/>
        </w:rPr>
        <w:t xml:space="preserve"> MMRM </w:t>
      </w:r>
      <w:r w:rsidR="00732A02" w:rsidRPr="00160CDE">
        <w:rPr>
          <w:b/>
          <w:sz w:val="20"/>
          <w:szCs w:val="24"/>
          <w:lang w:val="en-US"/>
        </w:rPr>
        <w:t>C</w:t>
      </w:r>
      <w:r w:rsidR="005B4541" w:rsidRPr="00160CDE">
        <w:rPr>
          <w:b/>
          <w:sz w:val="20"/>
          <w:szCs w:val="24"/>
          <w:lang w:val="en-US"/>
        </w:rPr>
        <w:t xml:space="preserve">hange </w:t>
      </w:r>
      <w:r w:rsidR="00393D7C" w:rsidRPr="00160CDE">
        <w:rPr>
          <w:b/>
          <w:sz w:val="20"/>
          <w:szCs w:val="24"/>
          <w:lang w:val="en-US"/>
        </w:rPr>
        <w:t>f</w:t>
      </w:r>
      <w:r w:rsidR="005B4541" w:rsidRPr="00160CDE">
        <w:rPr>
          <w:b/>
          <w:sz w:val="20"/>
          <w:szCs w:val="24"/>
          <w:lang w:val="en-US"/>
        </w:rPr>
        <w:t xml:space="preserve">rom </w:t>
      </w:r>
      <w:r w:rsidR="00732A02" w:rsidRPr="00160CDE">
        <w:rPr>
          <w:b/>
          <w:sz w:val="20"/>
          <w:szCs w:val="24"/>
          <w:lang w:val="en-US"/>
        </w:rPr>
        <w:t>B</w:t>
      </w:r>
      <w:r w:rsidR="005B4541" w:rsidRPr="00160CDE">
        <w:rPr>
          <w:b/>
          <w:sz w:val="20"/>
          <w:szCs w:val="24"/>
          <w:lang w:val="en-US"/>
        </w:rPr>
        <w:t xml:space="preserve">aseline in </w:t>
      </w:r>
      <w:r w:rsidR="00732A02" w:rsidRPr="00160CDE">
        <w:rPr>
          <w:b/>
          <w:sz w:val="20"/>
          <w:szCs w:val="24"/>
          <w:lang w:val="en-US"/>
        </w:rPr>
        <w:t>B</w:t>
      </w:r>
      <w:r w:rsidR="005B4541" w:rsidRPr="00160CDE">
        <w:rPr>
          <w:b/>
          <w:sz w:val="20"/>
          <w:szCs w:val="24"/>
          <w:lang w:val="en-US"/>
        </w:rPr>
        <w:t xml:space="preserve">lood </w:t>
      </w:r>
      <w:r w:rsidR="00732A02" w:rsidRPr="00160CDE">
        <w:rPr>
          <w:b/>
          <w:sz w:val="20"/>
          <w:szCs w:val="24"/>
          <w:lang w:val="en-US"/>
        </w:rPr>
        <w:t>E</w:t>
      </w:r>
      <w:r w:rsidR="005B4541" w:rsidRPr="00160CDE">
        <w:rPr>
          <w:b/>
          <w:sz w:val="20"/>
          <w:szCs w:val="24"/>
          <w:lang w:val="en-US"/>
        </w:rPr>
        <w:t>osinophils</w:t>
      </w:r>
      <w:bookmarkEnd w:id="46"/>
      <w:bookmarkEnd w:id="47"/>
      <w:bookmarkEnd w:id="48"/>
    </w:p>
    <w:p w14:paraId="1F7FA5DB" w14:textId="77777777" w:rsidR="004627DF" w:rsidRPr="00160CDE" w:rsidRDefault="004627DF" w:rsidP="004627DF">
      <w:pPr>
        <w:ind w:left="360" w:hanging="360"/>
        <w:rPr>
          <w:b/>
          <w:sz w:val="20"/>
          <w:szCs w:val="24"/>
          <w:lang w:val="en-US"/>
        </w:rPr>
      </w:pPr>
    </w:p>
    <w:tbl>
      <w:tblPr>
        <w:tblW w:w="133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24"/>
        <w:gridCol w:w="2304"/>
        <w:gridCol w:w="2845"/>
        <w:gridCol w:w="2484"/>
        <w:gridCol w:w="2658"/>
      </w:tblGrid>
      <w:tr w:rsidR="004627DF" w:rsidRPr="00160CDE" w14:paraId="34C9E5E4" w14:textId="77777777" w:rsidTr="005B1F46">
        <w:trPr>
          <w:trHeight w:val="1216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F0A8551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 </w:t>
            </w:r>
          </w:p>
          <w:p w14:paraId="51A96E8F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Time point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C0340C8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n</w:t>
            </w:r>
          </w:p>
          <w:p w14:paraId="53D93AE1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(benralizumab vs. placebo)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FB4BE40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 xml:space="preserve">Estimates </w:t>
            </w:r>
          </w:p>
          <w:p w14:paraId="63F38865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(benralizumab vs. placebo)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0C48128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 xml:space="preserve">Estimate (95% CI) 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D9B95AD" w14:textId="77777777" w:rsidR="004627DF" w:rsidRPr="00160CDE" w:rsidRDefault="004627DF" w:rsidP="005B1F46">
            <w:pPr>
              <w:spacing w:line="240" w:lineRule="auto"/>
              <w:rPr>
                <w:b/>
                <w:sz w:val="16"/>
                <w:szCs w:val="16"/>
                <w:lang w:val="en-US" w:eastAsia="en-GB"/>
              </w:rPr>
            </w:pPr>
            <w:r w:rsidRPr="00E454AD">
              <w:rPr>
                <w:b/>
                <w:sz w:val="16"/>
                <w:szCs w:val="16"/>
                <w:lang w:val="en-US" w:eastAsia="en-GB"/>
              </w:rPr>
              <w:t>P</w:t>
            </w:r>
            <w:r w:rsidRPr="00160CDE">
              <w:rPr>
                <w:b/>
                <w:sz w:val="16"/>
                <w:szCs w:val="16"/>
                <w:lang w:val="en-US" w:eastAsia="en-GB"/>
              </w:rPr>
              <w:t>-value</w:t>
            </w:r>
          </w:p>
        </w:tc>
      </w:tr>
      <w:tr w:rsidR="004627DF" w:rsidRPr="00160CDE" w14:paraId="7447BBBA" w14:textId="77777777" w:rsidTr="005B1F46">
        <w:trPr>
          <w:trHeight w:val="314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0851FB7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3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E1E78AF" w14:textId="3D3EAE5B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108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806F76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107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208BD2D" w14:textId="55AE0CA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−85.32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15.70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44E1488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−101.0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(−113.2 to −88.83)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2766D30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2F7ADB19" w14:textId="77777777" w:rsidTr="005B1F46">
        <w:trPr>
          <w:trHeight w:val="486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EF9C0FB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7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E6D6B79" w14:textId="6598D7A2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116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110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6C0D866" w14:textId="1128376A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−86.27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17.04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F3A99EC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−103.3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(−115.4 to −91.22)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62FB68B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7C7CBB12" w14:textId="77777777" w:rsidTr="005B1F46">
        <w:trPr>
          <w:trHeight w:val="628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7341771" w14:textId="3C4B9D6A" w:rsidR="004627DF" w:rsidRPr="00160CDE" w:rsidRDefault="004627DF" w:rsidP="005B1F46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14 (</w:t>
            </w:r>
            <w:r w:rsidR="00CD00F1">
              <w:rPr>
                <w:sz w:val="16"/>
                <w:szCs w:val="16"/>
                <w:lang w:val="en-US" w:eastAsia="en-GB"/>
              </w:rPr>
              <w:t>W</w:t>
            </w:r>
            <w:r w:rsidRPr="00160CDE">
              <w:rPr>
                <w:sz w:val="16"/>
                <w:szCs w:val="16"/>
                <w:lang w:val="en-US" w:eastAsia="en-GB"/>
              </w:rPr>
              <w:t>eek 2)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473F6DC" w14:textId="339549A1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118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113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FD2213A" w14:textId="4FBF534C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−84.08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18.38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B51769A" w14:textId="77777777" w:rsidR="004627DF" w:rsidRPr="00160CDE" w:rsidRDefault="004627DF" w:rsidP="005B1F46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−102.5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(−116.3 to −88.65)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F3FC530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0998D7D9" w14:textId="77777777" w:rsidTr="005B1F46">
        <w:trPr>
          <w:trHeight w:val="314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8218C76" w14:textId="3BE2B2C4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28 (</w:t>
            </w:r>
            <w:r w:rsidR="00CD00F1">
              <w:rPr>
                <w:sz w:val="16"/>
                <w:szCs w:val="16"/>
                <w:lang w:val="en-US" w:eastAsia="en-GB"/>
              </w:rPr>
              <w:t>W</w:t>
            </w:r>
            <w:r w:rsidRPr="00160CDE">
              <w:rPr>
                <w:sz w:val="16"/>
                <w:szCs w:val="16"/>
                <w:lang w:val="en-US" w:eastAsia="en-GB"/>
              </w:rPr>
              <w:t>eek 4)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1A166C80" w14:textId="01366EEC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117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112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94D37F9" w14:textId="6761E861" w:rsidR="004627DF" w:rsidRPr="00160CDE" w:rsidRDefault="004627DF" w:rsidP="005B1F46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−80.03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27.67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269449E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−107.7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(−147.5 to −67.90)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B7A3039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6CBE90B6" w14:textId="77777777" w:rsidTr="005B1F46">
        <w:trPr>
          <w:trHeight w:val="483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79D4AD7" w14:textId="02F0D915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56 (</w:t>
            </w:r>
            <w:r w:rsidR="00CD00F1">
              <w:rPr>
                <w:sz w:val="16"/>
                <w:szCs w:val="16"/>
                <w:lang w:val="en-US" w:eastAsia="en-GB"/>
              </w:rPr>
              <w:t>W</w:t>
            </w:r>
            <w:r w:rsidRPr="00160CDE">
              <w:rPr>
                <w:sz w:val="16"/>
                <w:szCs w:val="16"/>
                <w:lang w:val="en-US" w:eastAsia="en-GB"/>
              </w:rPr>
              <w:t>eek 8)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84CFDFB" w14:textId="204A0783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117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113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CB88B42" w14:textId="321CAC5A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−85.85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15.48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0EC32D3C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−101.3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(−117.6 to −85.10)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AB0A7F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695CA010" w14:textId="77777777" w:rsidTr="005B1F46">
        <w:trPr>
          <w:trHeight w:val="490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5C28994" w14:textId="6CC49FDE" w:rsidR="004627DF" w:rsidRPr="00160CDE" w:rsidRDefault="004627DF" w:rsidP="005B1F46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Day 84 (</w:t>
            </w:r>
            <w:r w:rsidR="00CD00F1">
              <w:rPr>
                <w:sz w:val="16"/>
                <w:szCs w:val="16"/>
                <w:lang w:val="en-US" w:eastAsia="en-GB"/>
              </w:rPr>
              <w:t>W</w:t>
            </w:r>
            <w:r w:rsidRPr="00160CDE">
              <w:rPr>
                <w:sz w:val="16"/>
                <w:szCs w:val="16"/>
                <w:lang w:val="en-US" w:eastAsia="en-GB"/>
              </w:rPr>
              <w:t>eek 12)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324EF85" w14:textId="530EF3C6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113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112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B05ABB6" w14:textId="091FDDE5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−89.09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11.91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5399629F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−101.0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(−118.9 to −83.06)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E695131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  <w:tr w:rsidR="004627DF" w:rsidRPr="00160CDE" w14:paraId="7487C902" w14:textId="77777777" w:rsidTr="005B1F46">
        <w:trPr>
          <w:trHeight w:val="418"/>
        </w:trPr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217568CC" w14:textId="77777777" w:rsidR="004627DF" w:rsidRPr="00160CDE" w:rsidRDefault="004627DF" w:rsidP="005B1F46">
            <w:pPr>
              <w:spacing w:line="240" w:lineRule="auto"/>
              <w:rPr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Average over Day 28 to 84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30420B90" w14:textId="7FAAC755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118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160CDE">
              <w:rPr>
                <w:sz w:val="16"/>
                <w:szCs w:val="16"/>
                <w:lang w:val="en-US" w:eastAsia="en-GB"/>
              </w:rPr>
              <w:t xml:space="preserve"> 114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70C268A7" w14:textId="26903E4F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−84.99 </w:t>
            </w:r>
            <w:r w:rsidRPr="00E454AD">
              <w:rPr>
                <w:sz w:val="16"/>
                <w:szCs w:val="16"/>
                <w:lang w:val="en-US" w:eastAsia="en-GB"/>
              </w:rPr>
              <w:t>vs</w:t>
            </w:r>
            <w:r w:rsidR="00F40057">
              <w:rPr>
                <w:sz w:val="16"/>
                <w:szCs w:val="16"/>
                <w:lang w:val="en-US" w:eastAsia="en-GB"/>
              </w:rPr>
              <w:t>.</w:t>
            </w:r>
            <w:r w:rsidRPr="00352E35">
              <w:rPr>
                <w:sz w:val="16"/>
                <w:szCs w:val="16"/>
                <w:lang w:val="en-US" w:eastAsia="en-GB"/>
              </w:rPr>
              <w:t xml:space="preserve"> </w:t>
            </w:r>
            <w:r w:rsidRPr="00160CDE">
              <w:rPr>
                <w:sz w:val="16"/>
                <w:szCs w:val="16"/>
                <w:lang w:val="en-US" w:eastAsia="en-GB"/>
              </w:rPr>
              <w:t>18.36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6D35CA99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 xml:space="preserve">−103.3 </w:t>
            </w:r>
            <w:r w:rsidRPr="00160CDE">
              <w:rPr>
                <w:sz w:val="16"/>
                <w:szCs w:val="16"/>
                <w:lang w:val="en-US" w:eastAsia="en-GB"/>
              </w:rPr>
              <w:br/>
              <w:t>(−124.3 to −82.39)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14:paraId="43AA3A35" w14:textId="77777777" w:rsidR="004627DF" w:rsidRPr="00160CDE" w:rsidRDefault="004627D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 w:eastAsia="en-GB"/>
              </w:rPr>
            </w:pPr>
            <w:r w:rsidRPr="00160CDE">
              <w:rPr>
                <w:sz w:val="16"/>
                <w:szCs w:val="16"/>
                <w:lang w:val="en-US" w:eastAsia="en-GB"/>
              </w:rPr>
              <w:t>&lt;0.0001</w:t>
            </w:r>
          </w:p>
        </w:tc>
      </w:tr>
    </w:tbl>
    <w:p w14:paraId="4510368D" w14:textId="77777777" w:rsidR="00AF49B0" w:rsidRPr="00160CDE" w:rsidRDefault="00AF49B0" w:rsidP="00BD1DAC">
      <w:pPr>
        <w:rPr>
          <w:sz w:val="20"/>
          <w:lang w:val="en-US"/>
        </w:rPr>
      </w:pPr>
    </w:p>
    <w:p w14:paraId="27E3F743" w14:textId="6C91CE4D" w:rsidR="00520F95" w:rsidRPr="00160CDE" w:rsidRDefault="004627DF" w:rsidP="00BD1DAC">
      <w:pPr>
        <w:rPr>
          <w:sz w:val="20"/>
          <w:lang w:val="en-US"/>
        </w:rPr>
      </w:pPr>
      <w:r w:rsidRPr="00160CDE">
        <w:rPr>
          <w:sz w:val="20"/>
          <w:lang w:val="en-US"/>
        </w:rPr>
        <w:t>A</w:t>
      </w:r>
      <w:r w:rsidR="00520F95" w:rsidRPr="00160CDE">
        <w:rPr>
          <w:sz w:val="20"/>
          <w:lang w:val="en-US"/>
        </w:rPr>
        <w:t>nalysis via MMRM adjusting for treatment, baseline eos</w:t>
      </w:r>
      <w:r w:rsidR="00FA539D" w:rsidRPr="00160CDE">
        <w:rPr>
          <w:sz w:val="20"/>
          <w:lang w:val="en-US"/>
        </w:rPr>
        <w:t>inophil count</w:t>
      </w:r>
      <w:r w:rsidR="00520F95" w:rsidRPr="00160CDE">
        <w:rPr>
          <w:sz w:val="20"/>
          <w:lang w:val="en-US"/>
        </w:rPr>
        <w:t>, region, visit</w:t>
      </w:r>
      <w:r w:rsidR="003452BA" w:rsidRPr="00160CDE">
        <w:rPr>
          <w:sz w:val="20"/>
          <w:lang w:val="en-US"/>
        </w:rPr>
        <w:t xml:space="preserve"> and</w:t>
      </w:r>
      <w:r w:rsidR="00520F95" w:rsidRPr="00160CDE">
        <w:rPr>
          <w:sz w:val="20"/>
          <w:lang w:val="en-US"/>
        </w:rPr>
        <w:t xml:space="preserve"> treatment</w:t>
      </w:r>
      <w:r w:rsidR="00FD135E" w:rsidRPr="00160CDE">
        <w:rPr>
          <w:sz w:val="20"/>
          <w:lang w:val="en-US"/>
        </w:rPr>
        <w:t>×</w:t>
      </w:r>
      <w:r w:rsidR="00520F95" w:rsidRPr="00160CDE">
        <w:rPr>
          <w:sz w:val="20"/>
          <w:lang w:val="en-US"/>
        </w:rPr>
        <w:t>visit</w:t>
      </w:r>
      <w:r w:rsidR="006C1C15" w:rsidRPr="00160CDE">
        <w:rPr>
          <w:sz w:val="20"/>
          <w:lang w:val="en-US"/>
        </w:rPr>
        <w:t xml:space="preserve">. </w:t>
      </w:r>
      <w:r w:rsidR="00FD135E" w:rsidRPr="00160CDE">
        <w:rPr>
          <w:sz w:val="20"/>
          <w:lang w:val="en-US"/>
        </w:rPr>
        <w:t xml:space="preserve">Baseline was defined as the last </w:t>
      </w:r>
      <w:proofErr w:type="spellStart"/>
      <w:r w:rsidR="00FD135E" w:rsidRPr="00160CDE">
        <w:rPr>
          <w:sz w:val="20"/>
          <w:lang w:val="en-US"/>
        </w:rPr>
        <w:t>nonmissing</w:t>
      </w:r>
      <w:proofErr w:type="spellEnd"/>
      <w:r w:rsidR="00FD135E" w:rsidRPr="00160CDE">
        <w:rPr>
          <w:sz w:val="20"/>
          <w:lang w:val="en-US"/>
        </w:rPr>
        <w:t xml:space="preserve"> value prior to randomi</w:t>
      </w:r>
      <w:r w:rsidR="004303DE" w:rsidRPr="00160CDE">
        <w:rPr>
          <w:sz w:val="20"/>
          <w:lang w:val="en-US"/>
        </w:rPr>
        <w:t>z</w:t>
      </w:r>
      <w:r w:rsidR="00FD135E" w:rsidRPr="00160CDE">
        <w:rPr>
          <w:sz w:val="20"/>
          <w:lang w:val="en-US"/>
        </w:rPr>
        <w:t xml:space="preserve">ation. </w:t>
      </w:r>
      <w:r w:rsidR="00B95339" w:rsidRPr="00160CDE">
        <w:rPr>
          <w:sz w:val="20"/>
          <w:lang w:val="en-US"/>
        </w:rPr>
        <w:t>CI</w:t>
      </w:r>
      <w:r w:rsidR="00E41E18">
        <w:rPr>
          <w:sz w:val="20"/>
          <w:lang w:val="en-US"/>
        </w:rPr>
        <w:t xml:space="preserve">, </w:t>
      </w:r>
      <w:r w:rsidR="00B95339" w:rsidRPr="00160CDE">
        <w:rPr>
          <w:sz w:val="20"/>
          <w:lang w:val="en-US"/>
        </w:rPr>
        <w:t>confidence interval</w:t>
      </w:r>
      <w:r w:rsidR="00E41E18">
        <w:rPr>
          <w:sz w:val="20"/>
          <w:lang w:val="en-US"/>
        </w:rPr>
        <w:t>;</w:t>
      </w:r>
      <w:r w:rsidR="00B95339" w:rsidRPr="00160CDE">
        <w:rPr>
          <w:sz w:val="20"/>
          <w:lang w:val="en-US"/>
        </w:rPr>
        <w:t xml:space="preserve"> </w:t>
      </w:r>
      <w:r w:rsidR="006C1C15" w:rsidRPr="00160CDE">
        <w:rPr>
          <w:sz w:val="20"/>
          <w:lang w:val="en-US"/>
        </w:rPr>
        <w:t>MMRM</w:t>
      </w:r>
      <w:r w:rsidR="00E41E18">
        <w:rPr>
          <w:sz w:val="20"/>
          <w:lang w:val="en-US"/>
        </w:rPr>
        <w:t xml:space="preserve">, </w:t>
      </w:r>
      <w:r w:rsidR="006C1C15" w:rsidRPr="00160CDE">
        <w:rPr>
          <w:sz w:val="20"/>
          <w:lang w:val="en-US"/>
        </w:rPr>
        <w:t>mixed-effect model repeated measure.</w:t>
      </w:r>
      <w:r w:rsidR="009D70B2" w:rsidRPr="00160CDE">
        <w:rPr>
          <w:sz w:val="20"/>
          <w:lang w:val="en-US"/>
        </w:rPr>
        <w:t xml:space="preserve"> </w:t>
      </w:r>
    </w:p>
    <w:p w14:paraId="61B25368" w14:textId="77777777" w:rsidR="00520F95" w:rsidRPr="00160CDE" w:rsidRDefault="00520F95" w:rsidP="00BD1DAC">
      <w:pPr>
        <w:rPr>
          <w:lang w:val="en-US"/>
        </w:rPr>
      </w:pPr>
    </w:p>
    <w:p w14:paraId="76F51B27" w14:textId="37E8A055" w:rsidR="00F23CEC" w:rsidRPr="00160CDE" w:rsidRDefault="00F23CEC" w:rsidP="00BD1DAC">
      <w:pPr>
        <w:rPr>
          <w:lang w:val="en-US"/>
        </w:rPr>
      </w:pPr>
      <w:r w:rsidRPr="00160CDE">
        <w:rPr>
          <w:lang w:val="en-US"/>
        </w:rPr>
        <w:br w:type="page"/>
      </w:r>
    </w:p>
    <w:p w14:paraId="141DB1F1" w14:textId="77777777" w:rsidR="00DE28BC" w:rsidRPr="00160CDE" w:rsidRDefault="00DE28BC" w:rsidP="00B33D0B">
      <w:pPr>
        <w:ind w:left="360" w:hanging="360"/>
        <w:rPr>
          <w:b/>
          <w:sz w:val="20"/>
          <w:szCs w:val="24"/>
          <w:lang w:val="en-US"/>
        </w:rPr>
        <w:sectPr w:rsidR="00DE28BC" w:rsidRPr="00160CDE" w:rsidSect="00871F0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49" w:name="_Toc535875906"/>
      <w:bookmarkStart w:id="50" w:name="_Toc535914013"/>
      <w:bookmarkStart w:id="51" w:name="_Toc535938384"/>
    </w:p>
    <w:p w14:paraId="499442DB" w14:textId="613CF654" w:rsidR="00177A08" w:rsidRPr="00160CDE" w:rsidRDefault="00BE348A" w:rsidP="00B33D0B">
      <w:pPr>
        <w:ind w:left="360" w:hanging="360"/>
        <w:rPr>
          <w:b/>
          <w:sz w:val="20"/>
          <w:szCs w:val="24"/>
          <w:lang w:val="en-US"/>
        </w:rPr>
      </w:pPr>
      <w:r w:rsidRPr="00160CDE">
        <w:rPr>
          <w:b/>
          <w:sz w:val="20"/>
          <w:szCs w:val="24"/>
          <w:lang w:val="en-US"/>
        </w:rPr>
        <w:lastRenderedPageBreak/>
        <w:t>2.8</w:t>
      </w:r>
      <w:r w:rsidRPr="00160CDE">
        <w:rPr>
          <w:b/>
          <w:sz w:val="20"/>
          <w:szCs w:val="24"/>
          <w:lang w:val="en-US"/>
        </w:rPr>
        <w:tab/>
      </w:r>
      <w:r w:rsidR="00177A08" w:rsidRPr="00160CDE">
        <w:rPr>
          <w:b/>
          <w:sz w:val="20"/>
          <w:szCs w:val="24"/>
          <w:lang w:val="en-US"/>
        </w:rPr>
        <w:t>Table S</w:t>
      </w:r>
      <w:r w:rsidR="003B5A32" w:rsidRPr="00160CDE">
        <w:rPr>
          <w:b/>
          <w:sz w:val="20"/>
          <w:szCs w:val="24"/>
          <w:lang w:val="en-US"/>
        </w:rPr>
        <w:t>4</w:t>
      </w:r>
      <w:r w:rsidR="00177A08" w:rsidRPr="00160CDE">
        <w:rPr>
          <w:b/>
          <w:sz w:val="20"/>
          <w:szCs w:val="24"/>
          <w:lang w:val="en-US"/>
        </w:rPr>
        <w:t>. Body Plethysmography Sub</w:t>
      </w:r>
      <w:r w:rsidR="005F5058" w:rsidRPr="00160CDE">
        <w:rPr>
          <w:b/>
          <w:sz w:val="20"/>
          <w:szCs w:val="24"/>
          <w:lang w:val="en-US"/>
        </w:rPr>
        <w:t>s</w:t>
      </w:r>
      <w:r w:rsidR="00177A08" w:rsidRPr="00160CDE">
        <w:rPr>
          <w:b/>
          <w:sz w:val="20"/>
          <w:szCs w:val="24"/>
          <w:lang w:val="en-US"/>
        </w:rPr>
        <w:t xml:space="preserve">tudy </w:t>
      </w:r>
      <w:r w:rsidR="00216B02" w:rsidRPr="00160CDE">
        <w:rPr>
          <w:b/>
          <w:sz w:val="20"/>
          <w:szCs w:val="24"/>
          <w:lang w:val="en-US"/>
        </w:rPr>
        <w:t xml:space="preserve">Additional </w:t>
      </w:r>
      <w:r w:rsidR="00177A08" w:rsidRPr="00160CDE">
        <w:rPr>
          <w:b/>
          <w:sz w:val="20"/>
          <w:szCs w:val="24"/>
          <w:lang w:val="en-US"/>
        </w:rPr>
        <w:t>Outcomes</w:t>
      </w:r>
      <w:bookmarkEnd w:id="49"/>
      <w:bookmarkEnd w:id="50"/>
      <w:bookmarkEnd w:id="51"/>
    </w:p>
    <w:p w14:paraId="587193CF" w14:textId="77777777" w:rsidR="00D4768F" w:rsidRPr="00160CDE" w:rsidRDefault="00D4768F" w:rsidP="00D4768F">
      <w:pPr>
        <w:ind w:left="360" w:hanging="360"/>
        <w:rPr>
          <w:b/>
          <w:sz w:val="20"/>
          <w:szCs w:val="24"/>
          <w:lang w:val="en-US"/>
        </w:rPr>
      </w:pPr>
    </w:p>
    <w:tbl>
      <w:tblPr>
        <w:tblW w:w="4113" w:type="pct"/>
        <w:tblLayout w:type="fixed"/>
        <w:tblLook w:val="00A0" w:firstRow="1" w:lastRow="0" w:firstColumn="1" w:lastColumn="0" w:noHBand="0" w:noVBand="0"/>
      </w:tblPr>
      <w:tblGrid>
        <w:gridCol w:w="3423"/>
        <w:gridCol w:w="1426"/>
        <w:gridCol w:w="1426"/>
        <w:gridCol w:w="1425"/>
      </w:tblGrid>
      <w:tr w:rsidR="00D4768F" w:rsidRPr="00160CDE" w14:paraId="53A87206" w14:textId="77777777" w:rsidTr="005B1F46">
        <w:trPr>
          <w:cantSplit/>
          <w:trHeight w:val="240"/>
          <w:tblHeader/>
        </w:trPr>
        <w:tc>
          <w:tcPr>
            <w:tcW w:w="2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4056D3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4FA255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val="en-US" w:eastAsia="en-GB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n,</w:t>
            </w:r>
          </w:p>
          <w:p w14:paraId="4513943C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 w:eastAsia="en-GB"/>
              </w:rPr>
              <w:t>benralizumab vs. placebo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2A974B" w14:textId="77777777" w:rsidR="00D4768F" w:rsidRPr="00160CDE" w:rsidRDefault="00D4768F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 xml:space="preserve">Benralizumab </w:t>
            </w:r>
            <w:r w:rsidRPr="00160CDE">
              <w:rPr>
                <w:b/>
                <w:sz w:val="16"/>
                <w:szCs w:val="16"/>
                <w:lang w:val="en-US"/>
              </w:rPr>
              <w:br/>
              <w:t>30 mg</w:t>
            </w:r>
            <w:r w:rsidRPr="00160CDE">
              <w:rPr>
                <w:b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160CDE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4BFAD563" w14:textId="77777777" w:rsidR="00D4768F" w:rsidRPr="00160CDE" w:rsidRDefault="00D4768F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  <w:p w14:paraId="70D91931" w14:textId="77777777" w:rsidR="00D4768F" w:rsidRPr="00160CDE" w:rsidRDefault="00D4768F" w:rsidP="005B1F46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160CDE">
              <w:rPr>
                <w:b/>
                <w:sz w:val="16"/>
                <w:szCs w:val="16"/>
                <w:lang w:val="en-US"/>
              </w:rPr>
              <w:t>Placebo</w:t>
            </w:r>
          </w:p>
        </w:tc>
      </w:tr>
      <w:tr w:rsidR="00D4768F" w:rsidRPr="00160CDE" w14:paraId="5A2FFB9F" w14:textId="77777777" w:rsidTr="005B1F46">
        <w:trPr>
          <w:cantSplit/>
          <w:trHeight w:val="240"/>
        </w:trPr>
        <w:tc>
          <w:tcPr>
            <w:tcW w:w="2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B2886" w14:textId="30A4590F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Change from </w:t>
            </w:r>
            <w:proofErr w:type="spellStart"/>
            <w:r w:rsidRPr="00160CDE">
              <w:rPr>
                <w:sz w:val="16"/>
                <w:szCs w:val="16"/>
                <w:lang w:val="en-US"/>
              </w:rPr>
              <w:t>BL</w:t>
            </w:r>
            <w:r w:rsidR="00DF185B" w:rsidRPr="00E454AD">
              <w:rPr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  <w:r w:rsidRPr="00E454AD"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160CDE">
              <w:rPr>
                <w:sz w:val="16"/>
                <w:szCs w:val="16"/>
                <w:lang w:val="en-US"/>
              </w:rPr>
              <w:t>in pre-BD FEV</w:t>
            </w:r>
            <w:r w:rsidRPr="00160CDE">
              <w:rPr>
                <w:sz w:val="16"/>
                <w:szCs w:val="16"/>
                <w:vertAlign w:val="subscript"/>
                <w:lang w:val="en-US"/>
              </w:rPr>
              <w:t>1</w:t>
            </w:r>
            <w:r w:rsidRPr="00160CDE">
              <w:rPr>
                <w:sz w:val="16"/>
                <w:szCs w:val="16"/>
                <w:lang w:val="en-US"/>
              </w:rPr>
              <w:t>, mL</w:t>
            </w: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2BE561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F8F5F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C01C003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D4768F" w:rsidRPr="00160CDE" w14:paraId="656129E2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7DD4D60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Day 3 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6922DCFF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16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/>
              </w:rPr>
              <w:t xml:space="preserve"> 21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79850D8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151 (253)</w:t>
            </w:r>
          </w:p>
        </w:tc>
        <w:tc>
          <w:tcPr>
            <w:tcW w:w="925" w:type="pct"/>
          </w:tcPr>
          <w:p w14:paraId="00660883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−39 (205)</w:t>
            </w:r>
          </w:p>
        </w:tc>
      </w:tr>
      <w:tr w:rsidR="00D4768F" w:rsidRPr="00160CDE" w14:paraId="06C138A1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5B90A7F5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7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57883699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21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1FA36832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151 (244)</w:t>
            </w:r>
          </w:p>
        </w:tc>
        <w:tc>
          <w:tcPr>
            <w:tcW w:w="925" w:type="pct"/>
          </w:tcPr>
          <w:p w14:paraId="5AE10D1F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44 (265)</w:t>
            </w:r>
          </w:p>
        </w:tc>
      </w:tr>
      <w:tr w:rsidR="00D4768F" w:rsidRPr="00160CDE" w14:paraId="39E7D192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3DA62E36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14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2B47B086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784BD586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168 (320)</w:t>
            </w:r>
          </w:p>
        </w:tc>
        <w:tc>
          <w:tcPr>
            <w:tcW w:w="925" w:type="pct"/>
          </w:tcPr>
          <w:p w14:paraId="104B7583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98 (212)</w:t>
            </w:r>
          </w:p>
        </w:tc>
      </w:tr>
      <w:tr w:rsidR="00D4768F" w:rsidRPr="00160CDE" w14:paraId="12C7F05C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0D5FA39C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29145BC9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0D11E5C5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232 (406)</w:t>
            </w:r>
          </w:p>
        </w:tc>
        <w:tc>
          <w:tcPr>
            <w:tcW w:w="925" w:type="pct"/>
          </w:tcPr>
          <w:p w14:paraId="02A86F7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−31 (251)</w:t>
            </w:r>
          </w:p>
        </w:tc>
      </w:tr>
      <w:tr w:rsidR="00D4768F" w:rsidRPr="00160CDE" w14:paraId="327F8CB1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1B5CB6A5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4ED78B6B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3E0C598B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152 (418)</w:t>
            </w:r>
          </w:p>
        </w:tc>
        <w:tc>
          <w:tcPr>
            <w:tcW w:w="925" w:type="pct"/>
          </w:tcPr>
          <w:p w14:paraId="7AD402E2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108 (325)</w:t>
            </w:r>
          </w:p>
        </w:tc>
      </w:tr>
      <w:tr w:rsidR="00D4768F" w:rsidRPr="00160CDE" w14:paraId="4E6EBAB7" w14:textId="77777777" w:rsidTr="005B1F46">
        <w:trPr>
          <w:cantSplit/>
          <w:trHeight w:val="73"/>
        </w:trPr>
        <w:tc>
          <w:tcPr>
            <w:tcW w:w="2223" w:type="pct"/>
            <w:shd w:val="clear" w:color="auto" w:fill="auto"/>
            <w:noWrap/>
            <w:vAlign w:val="center"/>
          </w:tcPr>
          <w:p w14:paraId="62452E0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84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13049B1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32BD95B2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201 (349)</w:t>
            </w:r>
          </w:p>
        </w:tc>
        <w:tc>
          <w:tcPr>
            <w:tcW w:w="925" w:type="pct"/>
          </w:tcPr>
          <w:p w14:paraId="2E24A22F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53 (341)</w:t>
            </w:r>
          </w:p>
        </w:tc>
      </w:tr>
      <w:tr w:rsidR="00D4768F" w:rsidRPr="00160CDE" w14:paraId="24C3E8F4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08FDEFE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112 (follow-up)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10EA0ABA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18 vs.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7DAA3AD0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178 (500)</w:t>
            </w:r>
          </w:p>
        </w:tc>
        <w:tc>
          <w:tcPr>
            <w:tcW w:w="925" w:type="pct"/>
          </w:tcPr>
          <w:p w14:paraId="069F351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93 (292)</w:t>
            </w:r>
          </w:p>
        </w:tc>
      </w:tr>
      <w:tr w:rsidR="00D4768F" w:rsidRPr="00160CDE" w14:paraId="7D62815F" w14:textId="77777777" w:rsidTr="005B1F46">
        <w:trPr>
          <w:cantSplit/>
          <w:trHeight w:val="240"/>
        </w:trPr>
        <w:tc>
          <w:tcPr>
            <w:tcW w:w="2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CCA452" w14:textId="2BF95C4F" w:rsidR="00D4768F" w:rsidRPr="00160CDE" w:rsidRDefault="00D4768F" w:rsidP="005B1F46">
            <w:pPr>
              <w:spacing w:line="240" w:lineRule="auto"/>
              <w:rPr>
                <w:sz w:val="16"/>
                <w:szCs w:val="16"/>
                <w:vertAlign w:val="superscript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Change from </w:t>
            </w:r>
            <w:proofErr w:type="spellStart"/>
            <w:r w:rsidRPr="00160CDE">
              <w:rPr>
                <w:sz w:val="16"/>
                <w:szCs w:val="16"/>
                <w:lang w:val="en-US"/>
              </w:rPr>
              <w:t>BL</w:t>
            </w:r>
            <w:r w:rsidR="00DF185B">
              <w:rPr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60CDE">
              <w:rPr>
                <w:sz w:val="16"/>
                <w:szCs w:val="16"/>
                <w:lang w:val="en-US"/>
              </w:rPr>
              <w:t xml:space="preserve"> in ACQ-6 score</w:t>
            </w: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7C8A2CC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A511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67A699A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D4768F" w:rsidRPr="00160CDE" w14:paraId="7299DD28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470A1F8F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bookmarkStart w:id="52" w:name="_Hlk531949308"/>
            <w:r w:rsidRPr="00160CDE">
              <w:rPr>
                <w:sz w:val="16"/>
                <w:szCs w:val="16"/>
                <w:lang w:val="en-US"/>
              </w:rPr>
              <w:t>Day 14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6A698923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6DBEFBE6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−0.880 (0.794)</w:t>
            </w:r>
          </w:p>
        </w:tc>
        <w:tc>
          <w:tcPr>
            <w:tcW w:w="925" w:type="pct"/>
          </w:tcPr>
          <w:p w14:paraId="52D28DE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−0.795 (0.661)</w:t>
            </w:r>
          </w:p>
        </w:tc>
      </w:tr>
      <w:tr w:rsidR="00D4768F" w:rsidRPr="00160CDE" w14:paraId="54C2A139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13C6415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37C6741D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5361428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−1.028 (0.776)</w:t>
            </w:r>
          </w:p>
        </w:tc>
        <w:tc>
          <w:tcPr>
            <w:tcW w:w="925" w:type="pct"/>
          </w:tcPr>
          <w:p w14:paraId="5541B4D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−0.902 (0.745)</w:t>
            </w:r>
          </w:p>
        </w:tc>
      </w:tr>
      <w:tr w:rsidR="00D4768F" w:rsidRPr="00160CDE" w14:paraId="175CC288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49AFE5B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7C0D8249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2D4C29A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−0.880 (1.315)</w:t>
            </w:r>
          </w:p>
        </w:tc>
        <w:tc>
          <w:tcPr>
            <w:tcW w:w="925" w:type="pct"/>
          </w:tcPr>
          <w:p w14:paraId="5DE78EC3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−1.068 (0.948)</w:t>
            </w:r>
          </w:p>
        </w:tc>
      </w:tr>
      <w:tr w:rsidR="00D4768F" w:rsidRPr="00160CDE" w14:paraId="701AF0AE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5C9FA04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84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72D427C4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50068CF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−1.241 (0.959)</w:t>
            </w:r>
          </w:p>
        </w:tc>
        <w:tc>
          <w:tcPr>
            <w:tcW w:w="925" w:type="pct"/>
          </w:tcPr>
          <w:p w14:paraId="265A4522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−1.326 (1.120)</w:t>
            </w:r>
          </w:p>
        </w:tc>
      </w:tr>
      <w:bookmarkEnd w:id="52"/>
      <w:tr w:rsidR="00D4768F" w:rsidRPr="00160CDE" w14:paraId="41A5A7AE" w14:textId="77777777" w:rsidTr="005B1F46">
        <w:trPr>
          <w:cantSplit/>
          <w:trHeight w:val="240"/>
        </w:trPr>
        <w:tc>
          <w:tcPr>
            <w:tcW w:w="2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0406A" w14:textId="1856FD98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 xml:space="preserve">Change from </w:t>
            </w:r>
            <w:proofErr w:type="spellStart"/>
            <w:r w:rsidRPr="00160CDE">
              <w:rPr>
                <w:sz w:val="16"/>
                <w:szCs w:val="16"/>
                <w:lang w:val="en-US"/>
              </w:rPr>
              <w:t>BL</w:t>
            </w:r>
            <w:r w:rsidR="00DF185B">
              <w:rPr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  <w:r w:rsidRPr="00160CDE">
              <w:rPr>
                <w:sz w:val="16"/>
                <w:szCs w:val="16"/>
                <w:lang w:val="en-US"/>
              </w:rPr>
              <w:t xml:space="preserve"> in SGRQ score</w:t>
            </w: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04106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2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F71158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24613E7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</w:p>
        </w:tc>
      </w:tr>
      <w:tr w:rsidR="00D4768F" w:rsidRPr="00160CDE" w14:paraId="2DA92237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0B1E9941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28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2FE9FA54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3E352655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−13.383 (13.904)</w:t>
            </w:r>
          </w:p>
        </w:tc>
        <w:tc>
          <w:tcPr>
            <w:tcW w:w="925" w:type="pct"/>
          </w:tcPr>
          <w:p w14:paraId="180C5F1A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−15.380 (15.828)</w:t>
            </w:r>
          </w:p>
        </w:tc>
      </w:tr>
      <w:tr w:rsidR="00D4768F" w:rsidRPr="00160CDE" w14:paraId="7B6212A1" w14:textId="77777777" w:rsidTr="005B1F46">
        <w:trPr>
          <w:cantSplit/>
          <w:trHeight w:val="240"/>
        </w:trPr>
        <w:tc>
          <w:tcPr>
            <w:tcW w:w="2223" w:type="pct"/>
            <w:shd w:val="clear" w:color="auto" w:fill="auto"/>
            <w:noWrap/>
            <w:vAlign w:val="center"/>
          </w:tcPr>
          <w:p w14:paraId="4C92738B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56</w:t>
            </w:r>
          </w:p>
        </w:tc>
        <w:tc>
          <w:tcPr>
            <w:tcW w:w="926" w:type="pct"/>
            <w:shd w:val="clear" w:color="auto" w:fill="auto"/>
            <w:noWrap/>
            <w:vAlign w:val="bottom"/>
          </w:tcPr>
          <w:p w14:paraId="296773FD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shd w:val="clear" w:color="auto" w:fill="auto"/>
            <w:vAlign w:val="bottom"/>
          </w:tcPr>
          <w:p w14:paraId="00D9783F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−12.982 (19.337)</w:t>
            </w:r>
          </w:p>
        </w:tc>
        <w:tc>
          <w:tcPr>
            <w:tcW w:w="925" w:type="pct"/>
          </w:tcPr>
          <w:p w14:paraId="31E6B95E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−18.253 (15.964)</w:t>
            </w:r>
          </w:p>
        </w:tc>
      </w:tr>
      <w:tr w:rsidR="00D4768F" w:rsidRPr="00160CDE" w14:paraId="6E23FC7C" w14:textId="77777777" w:rsidTr="005B1F46">
        <w:trPr>
          <w:cantSplit/>
          <w:trHeight w:val="240"/>
        </w:trPr>
        <w:tc>
          <w:tcPr>
            <w:tcW w:w="22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719AC4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Day 84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4B4591" w14:textId="77777777" w:rsidR="00D4768F" w:rsidRPr="00160CDE" w:rsidRDefault="00D4768F" w:rsidP="005B1F4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 xml:space="preserve">18 </w:t>
            </w:r>
            <w:r w:rsidRPr="00160CDE">
              <w:rPr>
                <w:sz w:val="16"/>
                <w:szCs w:val="16"/>
                <w:lang w:val="en-US" w:eastAsia="en-GB"/>
              </w:rPr>
              <w:t>vs.</w:t>
            </w:r>
            <w:r w:rsidRPr="00160CDE">
              <w:rPr>
                <w:sz w:val="16"/>
                <w:szCs w:val="16"/>
                <w:lang w:val="en-US" w:eastAsia="ja-JP"/>
              </w:rPr>
              <w:t xml:space="preserve"> 22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A8F6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/>
              </w:rPr>
            </w:pPr>
            <w:r w:rsidRPr="00160CDE">
              <w:rPr>
                <w:sz w:val="16"/>
                <w:szCs w:val="16"/>
                <w:lang w:val="en-US"/>
              </w:rPr>
              <w:t>−16.075 (14.613)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3636C4AD" w14:textId="77777777" w:rsidR="00D4768F" w:rsidRPr="00160CDE" w:rsidRDefault="00D4768F" w:rsidP="005B1F46">
            <w:pPr>
              <w:spacing w:line="240" w:lineRule="auto"/>
              <w:rPr>
                <w:sz w:val="16"/>
                <w:szCs w:val="16"/>
                <w:lang w:val="en-US" w:eastAsia="ja-JP"/>
              </w:rPr>
            </w:pPr>
            <w:r w:rsidRPr="00160CDE">
              <w:rPr>
                <w:sz w:val="16"/>
                <w:szCs w:val="16"/>
                <w:lang w:val="en-US" w:eastAsia="ja-JP"/>
              </w:rPr>
              <w:t>−20.449 (18.152)</w:t>
            </w:r>
          </w:p>
        </w:tc>
      </w:tr>
    </w:tbl>
    <w:p w14:paraId="7ACF28AD" w14:textId="77777777" w:rsidR="00AF49B0" w:rsidRPr="00160CDE" w:rsidRDefault="00AF49B0" w:rsidP="00BD1DAC">
      <w:pPr>
        <w:rPr>
          <w:sz w:val="20"/>
          <w:szCs w:val="20"/>
          <w:lang w:val="en-US"/>
        </w:rPr>
      </w:pPr>
    </w:p>
    <w:p w14:paraId="1A66EF25" w14:textId="64683940" w:rsidR="008D3A3C" w:rsidRPr="00160CDE" w:rsidRDefault="004627DF" w:rsidP="00BD1DAC">
      <w:pPr>
        <w:rPr>
          <w:b/>
          <w:sz w:val="20"/>
          <w:szCs w:val="20"/>
          <w:lang w:val="en-US"/>
        </w:rPr>
      </w:pPr>
      <w:r w:rsidRPr="00160CDE">
        <w:rPr>
          <w:sz w:val="20"/>
          <w:szCs w:val="20"/>
          <w:lang w:val="en-US"/>
        </w:rPr>
        <w:t xml:space="preserve">Data </w:t>
      </w:r>
      <w:r w:rsidR="00F03B28" w:rsidRPr="00160CDE">
        <w:rPr>
          <w:sz w:val="20"/>
          <w:szCs w:val="20"/>
          <w:lang w:val="en-US"/>
        </w:rPr>
        <w:t>are</w:t>
      </w:r>
      <w:r w:rsidR="00FF01D0" w:rsidRPr="00160CDE">
        <w:rPr>
          <w:sz w:val="20"/>
          <w:szCs w:val="20"/>
          <w:lang w:val="en-US"/>
        </w:rPr>
        <w:t xml:space="preserve"> </w:t>
      </w:r>
      <w:r w:rsidR="00F01E77" w:rsidRPr="00160CDE">
        <w:rPr>
          <w:sz w:val="20"/>
          <w:szCs w:val="20"/>
          <w:lang w:val="en-US"/>
        </w:rPr>
        <w:t xml:space="preserve">presented as </w:t>
      </w:r>
      <w:r w:rsidR="00FF01D0" w:rsidRPr="00160CDE">
        <w:rPr>
          <w:sz w:val="20"/>
          <w:szCs w:val="20"/>
          <w:lang w:val="en-US"/>
        </w:rPr>
        <w:t>mean (</w:t>
      </w:r>
      <w:r w:rsidR="00331312" w:rsidRPr="00160CDE">
        <w:rPr>
          <w:sz w:val="20"/>
          <w:szCs w:val="20"/>
          <w:lang w:val="en-US"/>
        </w:rPr>
        <w:t>SD</w:t>
      </w:r>
      <w:r w:rsidR="00871F0E" w:rsidRPr="00160CDE">
        <w:rPr>
          <w:sz w:val="20"/>
          <w:szCs w:val="20"/>
          <w:lang w:val="en-US"/>
        </w:rPr>
        <w:t>)</w:t>
      </w:r>
      <w:r w:rsidR="004C65EE" w:rsidRPr="00160CDE">
        <w:rPr>
          <w:sz w:val="20"/>
          <w:szCs w:val="20"/>
          <w:lang w:val="en-US"/>
        </w:rPr>
        <w:t xml:space="preserve">. </w:t>
      </w:r>
      <w:proofErr w:type="spellStart"/>
      <w:r w:rsidR="00DF185B" w:rsidRPr="00E454AD">
        <w:rPr>
          <w:sz w:val="20"/>
          <w:szCs w:val="20"/>
          <w:vertAlign w:val="superscript"/>
          <w:lang w:val="en-US"/>
        </w:rPr>
        <w:t>a</w:t>
      </w:r>
      <w:r w:rsidR="00C35181" w:rsidRPr="00160CDE">
        <w:rPr>
          <w:sz w:val="20"/>
          <w:szCs w:val="20"/>
          <w:lang w:val="en-US"/>
        </w:rPr>
        <w:t>Baseline</w:t>
      </w:r>
      <w:proofErr w:type="spellEnd"/>
      <w:r w:rsidR="00C35181" w:rsidRPr="00160CDE">
        <w:rPr>
          <w:sz w:val="20"/>
          <w:szCs w:val="20"/>
          <w:lang w:val="en-US"/>
        </w:rPr>
        <w:t xml:space="preserve"> defined as the last </w:t>
      </w:r>
      <w:proofErr w:type="spellStart"/>
      <w:r w:rsidR="00C35181" w:rsidRPr="00160CDE">
        <w:rPr>
          <w:sz w:val="20"/>
          <w:szCs w:val="20"/>
          <w:lang w:val="en-US"/>
        </w:rPr>
        <w:t>nonmissing</w:t>
      </w:r>
      <w:proofErr w:type="spellEnd"/>
      <w:r w:rsidR="00C35181" w:rsidRPr="00160CDE">
        <w:rPr>
          <w:sz w:val="20"/>
          <w:szCs w:val="20"/>
          <w:lang w:val="en-US"/>
        </w:rPr>
        <w:t xml:space="preserve"> value with acceptable quality (acceptable or borderline quality grade) prior to the first dose of study treatment.</w:t>
      </w:r>
      <w:r w:rsidR="00D6154F" w:rsidRPr="00160CDE">
        <w:rPr>
          <w:sz w:val="20"/>
          <w:szCs w:val="20"/>
          <w:lang w:val="en-US"/>
        </w:rPr>
        <w:t xml:space="preserve"> </w:t>
      </w:r>
      <w:proofErr w:type="spellStart"/>
      <w:r w:rsidR="00DF185B">
        <w:rPr>
          <w:sz w:val="20"/>
          <w:szCs w:val="20"/>
          <w:vertAlign w:val="superscript"/>
          <w:lang w:val="en-US"/>
        </w:rPr>
        <w:t>b</w:t>
      </w:r>
      <w:r w:rsidR="00D6154F" w:rsidRPr="00160CDE">
        <w:rPr>
          <w:sz w:val="20"/>
          <w:szCs w:val="20"/>
          <w:lang w:val="en-US"/>
        </w:rPr>
        <w:t>Baseline</w:t>
      </w:r>
      <w:proofErr w:type="spellEnd"/>
      <w:r w:rsidR="00D6154F" w:rsidRPr="00160CDE">
        <w:rPr>
          <w:sz w:val="20"/>
          <w:szCs w:val="20"/>
          <w:lang w:val="en-US"/>
        </w:rPr>
        <w:t xml:space="preserve"> defined as the last </w:t>
      </w:r>
      <w:proofErr w:type="spellStart"/>
      <w:r w:rsidR="00D6154F" w:rsidRPr="00160CDE">
        <w:rPr>
          <w:sz w:val="20"/>
          <w:szCs w:val="20"/>
          <w:lang w:val="en-US"/>
        </w:rPr>
        <w:t>nonmissing</w:t>
      </w:r>
      <w:proofErr w:type="spellEnd"/>
      <w:r w:rsidR="00D6154F" w:rsidRPr="00160CDE">
        <w:rPr>
          <w:sz w:val="20"/>
          <w:szCs w:val="20"/>
          <w:lang w:val="en-US"/>
        </w:rPr>
        <w:t xml:space="preserve"> value prior to randomi</w:t>
      </w:r>
      <w:r w:rsidR="00A47ECD" w:rsidRPr="00160CDE">
        <w:rPr>
          <w:sz w:val="20"/>
          <w:szCs w:val="20"/>
          <w:lang w:val="en-US"/>
        </w:rPr>
        <w:t>z</w:t>
      </w:r>
      <w:r w:rsidR="00D6154F" w:rsidRPr="00160CDE">
        <w:rPr>
          <w:sz w:val="20"/>
          <w:szCs w:val="20"/>
          <w:lang w:val="en-US"/>
        </w:rPr>
        <w:t>ation.</w:t>
      </w:r>
      <w:r w:rsidR="00D6154F" w:rsidRPr="00160CDE">
        <w:rPr>
          <w:rFonts w:ascii="Arial" w:hAnsi="Arial" w:cs="Arial"/>
          <w:sz w:val="20"/>
          <w:szCs w:val="20"/>
          <w:lang w:val="en-US"/>
        </w:rPr>
        <w:t xml:space="preserve"> </w:t>
      </w:r>
      <w:r w:rsidR="008D3A3C" w:rsidRPr="00160CDE">
        <w:rPr>
          <w:sz w:val="20"/>
          <w:szCs w:val="20"/>
          <w:lang w:val="en-US"/>
        </w:rPr>
        <w:t>ACQ</w:t>
      </w:r>
      <w:r w:rsidR="00F03B28" w:rsidRPr="00160CDE">
        <w:rPr>
          <w:sz w:val="20"/>
          <w:szCs w:val="20"/>
          <w:lang w:val="en-US"/>
        </w:rPr>
        <w:t>-6</w:t>
      </w:r>
      <w:r w:rsidR="00E41E18">
        <w:rPr>
          <w:sz w:val="20"/>
          <w:szCs w:val="20"/>
          <w:lang w:val="en-US"/>
        </w:rPr>
        <w:t xml:space="preserve">, </w:t>
      </w:r>
      <w:r w:rsidR="008D3A3C" w:rsidRPr="00160CDE">
        <w:rPr>
          <w:sz w:val="20"/>
          <w:szCs w:val="20"/>
          <w:lang w:val="en-US"/>
        </w:rPr>
        <w:t>Asthma Control Questionnaire</w:t>
      </w:r>
      <w:r w:rsidR="00F03B28" w:rsidRPr="00160CDE">
        <w:rPr>
          <w:sz w:val="20"/>
          <w:szCs w:val="20"/>
          <w:lang w:val="en-US"/>
        </w:rPr>
        <w:t xml:space="preserve"> </w:t>
      </w:r>
      <w:r w:rsidR="00F759CA" w:rsidRPr="00160CDE">
        <w:rPr>
          <w:sz w:val="20"/>
          <w:szCs w:val="20"/>
          <w:lang w:val="en-US"/>
        </w:rPr>
        <w:t>6</w:t>
      </w:r>
      <w:r w:rsidR="00E41E18">
        <w:rPr>
          <w:sz w:val="20"/>
          <w:szCs w:val="20"/>
          <w:lang w:val="en-US"/>
        </w:rPr>
        <w:t>;</w:t>
      </w:r>
      <w:r w:rsidR="008D3A3C" w:rsidRPr="00160CDE">
        <w:rPr>
          <w:sz w:val="20"/>
          <w:szCs w:val="20"/>
          <w:lang w:val="en-US"/>
        </w:rPr>
        <w:t xml:space="preserve"> </w:t>
      </w:r>
      <w:r w:rsidR="00F759CA" w:rsidRPr="00160CDE">
        <w:rPr>
          <w:sz w:val="20"/>
          <w:szCs w:val="20"/>
          <w:lang w:val="en-US"/>
        </w:rPr>
        <w:t>BD</w:t>
      </w:r>
      <w:r w:rsidR="00E41E18">
        <w:rPr>
          <w:sz w:val="20"/>
          <w:szCs w:val="20"/>
          <w:lang w:val="en-US"/>
        </w:rPr>
        <w:t xml:space="preserve">, </w:t>
      </w:r>
      <w:r w:rsidR="00F759CA" w:rsidRPr="00160CDE">
        <w:rPr>
          <w:sz w:val="20"/>
          <w:szCs w:val="20"/>
          <w:lang w:val="en-US"/>
        </w:rPr>
        <w:t>bronchodilator</w:t>
      </w:r>
      <w:r w:rsidR="00E41E18">
        <w:rPr>
          <w:sz w:val="20"/>
          <w:szCs w:val="20"/>
          <w:lang w:val="en-US"/>
        </w:rPr>
        <w:t>;</w:t>
      </w:r>
      <w:r w:rsidR="00F759CA" w:rsidRPr="00160CDE">
        <w:rPr>
          <w:sz w:val="20"/>
          <w:szCs w:val="20"/>
          <w:lang w:val="en-US"/>
        </w:rPr>
        <w:t xml:space="preserve"> </w:t>
      </w:r>
      <w:r w:rsidR="008D3A3C" w:rsidRPr="00160CDE">
        <w:rPr>
          <w:sz w:val="20"/>
          <w:szCs w:val="20"/>
          <w:lang w:val="en-US"/>
        </w:rPr>
        <w:t>BL</w:t>
      </w:r>
      <w:r w:rsidR="00E41E18">
        <w:rPr>
          <w:sz w:val="20"/>
          <w:szCs w:val="20"/>
          <w:lang w:val="en-US"/>
        </w:rPr>
        <w:t xml:space="preserve">, </w:t>
      </w:r>
      <w:r w:rsidR="008D3A3C" w:rsidRPr="00160CDE">
        <w:rPr>
          <w:sz w:val="20"/>
          <w:szCs w:val="20"/>
          <w:lang w:val="en-US"/>
        </w:rPr>
        <w:t>baseline</w:t>
      </w:r>
      <w:r w:rsidR="00E41E18">
        <w:rPr>
          <w:sz w:val="20"/>
          <w:szCs w:val="20"/>
          <w:lang w:val="en-US"/>
        </w:rPr>
        <w:t>;</w:t>
      </w:r>
      <w:r w:rsidR="008D3A3C" w:rsidRPr="00160CDE">
        <w:rPr>
          <w:sz w:val="20"/>
          <w:szCs w:val="20"/>
          <w:lang w:val="en-US"/>
        </w:rPr>
        <w:t xml:space="preserve"> FEV</w:t>
      </w:r>
      <w:r w:rsidR="008D3A3C" w:rsidRPr="00160CDE">
        <w:rPr>
          <w:sz w:val="20"/>
          <w:szCs w:val="20"/>
          <w:vertAlign w:val="subscript"/>
          <w:lang w:val="en-US"/>
        </w:rPr>
        <w:t>1</w:t>
      </w:r>
      <w:r w:rsidR="00E41E18">
        <w:rPr>
          <w:sz w:val="20"/>
          <w:szCs w:val="20"/>
          <w:lang w:val="en-US"/>
        </w:rPr>
        <w:t xml:space="preserve">, </w:t>
      </w:r>
      <w:r w:rsidR="008D3A3C" w:rsidRPr="00160CDE">
        <w:rPr>
          <w:sz w:val="20"/>
          <w:szCs w:val="20"/>
          <w:lang w:val="en-US"/>
        </w:rPr>
        <w:t>forced exploratory volume in 1 second</w:t>
      </w:r>
      <w:r w:rsidR="00E41E18">
        <w:rPr>
          <w:sz w:val="20"/>
          <w:szCs w:val="20"/>
          <w:lang w:val="en-US"/>
        </w:rPr>
        <w:t>;</w:t>
      </w:r>
      <w:r w:rsidR="008D3A3C" w:rsidRPr="00160CDE">
        <w:rPr>
          <w:sz w:val="20"/>
          <w:szCs w:val="20"/>
          <w:lang w:val="en-US"/>
        </w:rPr>
        <w:t xml:space="preserve"> </w:t>
      </w:r>
      <w:r w:rsidR="00F03B28" w:rsidRPr="00160CDE">
        <w:rPr>
          <w:sz w:val="20"/>
          <w:szCs w:val="20"/>
          <w:lang w:val="en-US"/>
        </w:rPr>
        <w:t>SD</w:t>
      </w:r>
      <w:r w:rsidR="00E41E18">
        <w:rPr>
          <w:sz w:val="20"/>
          <w:szCs w:val="20"/>
          <w:lang w:val="en-US"/>
        </w:rPr>
        <w:t xml:space="preserve">, </w:t>
      </w:r>
      <w:r w:rsidR="00F03B28" w:rsidRPr="00160CDE">
        <w:rPr>
          <w:sz w:val="20"/>
          <w:szCs w:val="20"/>
          <w:lang w:val="en-US"/>
        </w:rPr>
        <w:t>standard deviation</w:t>
      </w:r>
      <w:r w:rsidR="00E41E18">
        <w:rPr>
          <w:sz w:val="20"/>
          <w:szCs w:val="20"/>
          <w:lang w:val="en-US"/>
        </w:rPr>
        <w:t>;</w:t>
      </w:r>
      <w:r w:rsidR="00F03B28" w:rsidRPr="00160CDE">
        <w:rPr>
          <w:sz w:val="20"/>
          <w:szCs w:val="20"/>
          <w:lang w:val="en-US"/>
        </w:rPr>
        <w:t xml:space="preserve"> </w:t>
      </w:r>
      <w:r w:rsidR="00F759CA" w:rsidRPr="00160CDE">
        <w:rPr>
          <w:sz w:val="20"/>
          <w:szCs w:val="20"/>
          <w:lang w:val="en-US"/>
        </w:rPr>
        <w:t>SGRQ</w:t>
      </w:r>
      <w:r w:rsidR="00E41E18">
        <w:rPr>
          <w:sz w:val="20"/>
          <w:szCs w:val="20"/>
          <w:lang w:val="en-US"/>
        </w:rPr>
        <w:t xml:space="preserve">, </w:t>
      </w:r>
      <w:r w:rsidR="00F759CA" w:rsidRPr="00160CDE">
        <w:rPr>
          <w:sz w:val="20"/>
          <w:szCs w:val="20"/>
          <w:lang w:val="en-US"/>
        </w:rPr>
        <w:t>St. George’s Respiratory Questionnaire</w:t>
      </w:r>
      <w:r w:rsidR="00805F49" w:rsidRPr="00160CDE">
        <w:rPr>
          <w:sz w:val="20"/>
          <w:szCs w:val="20"/>
          <w:lang w:val="en-US"/>
        </w:rPr>
        <w:t>.</w:t>
      </w:r>
    </w:p>
    <w:p w14:paraId="74D902CE" w14:textId="5240334E" w:rsidR="00BF5A1F" w:rsidRPr="00160CDE" w:rsidRDefault="00BF5A1F" w:rsidP="00BD1DAC">
      <w:pPr>
        <w:rPr>
          <w:lang w:val="en-US"/>
        </w:rPr>
      </w:pPr>
    </w:p>
    <w:p w14:paraId="278EAD17" w14:textId="77777777" w:rsidR="00BF5A1F" w:rsidRPr="00160CDE" w:rsidRDefault="00BF5A1F" w:rsidP="00BD1DAC">
      <w:pPr>
        <w:rPr>
          <w:noProof/>
          <w:lang w:val="en-US"/>
        </w:rPr>
      </w:pPr>
    </w:p>
    <w:sectPr w:rsidR="00BF5A1F" w:rsidRPr="00160CDE" w:rsidSect="00F7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D4525" w14:textId="77777777" w:rsidR="00437831" w:rsidRDefault="00437831" w:rsidP="00BD1DAC">
      <w:r>
        <w:separator/>
      </w:r>
    </w:p>
  </w:endnote>
  <w:endnote w:type="continuationSeparator" w:id="0">
    <w:p w14:paraId="318106C3" w14:textId="77777777" w:rsidR="00437831" w:rsidRDefault="00437831" w:rsidP="00BD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88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1765F" w14:textId="58E8C0C8" w:rsidR="008126A9" w:rsidRPr="00832A63" w:rsidRDefault="008126A9" w:rsidP="00A13974">
        <w:pPr>
          <w:pStyle w:val="Footer"/>
          <w:jc w:val="right"/>
        </w:pPr>
        <w:r w:rsidRPr="00832A63">
          <w:fldChar w:fldCharType="begin"/>
        </w:r>
        <w:r w:rsidRPr="00832A63">
          <w:instrText xml:space="preserve"> PAGE   \* MERGEFORMAT </w:instrText>
        </w:r>
        <w:r w:rsidRPr="00832A63">
          <w:fldChar w:fldCharType="separate"/>
        </w:r>
        <w:r w:rsidRPr="00832A63">
          <w:rPr>
            <w:noProof/>
          </w:rPr>
          <w:t>2</w:t>
        </w:r>
        <w:r w:rsidRPr="00832A63">
          <w:rPr>
            <w:noProof/>
          </w:rPr>
          <w:fldChar w:fldCharType="end"/>
        </w:r>
      </w:p>
    </w:sdtContent>
  </w:sdt>
  <w:p w14:paraId="1D413353" w14:textId="77777777" w:rsidR="008126A9" w:rsidRDefault="008126A9" w:rsidP="00BD1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4ACC" w14:textId="77777777" w:rsidR="00437831" w:rsidRDefault="00437831" w:rsidP="00BD1DAC">
      <w:r>
        <w:separator/>
      </w:r>
    </w:p>
  </w:footnote>
  <w:footnote w:type="continuationSeparator" w:id="0">
    <w:p w14:paraId="13941905" w14:textId="77777777" w:rsidR="00437831" w:rsidRDefault="00437831" w:rsidP="00BD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119"/>
    <w:multiLevelType w:val="hybridMultilevel"/>
    <w:tmpl w:val="5C7C68FE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C78"/>
    <w:multiLevelType w:val="hybridMultilevel"/>
    <w:tmpl w:val="4B2676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7FCA"/>
    <w:multiLevelType w:val="multilevel"/>
    <w:tmpl w:val="E0DA9E3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513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E173F"/>
    <w:multiLevelType w:val="hybridMultilevel"/>
    <w:tmpl w:val="0D2E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3E8"/>
    <w:multiLevelType w:val="hybridMultilevel"/>
    <w:tmpl w:val="8920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9759E"/>
    <w:multiLevelType w:val="hybridMultilevel"/>
    <w:tmpl w:val="B2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B7B1B"/>
    <w:multiLevelType w:val="hybridMultilevel"/>
    <w:tmpl w:val="3292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02361"/>
    <w:multiLevelType w:val="hybridMultilevel"/>
    <w:tmpl w:val="DB76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4B32"/>
    <w:multiLevelType w:val="hybridMultilevel"/>
    <w:tmpl w:val="1804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60595"/>
    <w:multiLevelType w:val="hybridMultilevel"/>
    <w:tmpl w:val="060403D0"/>
    <w:lvl w:ilvl="0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686725"/>
    <w:multiLevelType w:val="hybridMultilevel"/>
    <w:tmpl w:val="20AC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04CC"/>
    <w:multiLevelType w:val="multilevel"/>
    <w:tmpl w:val="15C81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7382F"/>
    <w:multiLevelType w:val="hybridMultilevel"/>
    <w:tmpl w:val="59B00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A0263"/>
    <w:multiLevelType w:val="hybridMultilevel"/>
    <w:tmpl w:val="8BE8C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C7F3B"/>
    <w:multiLevelType w:val="hybridMultilevel"/>
    <w:tmpl w:val="7FE87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40DD5"/>
    <w:multiLevelType w:val="hybridMultilevel"/>
    <w:tmpl w:val="C60A2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B6492"/>
    <w:multiLevelType w:val="hybridMultilevel"/>
    <w:tmpl w:val="4AD8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C2A4B"/>
    <w:multiLevelType w:val="hybridMultilevel"/>
    <w:tmpl w:val="7D5CCAFC"/>
    <w:lvl w:ilvl="0" w:tplc="3014D8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D65AE"/>
    <w:multiLevelType w:val="hybridMultilevel"/>
    <w:tmpl w:val="45820640"/>
    <w:lvl w:ilvl="0" w:tplc="3014D8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1F31"/>
    <w:multiLevelType w:val="hybridMultilevel"/>
    <w:tmpl w:val="0E60B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4EF2E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A7012D"/>
    <w:multiLevelType w:val="hybridMultilevel"/>
    <w:tmpl w:val="9B74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821A6"/>
    <w:multiLevelType w:val="multilevel"/>
    <w:tmpl w:val="15C81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A1552"/>
    <w:multiLevelType w:val="hybridMultilevel"/>
    <w:tmpl w:val="8B3C1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A56AB"/>
    <w:multiLevelType w:val="hybridMultilevel"/>
    <w:tmpl w:val="1A907430"/>
    <w:lvl w:ilvl="0" w:tplc="BAD4EF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133D"/>
    <w:multiLevelType w:val="hybridMultilevel"/>
    <w:tmpl w:val="024A1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B0E0A"/>
    <w:multiLevelType w:val="hybridMultilevel"/>
    <w:tmpl w:val="8408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128"/>
    <w:multiLevelType w:val="hybridMultilevel"/>
    <w:tmpl w:val="E0162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A5314"/>
    <w:multiLevelType w:val="hybridMultilevel"/>
    <w:tmpl w:val="4426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A5EA5"/>
    <w:multiLevelType w:val="hybridMultilevel"/>
    <w:tmpl w:val="F3B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3182E"/>
    <w:multiLevelType w:val="hybridMultilevel"/>
    <w:tmpl w:val="8B5A6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CD03A0"/>
    <w:multiLevelType w:val="hybridMultilevel"/>
    <w:tmpl w:val="8DD81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C6A7B"/>
    <w:multiLevelType w:val="hybridMultilevel"/>
    <w:tmpl w:val="A07C4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90B6B"/>
    <w:multiLevelType w:val="hybridMultilevel"/>
    <w:tmpl w:val="0D56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B4BBF"/>
    <w:multiLevelType w:val="multilevel"/>
    <w:tmpl w:val="4D0AD0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CF2A67"/>
    <w:multiLevelType w:val="hybridMultilevel"/>
    <w:tmpl w:val="BDE8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05321"/>
    <w:multiLevelType w:val="hybridMultilevel"/>
    <w:tmpl w:val="92264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EF2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875BB"/>
    <w:multiLevelType w:val="multilevel"/>
    <w:tmpl w:val="15C81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E78EB"/>
    <w:multiLevelType w:val="hybridMultilevel"/>
    <w:tmpl w:val="67D0F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4E4203"/>
    <w:multiLevelType w:val="hybridMultilevel"/>
    <w:tmpl w:val="72A6BCD8"/>
    <w:lvl w:ilvl="0" w:tplc="3014D8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761F4"/>
    <w:multiLevelType w:val="hybridMultilevel"/>
    <w:tmpl w:val="E370D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F351D2"/>
    <w:multiLevelType w:val="hybridMultilevel"/>
    <w:tmpl w:val="5A26F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C5602"/>
    <w:multiLevelType w:val="hybridMultilevel"/>
    <w:tmpl w:val="81F0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312B2"/>
    <w:multiLevelType w:val="hybridMultilevel"/>
    <w:tmpl w:val="DD3A8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14D87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61510"/>
    <w:multiLevelType w:val="hybridMultilevel"/>
    <w:tmpl w:val="65780B4A"/>
    <w:lvl w:ilvl="0" w:tplc="3014D87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014D874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36"/>
  </w:num>
  <w:num w:numId="4">
    <w:abstractNumId w:val="21"/>
  </w:num>
  <w:num w:numId="5">
    <w:abstractNumId w:val="9"/>
  </w:num>
  <w:num w:numId="6">
    <w:abstractNumId w:val="11"/>
  </w:num>
  <w:num w:numId="7">
    <w:abstractNumId w:val="39"/>
  </w:num>
  <w:num w:numId="8">
    <w:abstractNumId w:val="19"/>
  </w:num>
  <w:num w:numId="9">
    <w:abstractNumId w:val="13"/>
  </w:num>
  <w:num w:numId="10">
    <w:abstractNumId w:val="42"/>
  </w:num>
  <w:num w:numId="11">
    <w:abstractNumId w:val="29"/>
  </w:num>
  <w:num w:numId="12">
    <w:abstractNumId w:val="5"/>
  </w:num>
  <w:num w:numId="13">
    <w:abstractNumId w:val="23"/>
  </w:num>
  <w:num w:numId="14">
    <w:abstractNumId w:val="28"/>
  </w:num>
  <w:num w:numId="15">
    <w:abstractNumId w:val="35"/>
  </w:num>
  <w:num w:numId="16">
    <w:abstractNumId w:val="22"/>
  </w:num>
  <w:num w:numId="17">
    <w:abstractNumId w:val="24"/>
  </w:num>
  <w:num w:numId="18">
    <w:abstractNumId w:val="2"/>
  </w:num>
  <w:num w:numId="19">
    <w:abstractNumId w:val="30"/>
  </w:num>
  <w:num w:numId="20">
    <w:abstractNumId w:val="17"/>
  </w:num>
  <w:num w:numId="21">
    <w:abstractNumId w:val="15"/>
  </w:num>
  <w:num w:numId="22">
    <w:abstractNumId w:val="43"/>
  </w:num>
  <w:num w:numId="23">
    <w:abstractNumId w:val="18"/>
  </w:num>
  <w:num w:numId="24">
    <w:abstractNumId w:val="16"/>
  </w:num>
  <w:num w:numId="25">
    <w:abstractNumId w:val="32"/>
  </w:num>
  <w:num w:numId="26">
    <w:abstractNumId w:val="4"/>
  </w:num>
  <w:num w:numId="27">
    <w:abstractNumId w:val="33"/>
  </w:num>
  <w:num w:numId="28">
    <w:abstractNumId w:val="8"/>
  </w:num>
  <w:num w:numId="29">
    <w:abstractNumId w:val="10"/>
  </w:num>
  <w:num w:numId="30">
    <w:abstractNumId w:val="41"/>
  </w:num>
  <w:num w:numId="31">
    <w:abstractNumId w:val="38"/>
  </w:num>
  <w:num w:numId="32">
    <w:abstractNumId w:val="31"/>
  </w:num>
  <w:num w:numId="33">
    <w:abstractNumId w:val="34"/>
  </w:num>
  <w:num w:numId="34">
    <w:abstractNumId w:val="27"/>
  </w:num>
  <w:num w:numId="35">
    <w:abstractNumId w:val="2"/>
  </w:num>
  <w:num w:numId="36">
    <w:abstractNumId w:val="12"/>
  </w:num>
  <w:num w:numId="37">
    <w:abstractNumId w:val="14"/>
  </w:num>
  <w:num w:numId="38">
    <w:abstractNumId w:val="20"/>
  </w:num>
  <w:num w:numId="39">
    <w:abstractNumId w:val="40"/>
  </w:num>
  <w:num w:numId="40">
    <w:abstractNumId w:val="6"/>
  </w:num>
  <w:num w:numId="41">
    <w:abstractNumId w:val="26"/>
  </w:num>
  <w:num w:numId="42">
    <w:abstractNumId w:val="3"/>
  </w:num>
  <w:num w:numId="43">
    <w:abstractNumId w:val="7"/>
  </w:num>
  <w:num w:numId="44">
    <w:abstractNumId w:val="25"/>
  </w:num>
  <w:num w:numId="45">
    <w:abstractNumId w:val="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FF"/>
    <w:rsid w:val="00003903"/>
    <w:rsid w:val="00005C12"/>
    <w:rsid w:val="000109DE"/>
    <w:rsid w:val="00011960"/>
    <w:rsid w:val="00012745"/>
    <w:rsid w:val="00017946"/>
    <w:rsid w:val="00020E82"/>
    <w:rsid w:val="00022F71"/>
    <w:rsid w:val="00024A73"/>
    <w:rsid w:val="00027D6F"/>
    <w:rsid w:val="00030B2F"/>
    <w:rsid w:val="00030BF3"/>
    <w:rsid w:val="0003485B"/>
    <w:rsid w:val="000354A3"/>
    <w:rsid w:val="000456C0"/>
    <w:rsid w:val="000475E6"/>
    <w:rsid w:val="00050ADB"/>
    <w:rsid w:val="00050FA6"/>
    <w:rsid w:val="00053A2D"/>
    <w:rsid w:val="00053EB3"/>
    <w:rsid w:val="0005476F"/>
    <w:rsid w:val="00054D83"/>
    <w:rsid w:val="00056AAB"/>
    <w:rsid w:val="000617EC"/>
    <w:rsid w:val="00064209"/>
    <w:rsid w:val="000651AC"/>
    <w:rsid w:val="00065805"/>
    <w:rsid w:val="00065EB8"/>
    <w:rsid w:val="00066506"/>
    <w:rsid w:val="000705EA"/>
    <w:rsid w:val="000722D5"/>
    <w:rsid w:val="000730C2"/>
    <w:rsid w:val="0007556C"/>
    <w:rsid w:val="00075578"/>
    <w:rsid w:val="00077DB9"/>
    <w:rsid w:val="00081DC2"/>
    <w:rsid w:val="000820D5"/>
    <w:rsid w:val="00082885"/>
    <w:rsid w:val="00084E51"/>
    <w:rsid w:val="00090D18"/>
    <w:rsid w:val="00091472"/>
    <w:rsid w:val="00093CFD"/>
    <w:rsid w:val="00095331"/>
    <w:rsid w:val="0009582A"/>
    <w:rsid w:val="00095C57"/>
    <w:rsid w:val="000967E3"/>
    <w:rsid w:val="00096BCD"/>
    <w:rsid w:val="000975D2"/>
    <w:rsid w:val="000A0884"/>
    <w:rsid w:val="000A108C"/>
    <w:rsid w:val="000A60E2"/>
    <w:rsid w:val="000A763E"/>
    <w:rsid w:val="000A7C44"/>
    <w:rsid w:val="000B2BA7"/>
    <w:rsid w:val="000B3E54"/>
    <w:rsid w:val="000B5B66"/>
    <w:rsid w:val="000C0E0A"/>
    <w:rsid w:val="000C2B90"/>
    <w:rsid w:val="000C3CE1"/>
    <w:rsid w:val="000C4793"/>
    <w:rsid w:val="000C49CF"/>
    <w:rsid w:val="000D0896"/>
    <w:rsid w:val="000D1D2F"/>
    <w:rsid w:val="000D2220"/>
    <w:rsid w:val="000D2250"/>
    <w:rsid w:val="000D4790"/>
    <w:rsid w:val="000D518A"/>
    <w:rsid w:val="000D7B33"/>
    <w:rsid w:val="000E010D"/>
    <w:rsid w:val="000E05B6"/>
    <w:rsid w:val="000E176C"/>
    <w:rsid w:val="000E5519"/>
    <w:rsid w:val="000E7344"/>
    <w:rsid w:val="000E7E30"/>
    <w:rsid w:val="000F18C7"/>
    <w:rsid w:val="000F5711"/>
    <w:rsid w:val="000F5924"/>
    <w:rsid w:val="000F717A"/>
    <w:rsid w:val="0010021E"/>
    <w:rsid w:val="0010108C"/>
    <w:rsid w:val="0010205C"/>
    <w:rsid w:val="00102157"/>
    <w:rsid w:val="0010259C"/>
    <w:rsid w:val="00103C29"/>
    <w:rsid w:val="00103CAD"/>
    <w:rsid w:val="001047C4"/>
    <w:rsid w:val="00105344"/>
    <w:rsid w:val="00105AA6"/>
    <w:rsid w:val="00106C96"/>
    <w:rsid w:val="0010726C"/>
    <w:rsid w:val="001104C3"/>
    <w:rsid w:val="0011086A"/>
    <w:rsid w:val="001121BD"/>
    <w:rsid w:val="00113A32"/>
    <w:rsid w:val="00114813"/>
    <w:rsid w:val="00116C5D"/>
    <w:rsid w:val="001211A9"/>
    <w:rsid w:val="00123EC7"/>
    <w:rsid w:val="00123FE7"/>
    <w:rsid w:val="00126E27"/>
    <w:rsid w:val="001301A9"/>
    <w:rsid w:val="001307DF"/>
    <w:rsid w:val="001353DD"/>
    <w:rsid w:val="00135C99"/>
    <w:rsid w:val="00136D1D"/>
    <w:rsid w:val="00142105"/>
    <w:rsid w:val="00142C48"/>
    <w:rsid w:val="00143434"/>
    <w:rsid w:val="00145C21"/>
    <w:rsid w:val="001460ED"/>
    <w:rsid w:val="0014695F"/>
    <w:rsid w:val="00147AD9"/>
    <w:rsid w:val="00152610"/>
    <w:rsid w:val="00152E72"/>
    <w:rsid w:val="001535B5"/>
    <w:rsid w:val="00153EA6"/>
    <w:rsid w:val="001562D5"/>
    <w:rsid w:val="0015747A"/>
    <w:rsid w:val="0016034E"/>
    <w:rsid w:val="00160CDE"/>
    <w:rsid w:val="00163C7E"/>
    <w:rsid w:val="00166073"/>
    <w:rsid w:val="00170A12"/>
    <w:rsid w:val="00170D0F"/>
    <w:rsid w:val="001729A3"/>
    <w:rsid w:val="0017380E"/>
    <w:rsid w:val="00177A08"/>
    <w:rsid w:val="00180127"/>
    <w:rsid w:val="00180463"/>
    <w:rsid w:val="00180DAD"/>
    <w:rsid w:val="001813BC"/>
    <w:rsid w:val="00184DD5"/>
    <w:rsid w:val="00185488"/>
    <w:rsid w:val="001920CD"/>
    <w:rsid w:val="00193CF7"/>
    <w:rsid w:val="0019411B"/>
    <w:rsid w:val="00194A5A"/>
    <w:rsid w:val="00196BE1"/>
    <w:rsid w:val="001A056C"/>
    <w:rsid w:val="001A133C"/>
    <w:rsid w:val="001A13D5"/>
    <w:rsid w:val="001A177C"/>
    <w:rsid w:val="001A370A"/>
    <w:rsid w:val="001A5F03"/>
    <w:rsid w:val="001A74E5"/>
    <w:rsid w:val="001B3311"/>
    <w:rsid w:val="001B44F2"/>
    <w:rsid w:val="001B474F"/>
    <w:rsid w:val="001B49A8"/>
    <w:rsid w:val="001B7195"/>
    <w:rsid w:val="001C173B"/>
    <w:rsid w:val="001C499F"/>
    <w:rsid w:val="001C73FD"/>
    <w:rsid w:val="001C7928"/>
    <w:rsid w:val="001D04FD"/>
    <w:rsid w:val="001D1073"/>
    <w:rsid w:val="001D10D6"/>
    <w:rsid w:val="001D13C8"/>
    <w:rsid w:val="001D33BB"/>
    <w:rsid w:val="001D4651"/>
    <w:rsid w:val="001D50BD"/>
    <w:rsid w:val="001D5C82"/>
    <w:rsid w:val="001D5E24"/>
    <w:rsid w:val="001D73F3"/>
    <w:rsid w:val="001E0454"/>
    <w:rsid w:val="001E19D6"/>
    <w:rsid w:val="001E2636"/>
    <w:rsid w:val="001E3F40"/>
    <w:rsid w:val="001E68B9"/>
    <w:rsid w:val="001E6B60"/>
    <w:rsid w:val="001E7425"/>
    <w:rsid w:val="001F243E"/>
    <w:rsid w:val="001F59B6"/>
    <w:rsid w:val="001F5EEB"/>
    <w:rsid w:val="001F63E7"/>
    <w:rsid w:val="001F69B0"/>
    <w:rsid w:val="001F6B77"/>
    <w:rsid w:val="001F6EAA"/>
    <w:rsid w:val="001F738F"/>
    <w:rsid w:val="00202105"/>
    <w:rsid w:val="0020443E"/>
    <w:rsid w:val="00204A00"/>
    <w:rsid w:val="00205FBC"/>
    <w:rsid w:val="002102DA"/>
    <w:rsid w:val="00210919"/>
    <w:rsid w:val="00210BE5"/>
    <w:rsid w:val="00211465"/>
    <w:rsid w:val="00211A93"/>
    <w:rsid w:val="00213912"/>
    <w:rsid w:val="00215818"/>
    <w:rsid w:val="0021627F"/>
    <w:rsid w:val="002168AD"/>
    <w:rsid w:val="00216B02"/>
    <w:rsid w:val="00223E71"/>
    <w:rsid w:val="002258AB"/>
    <w:rsid w:val="00227B44"/>
    <w:rsid w:val="00231899"/>
    <w:rsid w:val="002322ED"/>
    <w:rsid w:val="00234905"/>
    <w:rsid w:val="002365BC"/>
    <w:rsid w:val="00237993"/>
    <w:rsid w:val="00237F69"/>
    <w:rsid w:val="002410D3"/>
    <w:rsid w:val="00244E9B"/>
    <w:rsid w:val="00247FBC"/>
    <w:rsid w:val="00252EC2"/>
    <w:rsid w:val="00256416"/>
    <w:rsid w:val="002569CD"/>
    <w:rsid w:val="00263663"/>
    <w:rsid w:val="002647DC"/>
    <w:rsid w:val="002661A0"/>
    <w:rsid w:val="00266625"/>
    <w:rsid w:val="00266CD7"/>
    <w:rsid w:val="002710E6"/>
    <w:rsid w:val="00272827"/>
    <w:rsid w:val="00274D03"/>
    <w:rsid w:val="002759C5"/>
    <w:rsid w:val="00280812"/>
    <w:rsid w:val="002808FD"/>
    <w:rsid w:val="0028282D"/>
    <w:rsid w:val="00286C5A"/>
    <w:rsid w:val="00291B85"/>
    <w:rsid w:val="0029552E"/>
    <w:rsid w:val="00296D12"/>
    <w:rsid w:val="00296E3A"/>
    <w:rsid w:val="002A3977"/>
    <w:rsid w:val="002A5CCD"/>
    <w:rsid w:val="002B08B2"/>
    <w:rsid w:val="002B0EC2"/>
    <w:rsid w:val="002B2D75"/>
    <w:rsid w:val="002B66F0"/>
    <w:rsid w:val="002B7770"/>
    <w:rsid w:val="002C16C0"/>
    <w:rsid w:val="002C2398"/>
    <w:rsid w:val="002C283B"/>
    <w:rsid w:val="002C28AE"/>
    <w:rsid w:val="002C2AF8"/>
    <w:rsid w:val="002C2B9A"/>
    <w:rsid w:val="002C2E28"/>
    <w:rsid w:val="002C457C"/>
    <w:rsid w:val="002C500F"/>
    <w:rsid w:val="002C50C1"/>
    <w:rsid w:val="002C77DA"/>
    <w:rsid w:val="002D2A2E"/>
    <w:rsid w:val="002D45DA"/>
    <w:rsid w:val="002D48F4"/>
    <w:rsid w:val="002D4EF9"/>
    <w:rsid w:val="002D607C"/>
    <w:rsid w:val="002D63FB"/>
    <w:rsid w:val="002D75E8"/>
    <w:rsid w:val="002D75E9"/>
    <w:rsid w:val="002E0DD2"/>
    <w:rsid w:val="002E290D"/>
    <w:rsid w:val="002E3650"/>
    <w:rsid w:val="002E3D3A"/>
    <w:rsid w:val="002E5014"/>
    <w:rsid w:val="002E52AC"/>
    <w:rsid w:val="002F1041"/>
    <w:rsid w:val="002F6DCA"/>
    <w:rsid w:val="002F71E2"/>
    <w:rsid w:val="00312356"/>
    <w:rsid w:val="00313BCB"/>
    <w:rsid w:val="00316933"/>
    <w:rsid w:val="00316D25"/>
    <w:rsid w:val="0031780C"/>
    <w:rsid w:val="00321A86"/>
    <w:rsid w:val="00322D73"/>
    <w:rsid w:val="00323701"/>
    <w:rsid w:val="003302D6"/>
    <w:rsid w:val="00331312"/>
    <w:rsid w:val="00334C42"/>
    <w:rsid w:val="00336CBC"/>
    <w:rsid w:val="00337537"/>
    <w:rsid w:val="00342DDB"/>
    <w:rsid w:val="00343F11"/>
    <w:rsid w:val="00344374"/>
    <w:rsid w:val="00344C2D"/>
    <w:rsid w:val="003452BA"/>
    <w:rsid w:val="00345369"/>
    <w:rsid w:val="00347C80"/>
    <w:rsid w:val="00350917"/>
    <w:rsid w:val="00350FA9"/>
    <w:rsid w:val="00352E35"/>
    <w:rsid w:val="00354237"/>
    <w:rsid w:val="00354A31"/>
    <w:rsid w:val="003560E3"/>
    <w:rsid w:val="0035652C"/>
    <w:rsid w:val="003567A0"/>
    <w:rsid w:val="003635E2"/>
    <w:rsid w:val="00363D0E"/>
    <w:rsid w:val="00365CDA"/>
    <w:rsid w:val="0037192D"/>
    <w:rsid w:val="00373046"/>
    <w:rsid w:val="003755EF"/>
    <w:rsid w:val="00380178"/>
    <w:rsid w:val="00380E65"/>
    <w:rsid w:val="0038180A"/>
    <w:rsid w:val="003834CF"/>
    <w:rsid w:val="003839AD"/>
    <w:rsid w:val="003839D8"/>
    <w:rsid w:val="00383BF3"/>
    <w:rsid w:val="0038526C"/>
    <w:rsid w:val="00385FB9"/>
    <w:rsid w:val="003875EE"/>
    <w:rsid w:val="00390471"/>
    <w:rsid w:val="003911E3"/>
    <w:rsid w:val="00391C45"/>
    <w:rsid w:val="00392CE3"/>
    <w:rsid w:val="00393D7C"/>
    <w:rsid w:val="003969FA"/>
    <w:rsid w:val="003A2577"/>
    <w:rsid w:val="003A6A73"/>
    <w:rsid w:val="003B04A8"/>
    <w:rsid w:val="003B5A32"/>
    <w:rsid w:val="003B5A38"/>
    <w:rsid w:val="003B5F1F"/>
    <w:rsid w:val="003B63CF"/>
    <w:rsid w:val="003B643F"/>
    <w:rsid w:val="003B69DA"/>
    <w:rsid w:val="003B7B7F"/>
    <w:rsid w:val="003C1E1C"/>
    <w:rsid w:val="003C226D"/>
    <w:rsid w:val="003C3549"/>
    <w:rsid w:val="003C3AF0"/>
    <w:rsid w:val="003C4459"/>
    <w:rsid w:val="003C5048"/>
    <w:rsid w:val="003C64E4"/>
    <w:rsid w:val="003C6735"/>
    <w:rsid w:val="003D33C3"/>
    <w:rsid w:val="003D61E0"/>
    <w:rsid w:val="003D6CD4"/>
    <w:rsid w:val="003D7FCA"/>
    <w:rsid w:val="003E0A27"/>
    <w:rsid w:val="003E35BF"/>
    <w:rsid w:val="003E3EC0"/>
    <w:rsid w:val="003E628A"/>
    <w:rsid w:val="003E6CDC"/>
    <w:rsid w:val="003F31A0"/>
    <w:rsid w:val="003F5172"/>
    <w:rsid w:val="003F5F67"/>
    <w:rsid w:val="003F616C"/>
    <w:rsid w:val="003F6F8E"/>
    <w:rsid w:val="004011F3"/>
    <w:rsid w:val="00404F22"/>
    <w:rsid w:val="00405188"/>
    <w:rsid w:val="00405A89"/>
    <w:rsid w:val="0041192D"/>
    <w:rsid w:val="00413D88"/>
    <w:rsid w:val="004172F7"/>
    <w:rsid w:val="00420E7B"/>
    <w:rsid w:val="004240A3"/>
    <w:rsid w:val="004303DE"/>
    <w:rsid w:val="004319E4"/>
    <w:rsid w:val="004322E4"/>
    <w:rsid w:val="0043260E"/>
    <w:rsid w:val="004338FD"/>
    <w:rsid w:val="004366F8"/>
    <w:rsid w:val="00437831"/>
    <w:rsid w:val="004379D2"/>
    <w:rsid w:val="0044150F"/>
    <w:rsid w:val="00444A95"/>
    <w:rsid w:val="00445120"/>
    <w:rsid w:val="004474F0"/>
    <w:rsid w:val="00450191"/>
    <w:rsid w:val="004513EB"/>
    <w:rsid w:val="00453431"/>
    <w:rsid w:val="004540E9"/>
    <w:rsid w:val="004545C9"/>
    <w:rsid w:val="004612EB"/>
    <w:rsid w:val="004627DF"/>
    <w:rsid w:val="004638A8"/>
    <w:rsid w:val="004647A5"/>
    <w:rsid w:val="00464DEB"/>
    <w:rsid w:val="00465313"/>
    <w:rsid w:val="00471AB8"/>
    <w:rsid w:val="00472BCD"/>
    <w:rsid w:val="004741C2"/>
    <w:rsid w:val="00474390"/>
    <w:rsid w:val="00475BC2"/>
    <w:rsid w:val="00482AF2"/>
    <w:rsid w:val="00484087"/>
    <w:rsid w:val="00484A81"/>
    <w:rsid w:val="00485245"/>
    <w:rsid w:val="00485C3A"/>
    <w:rsid w:val="0049031D"/>
    <w:rsid w:val="0049153E"/>
    <w:rsid w:val="00494755"/>
    <w:rsid w:val="004972DC"/>
    <w:rsid w:val="004A147B"/>
    <w:rsid w:val="004A3244"/>
    <w:rsid w:val="004A4531"/>
    <w:rsid w:val="004A55D7"/>
    <w:rsid w:val="004A7EEF"/>
    <w:rsid w:val="004B1497"/>
    <w:rsid w:val="004B1FFD"/>
    <w:rsid w:val="004B2478"/>
    <w:rsid w:val="004B2D8F"/>
    <w:rsid w:val="004B3FB6"/>
    <w:rsid w:val="004B4798"/>
    <w:rsid w:val="004B5B4A"/>
    <w:rsid w:val="004B67B6"/>
    <w:rsid w:val="004C07FC"/>
    <w:rsid w:val="004C322D"/>
    <w:rsid w:val="004C65EE"/>
    <w:rsid w:val="004C6681"/>
    <w:rsid w:val="004C78ED"/>
    <w:rsid w:val="004D10CE"/>
    <w:rsid w:val="004D474A"/>
    <w:rsid w:val="004D54BF"/>
    <w:rsid w:val="004D78FA"/>
    <w:rsid w:val="004E2F09"/>
    <w:rsid w:val="004E30F0"/>
    <w:rsid w:val="004E4365"/>
    <w:rsid w:val="004E46C9"/>
    <w:rsid w:val="004E4813"/>
    <w:rsid w:val="004E591E"/>
    <w:rsid w:val="004E670B"/>
    <w:rsid w:val="004F02BD"/>
    <w:rsid w:val="004F0A54"/>
    <w:rsid w:val="004F0B17"/>
    <w:rsid w:val="004F1E9C"/>
    <w:rsid w:val="004F4277"/>
    <w:rsid w:val="004F6E41"/>
    <w:rsid w:val="00500410"/>
    <w:rsid w:val="00501306"/>
    <w:rsid w:val="00501B71"/>
    <w:rsid w:val="0051040C"/>
    <w:rsid w:val="005136E2"/>
    <w:rsid w:val="00513F12"/>
    <w:rsid w:val="00515BAB"/>
    <w:rsid w:val="00520F95"/>
    <w:rsid w:val="00521802"/>
    <w:rsid w:val="00521841"/>
    <w:rsid w:val="005218DB"/>
    <w:rsid w:val="00524880"/>
    <w:rsid w:val="00525999"/>
    <w:rsid w:val="00526D21"/>
    <w:rsid w:val="005276A0"/>
    <w:rsid w:val="0053002B"/>
    <w:rsid w:val="00531395"/>
    <w:rsid w:val="005318E1"/>
    <w:rsid w:val="005340CC"/>
    <w:rsid w:val="00535E26"/>
    <w:rsid w:val="00536297"/>
    <w:rsid w:val="005414E7"/>
    <w:rsid w:val="00545564"/>
    <w:rsid w:val="00546AE2"/>
    <w:rsid w:val="005530EA"/>
    <w:rsid w:val="0055336A"/>
    <w:rsid w:val="005549B2"/>
    <w:rsid w:val="00554FCE"/>
    <w:rsid w:val="00557478"/>
    <w:rsid w:val="00560DDA"/>
    <w:rsid w:val="005611F8"/>
    <w:rsid w:val="0056160D"/>
    <w:rsid w:val="00563B88"/>
    <w:rsid w:val="005642F6"/>
    <w:rsid w:val="0056486A"/>
    <w:rsid w:val="00564C0D"/>
    <w:rsid w:val="005667F7"/>
    <w:rsid w:val="005709C9"/>
    <w:rsid w:val="00572817"/>
    <w:rsid w:val="005749B7"/>
    <w:rsid w:val="00577137"/>
    <w:rsid w:val="005835B1"/>
    <w:rsid w:val="00584000"/>
    <w:rsid w:val="00590D00"/>
    <w:rsid w:val="00590E34"/>
    <w:rsid w:val="005927F9"/>
    <w:rsid w:val="005928EB"/>
    <w:rsid w:val="00592B62"/>
    <w:rsid w:val="005944BF"/>
    <w:rsid w:val="005945D2"/>
    <w:rsid w:val="005950AB"/>
    <w:rsid w:val="00595938"/>
    <w:rsid w:val="00596E87"/>
    <w:rsid w:val="005A17F5"/>
    <w:rsid w:val="005A1A41"/>
    <w:rsid w:val="005A1C9C"/>
    <w:rsid w:val="005A5EF6"/>
    <w:rsid w:val="005A7385"/>
    <w:rsid w:val="005A7C86"/>
    <w:rsid w:val="005B034E"/>
    <w:rsid w:val="005B3074"/>
    <w:rsid w:val="005B4541"/>
    <w:rsid w:val="005B51F1"/>
    <w:rsid w:val="005B62F5"/>
    <w:rsid w:val="005B7A12"/>
    <w:rsid w:val="005C3562"/>
    <w:rsid w:val="005C3A58"/>
    <w:rsid w:val="005C4BAC"/>
    <w:rsid w:val="005D064F"/>
    <w:rsid w:val="005D1727"/>
    <w:rsid w:val="005D49EA"/>
    <w:rsid w:val="005D4A3C"/>
    <w:rsid w:val="005D640D"/>
    <w:rsid w:val="005D6EBF"/>
    <w:rsid w:val="005D7866"/>
    <w:rsid w:val="005D7E51"/>
    <w:rsid w:val="005E13EF"/>
    <w:rsid w:val="005E35D9"/>
    <w:rsid w:val="005E39F4"/>
    <w:rsid w:val="005E4BA7"/>
    <w:rsid w:val="005E52DA"/>
    <w:rsid w:val="005E5B19"/>
    <w:rsid w:val="005E606A"/>
    <w:rsid w:val="005E66D6"/>
    <w:rsid w:val="005E7D1A"/>
    <w:rsid w:val="005F1B51"/>
    <w:rsid w:val="005F2ECE"/>
    <w:rsid w:val="005F5058"/>
    <w:rsid w:val="005F525F"/>
    <w:rsid w:val="005F7651"/>
    <w:rsid w:val="005F7C9A"/>
    <w:rsid w:val="0060004C"/>
    <w:rsid w:val="00600C17"/>
    <w:rsid w:val="00601A29"/>
    <w:rsid w:val="0060254D"/>
    <w:rsid w:val="00602B0E"/>
    <w:rsid w:val="006030B5"/>
    <w:rsid w:val="00603852"/>
    <w:rsid w:val="006039B4"/>
    <w:rsid w:val="00603C0F"/>
    <w:rsid w:val="00615982"/>
    <w:rsid w:val="006178B1"/>
    <w:rsid w:val="0062160C"/>
    <w:rsid w:val="0062247D"/>
    <w:rsid w:val="00623B77"/>
    <w:rsid w:val="00623BB4"/>
    <w:rsid w:val="00624264"/>
    <w:rsid w:val="006267D0"/>
    <w:rsid w:val="0063098F"/>
    <w:rsid w:val="00633877"/>
    <w:rsid w:val="00634567"/>
    <w:rsid w:val="006376E1"/>
    <w:rsid w:val="00640E7E"/>
    <w:rsid w:val="00640E89"/>
    <w:rsid w:val="0064109B"/>
    <w:rsid w:val="006476B1"/>
    <w:rsid w:val="00651561"/>
    <w:rsid w:val="006523BA"/>
    <w:rsid w:val="00652E56"/>
    <w:rsid w:val="00653A2E"/>
    <w:rsid w:val="006559BB"/>
    <w:rsid w:val="0065627F"/>
    <w:rsid w:val="006638E7"/>
    <w:rsid w:val="00665047"/>
    <w:rsid w:val="006656FA"/>
    <w:rsid w:val="0066576C"/>
    <w:rsid w:val="00665898"/>
    <w:rsid w:val="0066718C"/>
    <w:rsid w:val="00670087"/>
    <w:rsid w:val="006724AE"/>
    <w:rsid w:val="00672FBC"/>
    <w:rsid w:val="00674264"/>
    <w:rsid w:val="006745C7"/>
    <w:rsid w:val="006746FD"/>
    <w:rsid w:val="00674AAA"/>
    <w:rsid w:val="00675892"/>
    <w:rsid w:val="00676414"/>
    <w:rsid w:val="006767C1"/>
    <w:rsid w:val="006808E9"/>
    <w:rsid w:val="0068215E"/>
    <w:rsid w:val="0068653B"/>
    <w:rsid w:val="00686B36"/>
    <w:rsid w:val="00690DF6"/>
    <w:rsid w:val="00691A39"/>
    <w:rsid w:val="00691E3F"/>
    <w:rsid w:val="0069450E"/>
    <w:rsid w:val="006948EE"/>
    <w:rsid w:val="006A0374"/>
    <w:rsid w:val="006A045E"/>
    <w:rsid w:val="006A332C"/>
    <w:rsid w:val="006A7455"/>
    <w:rsid w:val="006B0256"/>
    <w:rsid w:val="006B32F5"/>
    <w:rsid w:val="006B3380"/>
    <w:rsid w:val="006B6D62"/>
    <w:rsid w:val="006B75A1"/>
    <w:rsid w:val="006C1C15"/>
    <w:rsid w:val="006C2A91"/>
    <w:rsid w:val="006C44B6"/>
    <w:rsid w:val="006C4746"/>
    <w:rsid w:val="006C5EF5"/>
    <w:rsid w:val="006D3387"/>
    <w:rsid w:val="006D607C"/>
    <w:rsid w:val="006D78ED"/>
    <w:rsid w:val="006E02E1"/>
    <w:rsid w:val="006E0CAA"/>
    <w:rsid w:val="006E0F57"/>
    <w:rsid w:val="006E1782"/>
    <w:rsid w:val="006E20F5"/>
    <w:rsid w:val="006E3A14"/>
    <w:rsid w:val="006E3C92"/>
    <w:rsid w:val="006E5C03"/>
    <w:rsid w:val="006E6655"/>
    <w:rsid w:val="006F1E0B"/>
    <w:rsid w:val="006F2F93"/>
    <w:rsid w:val="006F3C5C"/>
    <w:rsid w:val="006F4A61"/>
    <w:rsid w:val="006F4FAF"/>
    <w:rsid w:val="006F5042"/>
    <w:rsid w:val="006F5C0C"/>
    <w:rsid w:val="006F682B"/>
    <w:rsid w:val="006F6990"/>
    <w:rsid w:val="006F7A67"/>
    <w:rsid w:val="00701188"/>
    <w:rsid w:val="00703A4D"/>
    <w:rsid w:val="00704A5A"/>
    <w:rsid w:val="00714E93"/>
    <w:rsid w:val="00715A0D"/>
    <w:rsid w:val="00717B5F"/>
    <w:rsid w:val="00722C48"/>
    <w:rsid w:val="0072466B"/>
    <w:rsid w:val="00724AEA"/>
    <w:rsid w:val="00724F63"/>
    <w:rsid w:val="007253DD"/>
    <w:rsid w:val="007271D0"/>
    <w:rsid w:val="00727566"/>
    <w:rsid w:val="007300C1"/>
    <w:rsid w:val="0073177B"/>
    <w:rsid w:val="00731CBB"/>
    <w:rsid w:val="00732A02"/>
    <w:rsid w:val="007361AA"/>
    <w:rsid w:val="00737100"/>
    <w:rsid w:val="0074387E"/>
    <w:rsid w:val="007448BA"/>
    <w:rsid w:val="007450A0"/>
    <w:rsid w:val="0074533E"/>
    <w:rsid w:val="00746098"/>
    <w:rsid w:val="00747541"/>
    <w:rsid w:val="00747BCC"/>
    <w:rsid w:val="00747F06"/>
    <w:rsid w:val="007503C6"/>
    <w:rsid w:val="007511B5"/>
    <w:rsid w:val="0075301B"/>
    <w:rsid w:val="00753FFC"/>
    <w:rsid w:val="0075410A"/>
    <w:rsid w:val="0076241F"/>
    <w:rsid w:val="00762A1F"/>
    <w:rsid w:val="00763F0B"/>
    <w:rsid w:val="00765001"/>
    <w:rsid w:val="007662BE"/>
    <w:rsid w:val="007706FD"/>
    <w:rsid w:val="007724CF"/>
    <w:rsid w:val="007741DF"/>
    <w:rsid w:val="00775CDE"/>
    <w:rsid w:val="007764FD"/>
    <w:rsid w:val="00776980"/>
    <w:rsid w:val="0078141D"/>
    <w:rsid w:val="00781F52"/>
    <w:rsid w:val="00782B01"/>
    <w:rsid w:val="00785B83"/>
    <w:rsid w:val="007908AF"/>
    <w:rsid w:val="00792338"/>
    <w:rsid w:val="00794199"/>
    <w:rsid w:val="00794773"/>
    <w:rsid w:val="00797763"/>
    <w:rsid w:val="007A0CD6"/>
    <w:rsid w:val="007A1D43"/>
    <w:rsid w:val="007A47BF"/>
    <w:rsid w:val="007A4C91"/>
    <w:rsid w:val="007A62AF"/>
    <w:rsid w:val="007A63E0"/>
    <w:rsid w:val="007B00F2"/>
    <w:rsid w:val="007B3288"/>
    <w:rsid w:val="007B3784"/>
    <w:rsid w:val="007B3EF7"/>
    <w:rsid w:val="007B5D70"/>
    <w:rsid w:val="007C03F9"/>
    <w:rsid w:val="007C0527"/>
    <w:rsid w:val="007C14B2"/>
    <w:rsid w:val="007C254B"/>
    <w:rsid w:val="007C3FCA"/>
    <w:rsid w:val="007C5F93"/>
    <w:rsid w:val="007C7ABE"/>
    <w:rsid w:val="007D4090"/>
    <w:rsid w:val="007D4967"/>
    <w:rsid w:val="007E3C00"/>
    <w:rsid w:val="007E4B02"/>
    <w:rsid w:val="007E7977"/>
    <w:rsid w:val="007F0CC8"/>
    <w:rsid w:val="007F0E2B"/>
    <w:rsid w:val="007F2251"/>
    <w:rsid w:val="007F3108"/>
    <w:rsid w:val="007F33CD"/>
    <w:rsid w:val="007F53DC"/>
    <w:rsid w:val="007F5CDA"/>
    <w:rsid w:val="007F6B8B"/>
    <w:rsid w:val="007F724A"/>
    <w:rsid w:val="00802709"/>
    <w:rsid w:val="0080397B"/>
    <w:rsid w:val="00805F49"/>
    <w:rsid w:val="00806F76"/>
    <w:rsid w:val="00807CEB"/>
    <w:rsid w:val="00810C3F"/>
    <w:rsid w:val="008126A9"/>
    <w:rsid w:val="00812C25"/>
    <w:rsid w:val="00813F02"/>
    <w:rsid w:val="00814007"/>
    <w:rsid w:val="008161C4"/>
    <w:rsid w:val="00816651"/>
    <w:rsid w:val="008177A7"/>
    <w:rsid w:val="008201F9"/>
    <w:rsid w:val="00825889"/>
    <w:rsid w:val="008268B3"/>
    <w:rsid w:val="00832A63"/>
    <w:rsid w:val="00833B4D"/>
    <w:rsid w:val="0083586C"/>
    <w:rsid w:val="008428BE"/>
    <w:rsid w:val="00846A64"/>
    <w:rsid w:val="00851482"/>
    <w:rsid w:val="00851BF6"/>
    <w:rsid w:val="00852590"/>
    <w:rsid w:val="008549DF"/>
    <w:rsid w:val="00855329"/>
    <w:rsid w:val="00856B27"/>
    <w:rsid w:val="00856DC0"/>
    <w:rsid w:val="008623F5"/>
    <w:rsid w:val="00864BFA"/>
    <w:rsid w:val="008700D4"/>
    <w:rsid w:val="0087154E"/>
    <w:rsid w:val="00871F0E"/>
    <w:rsid w:val="00871F49"/>
    <w:rsid w:val="00872698"/>
    <w:rsid w:val="00872802"/>
    <w:rsid w:val="0087311D"/>
    <w:rsid w:val="00873DC6"/>
    <w:rsid w:val="00873F43"/>
    <w:rsid w:val="00874563"/>
    <w:rsid w:val="008748BA"/>
    <w:rsid w:val="00875034"/>
    <w:rsid w:val="00876225"/>
    <w:rsid w:val="00876A6D"/>
    <w:rsid w:val="00876FC3"/>
    <w:rsid w:val="00880675"/>
    <w:rsid w:val="008863DD"/>
    <w:rsid w:val="00886B9B"/>
    <w:rsid w:val="008901E9"/>
    <w:rsid w:val="0089080F"/>
    <w:rsid w:val="00891A50"/>
    <w:rsid w:val="00892FD0"/>
    <w:rsid w:val="008954BD"/>
    <w:rsid w:val="008A20D3"/>
    <w:rsid w:val="008A20E3"/>
    <w:rsid w:val="008A3903"/>
    <w:rsid w:val="008A44DE"/>
    <w:rsid w:val="008A4CB9"/>
    <w:rsid w:val="008A5178"/>
    <w:rsid w:val="008A7D6A"/>
    <w:rsid w:val="008B1782"/>
    <w:rsid w:val="008B2DBD"/>
    <w:rsid w:val="008B31D8"/>
    <w:rsid w:val="008B41E7"/>
    <w:rsid w:val="008B5470"/>
    <w:rsid w:val="008B5F01"/>
    <w:rsid w:val="008B646E"/>
    <w:rsid w:val="008B654E"/>
    <w:rsid w:val="008C3416"/>
    <w:rsid w:val="008C3485"/>
    <w:rsid w:val="008C5417"/>
    <w:rsid w:val="008C58FE"/>
    <w:rsid w:val="008C6366"/>
    <w:rsid w:val="008D00A1"/>
    <w:rsid w:val="008D3A3C"/>
    <w:rsid w:val="008D45C6"/>
    <w:rsid w:val="008D515F"/>
    <w:rsid w:val="008E0C30"/>
    <w:rsid w:val="008E2CF2"/>
    <w:rsid w:val="008E4B53"/>
    <w:rsid w:val="008E4DFC"/>
    <w:rsid w:val="008E5F6B"/>
    <w:rsid w:val="008F43F2"/>
    <w:rsid w:val="008F64F8"/>
    <w:rsid w:val="008F654D"/>
    <w:rsid w:val="008F7DD2"/>
    <w:rsid w:val="00900B12"/>
    <w:rsid w:val="00901857"/>
    <w:rsid w:val="00903E5D"/>
    <w:rsid w:val="00906DE4"/>
    <w:rsid w:val="0091031D"/>
    <w:rsid w:val="0091104A"/>
    <w:rsid w:val="0091174F"/>
    <w:rsid w:val="009155A9"/>
    <w:rsid w:val="00917051"/>
    <w:rsid w:val="009177C2"/>
    <w:rsid w:val="00917ED8"/>
    <w:rsid w:val="00920339"/>
    <w:rsid w:val="00920DDF"/>
    <w:rsid w:val="00922B92"/>
    <w:rsid w:val="009231C2"/>
    <w:rsid w:val="00923D4D"/>
    <w:rsid w:val="0092453C"/>
    <w:rsid w:val="009247D9"/>
    <w:rsid w:val="00925F39"/>
    <w:rsid w:val="0092619F"/>
    <w:rsid w:val="009263F4"/>
    <w:rsid w:val="00933249"/>
    <w:rsid w:val="0093482D"/>
    <w:rsid w:val="00935D5E"/>
    <w:rsid w:val="0093604E"/>
    <w:rsid w:val="0093729C"/>
    <w:rsid w:val="00942496"/>
    <w:rsid w:val="009425C4"/>
    <w:rsid w:val="00944DEA"/>
    <w:rsid w:val="00946784"/>
    <w:rsid w:val="0095111A"/>
    <w:rsid w:val="0095356E"/>
    <w:rsid w:val="00955695"/>
    <w:rsid w:val="009573EA"/>
    <w:rsid w:val="009607CE"/>
    <w:rsid w:val="009616EF"/>
    <w:rsid w:val="00963BFA"/>
    <w:rsid w:val="00964DE2"/>
    <w:rsid w:val="00965496"/>
    <w:rsid w:val="009674F4"/>
    <w:rsid w:val="00967C25"/>
    <w:rsid w:val="00970F5E"/>
    <w:rsid w:val="00972AED"/>
    <w:rsid w:val="009750EF"/>
    <w:rsid w:val="00977EAA"/>
    <w:rsid w:val="0098011E"/>
    <w:rsid w:val="00980273"/>
    <w:rsid w:val="00982712"/>
    <w:rsid w:val="00983673"/>
    <w:rsid w:val="0098527B"/>
    <w:rsid w:val="00985D52"/>
    <w:rsid w:val="00986A60"/>
    <w:rsid w:val="00987644"/>
    <w:rsid w:val="00993A33"/>
    <w:rsid w:val="0099759B"/>
    <w:rsid w:val="009A34EA"/>
    <w:rsid w:val="009A3EE2"/>
    <w:rsid w:val="009A6692"/>
    <w:rsid w:val="009A76DF"/>
    <w:rsid w:val="009B0782"/>
    <w:rsid w:val="009B3358"/>
    <w:rsid w:val="009B75E6"/>
    <w:rsid w:val="009C3DC6"/>
    <w:rsid w:val="009D29A8"/>
    <w:rsid w:val="009D3735"/>
    <w:rsid w:val="009D5931"/>
    <w:rsid w:val="009D6CCD"/>
    <w:rsid w:val="009D70B2"/>
    <w:rsid w:val="009D7682"/>
    <w:rsid w:val="009E161B"/>
    <w:rsid w:val="009E36D6"/>
    <w:rsid w:val="009E6542"/>
    <w:rsid w:val="009E7CF2"/>
    <w:rsid w:val="009F4ABA"/>
    <w:rsid w:val="009F5DF1"/>
    <w:rsid w:val="009F6434"/>
    <w:rsid w:val="009F7408"/>
    <w:rsid w:val="00A00231"/>
    <w:rsid w:val="00A0447C"/>
    <w:rsid w:val="00A05FBA"/>
    <w:rsid w:val="00A13974"/>
    <w:rsid w:val="00A1529E"/>
    <w:rsid w:val="00A1723D"/>
    <w:rsid w:val="00A22A4C"/>
    <w:rsid w:val="00A2611C"/>
    <w:rsid w:val="00A32A58"/>
    <w:rsid w:val="00A33EF2"/>
    <w:rsid w:val="00A35AFF"/>
    <w:rsid w:val="00A41396"/>
    <w:rsid w:val="00A42022"/>
    <w:rsid w:val="00A43331"/>
    <w:rsid w:val="00A440E8"/>
    <w:rsid w:val="00A441D7"/>
    <w:rsid w:val="00A4448D"/>
    <w:rsid w:val="00A4558B"/>
    <w:rsid w:val="00A45E8B"/>
    <w:rsid w:val="00A47ECD"/>
    <w:rsid w:val="00A5189D"/>
    <w:rsid w:val="00A54209"/>
    <w:rsid w:val="00A542DF"/>
    <w:rsid w:val="00A5531D"/>
    <w:rsid w:val="00A55B00"/>
    <w:rsid w:val="00A55D80"/>
    <w:rsid w:val="00A56AF4"/>
    <w:rsid w:val="00A56B76"/>
    <w:rsid w:val="00A56FBC"/>
    <w:rsid w:val="00A620F0"/>
    <w:rsid w:val="00A62BAD"/>
    <w:rsid w:val="00A63763"/>
    <w:rsid w:val="00A63820"/>
    <w:rsid w:val="00A65061"/>
    <w:rsid w:val="00A671E0"/>
    <w:rsid w:val="00A7002B"/>
    <w:rsid w:val="00A726FB"/>
    <w:rsid w:val="00A7338B"/>
    <w:rsid w:val="00A73A57"/>
    <w:rsid w:val="00A76393"/>
    <w:rsid w:val="00A77050"/>
    <w:rsid w:val="00A77A23"/>
    <w:rsid w:val="00A84329"/>
    <w:rsid w:val="00A85382"/>
    <w:rsid w:val="00A876DB"/>
    <w:rsid w:val="00A8781F"/>
    <w:rsid w:val="00A87E8E"/>
    <w:rsid w:val="00A913B3"/>
    <w:rsid w:val="00A9199E"/>
    <w:rsid w:val="00A91E1C"/>
    <w:rsid w:val="00A96E1C"/>
    <w:rsid w:val="00AA09CE"/>
    <w:rsid w:val="00AA0FAA"/>
    <w:rsid w:val="00AA3131"/>
    <w:rsid w:val="00AA6425"/>
    <w:rsid w:val="00AA6D73"/>
    <w:rsid w:val="00AB095D"/>
    <w:rsid w:val="00AB0BBC"/>
    <w:rsid w:val="00AB26B0"/>
    <w:rsid w:val="00AB3322"/>
    <w:rsid w:val="00AB6073"/>
    <w:rsid w:val="00AB7E63"/>
    <w:rsid w:val="00AC0095"/>
    <w:rsid w:val="00AC09CE"/>
    <w:rsid w:val="00AC1E06"/>
    <w:rsid w:val="00AC7461"/>
    <w:rsid w:val="00AD0E0B"/>
    <w:rsid w:val="00AD16FD"/>
    <w:rsid w:val="00AD192C"/>
    <w:rsid w:val="00AD3409"/>
    <w:rsid w:val="00AD3454"/>
    <w:rsid w:val="00AD4C67"/>
    <w:rsid w:val="00AD57B6"/>
    <w:rsid w:val="00AE0270"/>
    <w:rsid w:val="00AE13A0"/>
    <w:rsid w:val="00AE143B"/>
    <w:rsid w:val="00AE28C2"/>
    <w:rsid w:val="00AE3227"/>
    <w:rsid w:val="00AE34A1"/>
    <w:rsid w:val="00AE4498"/>
    <w:rsid w:val="00AE61DC"/>
    <w:rsid w:val="00AE7D2C"/>
    <w:rsid w:val="00AF2EF0"/>
    <w:rsid w:val="00AF3841"/>
    <w:rsid w:val="00AF49B0"/>
    <w:rsid w:val="00AF591F"/>
    <w:rsid w:val="00AF5B80"/>
    <w:rsid w:val="00B017D0"/>
    <w:rsid w:val="00B03E0D"/>
    <w:rsid w:val="00B0620E"/>
    <w:rsid w:val="00B06284"/>
    <w:rsid w:val="00B06EB0"/>
    <w:rsid w:val="00B07BF7"/>
    <w:rsid w:val="00B07CD3"/>
    <w:rsid w:val="00B13098"/>
    <w:rsid w:val="00B15BB0"/>
    <w:rsid w:val="00B179C3"/>
    <w:rsid w:val="00B213AD"/>
    <w:rsid w:val="00B222B6"/>
    <w:rsid w:val="00B244B4"/>
    <w:rsid w:val="00B2525C"/>
    <w:rsid w:val="00B335B3"/>
    <w:rsid w:val="00B33D0B"/>
    <w:rsid w:val="00B35669"/>
    <w:rsid w:val="00B35C7D"/>
    <w:rsid w:val="00B37935"/>
    <w:rsid w:val="00B40324"/>
    <w:rsid w:val="00B4637B"/>
    <w:rsid w:val="00B54B29"/>
    <w:rsid w:val="00B55407"/>
    <w:rsid w:val="00B55F17"/>
    <w:rsid w:val="00B601E3"/>
    <w:rsid w:val="00B6674F"/>
    <w:rsid w:val="00B66AD8"/>
    <w:rsid w:val="00B71D47"/>
    <w:rsid w:val="00B72A26"/>
    <w:rsid w:val="00B7345B"/>
    <w:rsid w:val="00B73558"/>
    <w:rsid w:val="00B73768"/>
    <w:rsid w:val="00B75B33"/>
    <w:rsid w:val="00B76593"/>
    <w:rsid w:val="00B76AD1"/>
    <w:rsid w:val="00B83941"/>
    <w:rsid w:val="00B850D4"/>
    <w:rsid w:val="00B85713"/>
    <w:rsid w:val="00B879D4"/>
    <w:rsid w:val="00B91A0B"/>
    <w:rsid w:val="00B93B9C"/>
    <w:rsid w:val="00B95339"/>
    <w:rsid w:val="00B95993"/>
    <w:rsid w:val="00B96585"/>
    <w:rsid w:val="00B975A0"/>
    <w:rsid w:val="00BA00E8"/>
    <w:rsid w:val="00BA472D"/>
    <w:rsid w:val="00BA4798"/>
    <w:rsid w:val="00BA5B5E"/>
    <w:rsid w:val="00BA6974"/>
    <w:rsid w:val="00BA6F32"/>
    <w:rsid w:val="00BB69A4"/>
    <w:rsid w:val="00BC0131"/>
    <w:rsid w:val="00BC2C52"/>
    <w:rsid w:val="00BC467E"/>
    <w:rsid w:val="00BC4BD7"/>
    <w:rsid w:val="00BC73AE"/>
    <w:rsid w:val="00BD0002"/>
    <w:rsid w:val="00BD16FB"/>
    <w:rsid w:val="00BD1DAC"/>
    <w:rsid w:val="00BD23E0"/>
    <w:rsid w:val="00BD28CC"/>
    <w:rsid w:val="00BD52B3"/>
    <w:rsid w:val="00BD6345"/>
    <w:rsid w:val="00BD7AC4"/>
    <w:rsid w:val="00BE348A"/>
    <w:rsid w:val="00BF2EFE"/>
    <w:rsid w:val="00BF499A"/>
    <w:rsid w:val="00BF4D69"/>
    <w:rsid w:val="00BF5A1F"/>
    <w:rsid w:val="00BF5E3F"/>
    <w:rsid w:val="00C01152"/>
    <w:rsid w:val="00C04698"/>
    <w:rsid w:val="00C055AF"/>
    <w:rsid w:val="00C07B6B"/>
    <w:rsid w:val="00C1025B"/>
    <w:rsid w:val="00C11905"/>
    <w:rsid w:val="00C1240D"/>
    <w:rsid w:val="00C12C53"/>
    <w:rsid w:val="00C16684"/>
    <w:rsid w:val="00C22C5F"/>
    <w:rsid w:val="00C25D6C"/>
    <w:rsid w:val="00C2723F"/>
    <w:rsid w:val="00C27F92"/>
    <w:rsid w:val="00C320AC"/>
    <w:rsid w:val="00C33F58"/>
    <w:rsid w:val="00C34615"/>
    <w:rsid w:val="00C35181"/>
    <w:rsid w:val="00C355A5"/>
    <w:rsid w:val="00C36923"/>
    <w:rsid w:val="00C4174A"/>
    <w:rsid w:val="00C4181B"/>
    <w:rsid w:val="00C4278C"/>
    <w:rsid w:val="00C42806"/>
    <w:rsid w:val="00C45B40"/>
    <w:rsid w:val="00C46D54"/>
    <w:rsid w:val="00C477FE"/>
    <w:rsid w:val="00C47CC7"/>
    <w:rsid w:val="00C604F8"/>
    <w:rsid w:val="00C626B1"/>
    <w:rsid w:val="00C64007"/>
    <w:rsid w:val="00C70149"/>
    <w:rsid w:val="00C70821"/>
    <w:rsid w:val="00C70DE0"/>
    <w:rsid w:val="00C7110D"/>
    <w:rsid w:val="00C74785"/>
    <w:rsid w:val="00C752B0"/>
    <w:rsid w:val="00C764CA"/>
    <w:rsid w:val="00C85A53"/>
    <w:rsid w:val="00C86CB2"/>
    <w:rsid w:val="00C86CD8"/>
    <w:rsid w:val="00C87B41"/>
    <w:rsid w:val="00C90108"/>
    <w:rsid w:val="00C95E02"/>
    <w:rsid w:val="00CA0075"/>
    <w:rsid w:val="00CA2975"/>
    <w:rsid w:val="00CA2B11"/>
    <w:rsid w:val="00CA4B32"/>
    <w:rsid w:val="00CA5580"/>
    <w:rsid w:val="00CA7939"/>
    <w:rsid w:val="00CB2F3B"/>
    <w:rsid w:val="00CB33FC"/>
    <w:rsid w:val="00CB393F"/>
    <w:rsid w:val="00CB7C01"/>
    <w:rsid w:val="00CC071E"/>
    <w:rsid w:val="00CC0E6C"/>
    <w:rsid w:val="00CC1B60"/>
    <w:rsid w:val="00CC2ECE"/>
    <w:rsid w:val="00CC3A85"/>
    <w:rsid w:val="00CC743B"/>
    <w:rsid w:val="00CC79C1"/>
    <w:rsid w:val="00CC7B95"/>
    <w:rsid w:val="00CD00F1"/>
    <w:rsid w:val="00CD5BC1"/>
    <w:rsid w:val="00CD619C"/>
    <w:rsid w:val="00CD78EF"/>
    <w:rsid w:val="00CE15B8"/>
    <w:rsid w:val="00CE24DA"/>
    <w:rsid w:val="00CE520B"/>
    <w:rsid w:val="00CF1123"/>
    <w:rsid w:val="00CF371B"/>
    <w:rsid w:val="00CF3B81"/>
    <w:rsid w:val="00CF4AF3"/>
    <w:rsid w:val="00CF7AB6"/>
    <w:rsid w:val="00D021E1"/>
    <w:rsid w:val="00D05DE8"/>
    <w:rsid w:val="00D06C9C"/>
    <w:rsid w:val="00D120C3"/>
    <w:rsid w:val="00D13D2F"/>
    <w:rsid w:val="00D218E0"/>
    <w:rsid w:val="00D2272D"/>
    <w:rsid w:val="00D22C57"/>
    <w:rsid w:val="00D23056"/>
    <w:rsid w:val="00D24334"/>
    <w:rsid w:val="00D26067"/>
    <w:rsid w:val="00D2711D"/>
    <w:rsid w:val="00D316FD"/>
    <w:rsid w:val="00D32E01"/>
    <w:rsid w:val="00D34253"/>
    <w:rsid w:val="00D37905"/>
    <w:rsid w:val="00D44D8C"/>
    <w:rsid w:val="00D45163"/>
    <w:rsid w:val="00D45698"/>
    <w:rsid w:val="00D471F0"/>
    <w:rsid w:val="00D4768F"/>
    <w:rsid w:val="00D50785"/>
    <w:rsid w:val="00D52B46"/>
    <w:rsid w:val="00D539F6"/>
    <w:rsid w:val="00D53C31"/>
    <w:rsid w:val="00D5478E"/>
    <w:rsid w:val="00D55E33"/>
    <w:rsid w:val="00D57543"/>
    <w:rsid w:val="00D61055"/>
    <w:rsid w:val="00D6154F"/>
    <w:rsid w:val="00D61887"/>
    <w:rsid w:val="00D643C7"/>
    <w:rsid w:val="00D65874"/>
    <w:rsid w:val="00D66AC4"/>
    <w:rsid w:val="00D66C0C"/>
    <w:rsid w:val="00D67976"/>
    <w:rsid w:val="00D712F5"/>
    <w:rsid w:val="00D73498"/>
    <w:rsid w:val="00D751F5"/>
    <w:rsid w:val="00D7561C"/>
    <w:rsid w:val="00D8047E"/>
    <w:rsid w:val="00D842E5"/>
    <w:rsid w:val="00D86844"/>
    <w:rsid w:val="00D95AAF"/>
    <w:rsid w:val="00D9667B"/>
    <w:rsid w:val="00D9767F"/>
    <w:rsid w:val="00DA01A2"/>
    <w:rsid w:val="00DA2B47"/>
    <w:rsid w:val="00DA573B"/>
    <w:rsid w:val="00DA6549"/>
    <w:rsid w:val="00DA7893"/>
    <w:rsid w:val="00DB06A1"/>
    <w:rsid w:val="00DB0B31"/>
    <w:rsid w:val="00DB2888"/>
    <w:rsid w:val="00DC1899"/>
    <w:rsid w:val="00DC1E4C"/>
    <w:rsid w:val="00DC344E"/>
    <w:rsid w:val="00DC687D"/>
    <w:rsid w:val="00DC6930"/>
    <w:rsid w:val="00DD104E"/>
    <w:rsid w:val="00DD150E"/>
    <w:rsid w:val="00DD1707"/>
    <w:rsid w:val="00DD17E9"/>
    <w:rsid w:val="00DD24A0"/>
    <w:rsid w:val="00DD260C"/>
    <w:rsid w:val="00DD2DBA"/>
    <w:rsid w:val="00DD4444"/>
    <w:rsid w:val="00DD44A2"/>
    <w:rsid w:val="00DD4C51"/>
    <w:rsid w:val="00DD6E43"/>
    <w:rsid w:val="00DE01C0"/>
    <w:rsid w:val="00DE06E7"/>
    <w:rsid w:val="00DE2479"/>
    <w:rsid w:val="00DE28BC"/>
    <w:rsid w:val="00DE3AD2"/>
    <w:rsid w:val="00DE4E80"/>
    <w:rsid w:val="00DE4F57"/>
    <w:rsid w:val="00DF0B84"/>
    <w:rsid w:val="00DF185B"/>
    <w:rsid w:val="00DF2F70"/>
    <w:rsid w:val="00E00323"/>
    <w:rsid w:val="00E0194C"/>
    <w:rsid w:val="00E01BDA"/>
    <w:rsid w:val="00E01FB2"/>
    <w:rsid w:val="00E03350"/>
    <w:rsid w:val="00E035EF"/>
    <w:rsid w:val="00E050A2"/>
    <w:rsid w:val="00E11DE2"/>
    <w:rsid w:val="00E13284"/>
    <w:rsid w:val="00E13BD7"/>
    <w:rsid w:val="00E16DCF"/>
    <w:rsid w:val="00E16E00"/>
    <w:rsid w:val="00E205FE"/>
    <w:rsid w:val="00E20F52"/>
    <w:rsid w:val="00E2205D"/>
    <w:rsid w:val="00E22A17"/>
    <w:rsid w:val="00E26C36"/>
    <w:rsid w:val="00E272FA"/>
    <w:rsid w:val="00E31BC0"/>
    <w:rsid w:val="00E32F89"/>
    <w:rsid w:val="00E337F7"/>
    <w:rsid w:val="00E33C52"/>
    <w:rsid w:val="00E36487"/>
    <w:rsid w:val="00E3680A"/>
    <w:rsid w:val="00E41E18"/>
    <w:rsid w:val="00E420EF"/>
    <w:rsid w:val="00E44E9A"/>
    <w:rsid w:val="00E454AD"/>
    <w:rsid w:val="00E46B88"/>
    <w:rsid w:val="00E52084"/>
    <w:rsid w:val="00E52239"/>
    <w:rsid w:val="00E56A21"/>
    <w:rsid w:val="00E56D40"/>
    <w:rsid w:val="00E56DAE"/>
    <w:rsid w:val="00E6034F"/>
    <w:rsid w:val="00E61D70"/>
    <w:rsid w:val="00E6219D"/>
    <w:rsid w:val="00E627C3"/>
    <w:rsid w:val="00E62E4C"/>
    <w:rsid w:val="00E670C9"/>
    <w:rsid w:val="00E71425"/>
    <w:rsid w:val="00E72BCA"/>
    <w:rsid w:val="00E72DCA"/>
    <w:rsid w:val="00E74DF5"/>
    <w:rsid w:val="00E75174"/>
    <w:rsid w:val="00E75C2D"/>
    <w:rsid w:val="00E762A1"/>
    <w:rsid w:val="00E773C0"/>
    <w:rsid w:val="00E77673"/>
    <w:rsid w:val="00E81915"/>
    <w:rsid w:val="00E83EDE"/>
    <w:rsid w:val="00E83F44"/>
    <w:rsid w:val="00E85C4A"/>
    <w:rsid w:val="00E85F54"/>
    <w:rsid w:val="00E86B21"/>
    <w:rsid w:val="00E87F2E"/>
    <w:rsid w:val="00E90250"/>
    <w:rsid w:val="00E90739"/>
    <w:rsid w:val="00E92D13"/>
    <w:rsid w:val="00E933A3"/>
    <w:rsid w:val="00E93EE4"/>
    <w:rsid w:val="00E94F59"/>
    <w:rsid w:val="00E95F93"/>
    <w:rsid w:val="00E9699C"/>
    <w:rsid w:val="00E971BC"/>
    <w:rsid w:val="00EA71AF"/>
    <w:rsid w:val="00EB32C8"/>
    <w:rsid w:val="00EB331F"/>
    <w:rsid w:val="00EB409C"/>
    <w:rsid w:val="00EB56E9"/>
    <w:rsid w:val="00EB61AE"/>
    <w:rsid w:val="00EB7D78"/>
    <w:rsid w:val="00EC0769"/>
    <w:rsid w:val="00EC2ACA"/>
    <w:rsid w:val="00EC2DF8"/>
    <w:rsid w:val="00EC3F4D"/>
    <w:rsid w:val="00EC6461"/>
    <w:rsid w:val="00EC788B"/>
    <w:rsid w:val="00ED0DCC"/>
    <w:rsid w:val="00ED3CCC"/>
    <w:rsid w:val="00ED609E"/>
    <w:rsid w:val="00ED7D93"/>
    <w:rsid w:val="00EE06AA"/>
    <w:rsid w:val="00EE1228"/>
    <w:rsid w:val="00EE15F9"/>
    <w:rsid w:val="00EE4FA2"/>
    <w:rsid w:val="00EE6EAB"/>
    <w:rsid w:val="00EF021B"/>
    <w:rsid w:val="00EF096A"/>
    <w:rsid w:val="00EF0FFB"/>
    <w:rsid w:val="00EF415A"/>
    <w:rsid w:val="00EF59D9"/>
    <w:rsid w:val="00EF5C5D"/>
    <w:rsid w:val="00EF5CD0"/>
    <w:rsid w:val="00EF7617"/>
    <w:rsid w:val="00F0073C"/>
    <w:rsid w:val="00F01246"/>
    <w:rsid w:val="00F01E77"/>
    <w:rsid w:val="00F03835"/>
    <w:rsid w:val="00F03B28"/>
    <w:rsid w:val="00F0721F"/>
    <w:rsid w:val="00F0787B"/>
    <w:rsid w:val="00F07ED4"/>
    <w:rsid w:val="00F11044"/>
    <w:rsid w:val="00F2291C"/>
    <w:rsid w:val="00F23CEC"/>
    <w:rsid w:val="00F25918"/>
    <w:rsid w:val="00F26077"/>
    <w:rsid w:val="00F27787"/>
    <w:rsid w:val="00F27FB6"/>
    <w:rsid w:val="00F31C58"/>
    <w:rsid w:val="00F32A44"/>
    <w:rsid w:val="00F3444F"/>
    <w:rsid w:val="00F353B0"/>
    <w:rsid w:val="00F359AC"/>
    <w:rsid w:val="00F40057"/>
    <w:rsid w:val="00F40E22"/>
    <w:rsid w:val="00F41DE4"/>
    <w:rsid w:val="00F44D86"/>
    <w:rsid w:val="00F455CE"/>
    <w:rsid w:val="00F47939"/>
    <w:rsid w:val="00F543CB"/>
    <w:rsid w:val="00F555D5"/>
    <w:rsid w:val="00F55817"/>
    <w:rsid w:val="00F568CA"/>
    <w:rsid w:val="00F56EF9"/>
    <w:rsid w:val="00F632B6"/>
    <w:rsid w:val="00F6427C"/>
    <w:rsid w:val="00F66175"/>
    <w:rsid w:val="00F70A12"/>
    <w:rsid w:val="00F71E72"/>
    <w:rsid w:val="00F740C6"/>
    <w:rsid w:val="00F759CA"/>
    <w:rsid w:val="00F764A6"/>
    <w:rsid w:val="00F77F08"/>
    <w:rsid w:val="00F809B0"/>
    <w:rsid w:val="00F81908"/>
    <w:rsid w:val="00F83F6E"/>
    <w:rsid w:val="00F875DC"/>
    <w:rsid w:val="00F901A3"/>
    <w:rsid w:val="00F90E06"/>
    <w:rsid w:val="00F918E2"/>
    <w:rsid w:val="00F919D9"/>
    <w:rsid w:val="00F9417C"/>
    <w:rsid w:val="00F95DA5"/>
    <w:rsid w:val="00F965C8"/>
    <w:rsid w:val="00F97A32"/>
    <w:rsid w:val="00FA0326"/>
    <w:rsid w:val="00FA093A"/>
    <w:rsid w:val="00FA25BA"/>
    <w:rsid w:val="00FA457E"/>
    <w:rsid w:val="00FA50DA"/>
    <w:rsid w:val="00FA5163"/>
    <w:rsid w:val="00FA539D"/>
    <w:rsid w:val="00FA5D68"/>
    <w:rsid w:val="00FA627C"/>
    <w:rsid w:val="00FA72B9"/>
    <w:rsid w:val="00FA76D1"/>
    <w:rsid w:val="00FA7BE1"/>
    <w:rsid w:val="00FB0382"/>
    <w:rsid w:val="00FB058D"/>
    <w:rsid w:val="00FB1265"/>
    <w:rsid w:val="00FB200A"/>
    <w:rsid w:val="00FB499A"/>
    <w:rsid w:val="00FB7D30"/>
    <w:rsid w:val="00FC13BA"/>
    <w:rsid w:val="00FC228B"/>
    <w:rsid w:val="00FC2494"/>
    <w:rsid w:val="00FC34DD"/>
    <w:rsid w:val="00FC475B"/>
    <w:rsid w:val="00FC4F29"/>
    <w:rsid w:val="00FC7B37"/>
    <w:rsid w:val="00FD03C6"/>
    <w:rsid w:val="00FD06C5"/>
    <w:rsid w:val="00FD135E"/>
    <w:rsid w:val="00FD1D32"/>
    <w:rsid w:val="00FD42CB"/>
    <w:rsid w:val="00FE6A6E"/>
    <w:rsid w:val="00FE6D75"/>
    <w:rsid w:val="00FE790A"/>
    <w:rsid w:val="00FF01D0"/>
    <w:rsid w:val="00FF0A67"/>
    <w:rsid w:val="00FF50EE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B883"/>
  <w15:chartTrackingRefBased/>
  <w15:docId w15:val="{5E6FB09D-E4B9-4E62-B331-40F0D01C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1DAC"/>
    <w:rPr>
      <w:rFonts w:ascii="Times New Roman" w:hAnsi="Times New Roman" w:cs="Times New Roman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36297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297"/>
    <w:pPr>
      <w:keepNext/>
      <w:keepLines/>
      <w:numPr>
        <w:ilvl w:val="1"/>
        <w:numId w:val="18"/>
      </w:numPr>
      <w:spacing w:after="0" w:line="480" w:lineRule="auto"/>
      <w:ind w:left="360"/>
      <w:outlineLvl w:val="1"/>
    </w:pPr>
    <w:rPr>
      <w:rFonts w:eastAsiaTheme="majorEastAsia"/>
      <w:b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58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5818"/>
    <w:rPr>
      <w:rFonts w:ascii="Calibri" w:hAnsi="Calibri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3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6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83673"/>
    <w:pPr>
      <w:spacing w:after="0"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04E"/>
    <w:pPr>
      <w:spacing w:line="240" w:lineRule="auto"/>
      <w:ind w:left="720"/>
      <w:contextualSpacing/>
    </w:pPr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536297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6297"/>
    <w:rPr>
      <w:rFonts w:ascii="Times New Roman" w:eastAsiaTheme="majorEastAsia" w:hAnsi="Times New Roman" w:cs="Times New Roman"/>
      <w:b/>
      <w:snapToGrid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A738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1627F"/>
    <w:pPr>
      <w:tabs>
        <w:tab w:val="left" w:pos="880"/>
        <w:tab w:val="right" w:leader="dot" w:pos="9350"/>
      </w:tabs>
      <w:spacing w:after="100"/>
      <w:ind w:left="709" w:hanging="425"/>
    </w:pPr>
  </w:style>
  <w:style w:type="character" w:styleId="Hyperlink">
    <w:name w:val="Hyperlink"/>
    <w:basedOn w:val="DefaultParagraphFont"/>
    <w:uiPriority w:val="99"/>
    <w:unhideWhenUsed/>
    <w:rsid w:val="005A73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0"/>
  </w:style>
  <w:style w:type="paragraph" w:styleId="Footer">
    <w:name w:val="footer"/>
    <w:basedOn w:val="Normal"/>
    <w:link w:val="FooterChar"/>
    <w:uiPriority w:val="99"/>
    <w:unhideWhenUsed/>
    <w:rsid w:val="003F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0"/>
  </w:style>
  <w:style w:type="character" w:styleId="UnresolvedMention">
    <w:name w:val="Unresolved Mention"/>
    <w:basedOn w:val="DefaultParagraphFont"/>
    <w:uiPriority w:val="99"/>
    <w:semiHidden/>
    <w:unhideWhenUsed/>
    <w:rsid w:val="00C604F8"/>
    <w:rPr>
      <w:color w:val="808080"/>
      <w:shd w:val="clear" w:color="auto" w:fill="E6E6E6"/>
    </w:rPr>
  </w:style>
  <w:style w:type="paragraph" w:styleId="TOC1">
    <w:name w:val="toc 1"/>
    <w:basedOn w:val="Normal"/>
    <w:next w:val="Normal"/>
    <w:autoRedefine/>
    <w:uiPriority w:val="39"/>
    <w:unhideWhenUsed/>
    <w:rsid w:val="00313BCB"/>
    <w:pPr>
      <w:spacing w:after="100"/>
    </w:pPr>
  </w:style>
  <w:style w:type="paragraph" w:styleId="NoSpacing">
    <w:name w:val="No Spacing"/>
    <w:uiPriority w:val="1"/>
    <w:qFormat/>
    <w:rsid w:val="0076241F"/>
    <w:pPr>
      <w:spacing w:after="0" w:line="240" w:lineRule="auto"/>
    </w:pPr>
  </w:style>
  <w:style w:type="paragraph" w:customStyle="1" w:styleId="TableCenter">
    <w:name w:val="Table Center"/>
    <w:basedOn w:val="Normal"/>
    <w:uiPriority w:val="12"/>
    <w:qFormat/>
    <w:rsid w:val="007C14B2"/>
    <w:pPr>
      <w:spacing w:before="40" w:after="40" w:line="276" w:lineRule="auto"/>
      <w:jc w:val="center"/>
    </w:pPr>
    <w:rPr>
      <w:rFonts w:eastAsia="Times New Roman"/>
      <w:sz w:val="20"/>
      <w:szCs w:val="24"/>
    </w:rPr>
  </w:style>
  <w:style w:type="paragraph" w:customStyle="1" w:styleId="TableHead">
    <w:name w:val="Table Head"/>
    <w:basedOn w:val="Normal"/>
    <w:uiPriority w:val="11"/>
    <w:qFormat/>
    <w:rsid w:val="007C14B2"/>
    <w:pPr>
      <w:spacing w:before="40" w:after="40" w:line="240" w:lineRule="auto"/>
      <w:jc w:val="center"/>
    </w:pPr>
    <w:rPr>
      <w:rFonts w:eastAsia="Times New Roman"/>
      <w:b/>
      <w:sz w:val="20"/>
      <w:szCs w:val="48"/>
    </w:rPr>
  </w:style>
  <w:style w:type="paragraph" w:customStyle="1" w:styleId="TableLeft">
    <w:name w:val="Table Left"/>
    <w:uiPriority w:val="12"/>
    <w:qFormat/>
    <w:rsid w:val="007C14B2"/>
    <w:pPr>
      <w:spacing w:before="40" w:after="40" w:line="276" w:lineRule="auto"/>
    </w:pPr>
    <w:rPr>
      <w:rFonts w:ascii="Times New Roman" w:eastAsia="Times New Roman" w:hAnsi="Times New Roman" w:cs="Arial"/>
      <w:bCs/>
      <w:kern w:val="32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2569CD"/>
    <w:pPr>
      <w:spacing w:after="0" w:line="240" w:lineRule="auto"/>
    </w:pPr>
    <w:rPr>
      <w:rFonts w:ascii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81CF-C4E8-4605-B0C6-88BFC70A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Caryne Craige</dc:creator>
  <cp:keywords/>
  <dc:description/>
  <cp:lastModifiedBy>Boon Lee</cp:lastModifiedBy>
  <cp:revision>2</cp:revision>
  <cp:lastPrinted>2019-07-02T19:22:00Z</cp:lastPrinted>
  <dcterms:created xsi:type="dcterms:W3CDTF">2020-02-04T19:48:00Z</dcterms:created>
  <dcterms:modified xsi:type="dcterms:W3CDTF">2020-02-04T19:48:00Z</dcterms:modified>
</cp:coreProperties>
</file>