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72" w:rsidRDefault="00AF4F72" w:rsidP="00AF4F72">
      <w:pPr>
        <w:widowControl w:val="0"/>
        <w:jc w:val="center"/>
        <w:rPr>
          <w:b/>
        </w:rPr>
      </w:pPr>
      <w:bookmarkStart w:id="0" w:name="_GoBack"/>
      <w:bookmarkEnd w:id="0"/>
      <w:r w:rsidRPr="007C2CC1">
        <w:rPr>
          <w:b/>
        </w:rPr>
        <w:t xml:space="preserve">Expert consensus on injection technique and area-specific recommendations for the hyaluronic acid dermal filler VYC-12L to treat fine </w:t>
      </w:r>
      <w:r>
        <w:rPr>
          <w:b/>
        </w:rPr>
        <w:t xml:space="preserve">cutaneous </w:t>
      </w:r>
      <w:r w:rsidRPr="007C2CC1">
        <w:rPr>
          <w:b/>
        </w:rPr>
        <w:t>lines</w:t>
      </w:r>
    </w:p>
    <w:p w:rsidR="00C5310B" w:rsidRDefault="00C5310B" w:rsidP="00C5310B">
      <w:pPr>
        <w:jc w:val="center"/>
        <w:rPr>
          <w:bCs/>
        </w:rPr>
      </w:pPr>
      <w:r w:rsidRPr="00911C84">
        <w:rPr>
          <w:bCs/>
        </w:rPr>
        <w:t>Patricia Ogilvie, MD</w:t>
      </w:r>
      <w:r w:rsidRPr="00833260">
        <w:rPr>
          <w:bCs/>
          <w:vertAlign w:val="superscript"/>
        </w:rPr>
        <w:t>1</w:t>
      </w:r>
      <w:r w:rsidRPr="00911C84">
        <w:rPr>
          <w:bCs/>
        </w:rPr>
        <w:t xml:space="preserve">, </w:t>
      </w:r>
      <w:proofErr w:type="spellStart"/>
      <w:r w:rsidRPr="00911C84">
        <w:rPr>
          <w:bCs/>
        </w:rPr>
        <w:t>Jesper</w:t>
      </w:r>
      <w:proofErr w:type="spellEnd"/>
      <w:r w:rsidRPr="00911C84">
        <w:rPr>
          <w:bCs/>
        </w:rPr>
        <w:t xml:space="preserve"> </w:t>
      </w:r>
      <w:proofErr w:type="spellStart"/>
      <w:r w:rsidRPr="00911C84">
        <w:rPr>
          <w:bCs/>
        </w:rPr>
        <w:t>Thulesen</w:t>
      </w:r>
      <w:proofErr w:type="spellEnd"/>
      <w:r w:rsidRPr="00911C84">
        <w:rPr>
          <w:bCs/>
        </w:rPr>
        <w:t xml:space="preserve">, MD, PhD, </w:t>
      </w:r>
      <w:proofErr w:type="spellStart"/>
      <w:r w:rsidRPr="00911C84">
        <w:rPr>
          <w:bCs/>
        </w:rPr>
        <w:t>DrMedSci</w:t>
      </w:r>
      <w:proofErr w:type="spellEnd"/>
      <w:r w:rsidRPr="00911C84">
        <w:rPr>
          <w:bCs/>
        </w:rPr>
        <w:t>, FEBO</w:t>
      </w:r>
      <w:r w:rsidRPr="006E60DF">
        <w:rPr>
          <w:bCs/>
          <w:vertAlign w:val="superscript"/>
        </w:rPr>
        <w:t>2</w:t>
      </w:r>
      <w:r w:rsidRPr="00911C84">
        <w:rPr>
          <w:bCs/>
        </w:rPr>
        <w:t>, Christophe Leys, MD</w:t>
      </w:r>
      <w:r>
        <w:rPr>
          <w:bCs/>
          <w:vertAlign w:val="superscript"/>
        </w:rPr>
        <w:t>3</w:t>
      </w:r>
      <w:r>
        <w:rPr>
          <w:bCs/>
        </w:rPr>
        <w:t>,</w:t>
      </w:r>
      <w:r w:rsidRPr="008B1896">
        <w:rPr>
          <w:bCs/>
        </w:rPr>
        <w:t xml:space="preserve"> </w:t>
      </w:r>
      <w:r w:rsidRPr="00911C84">
        <w:rPr>
          <w:bCs/>
        </w:rPr>
        <w:t xml:space="preserve">Dimitris </w:t>
      </w:r>
      <w:proofErr w:type="spellStart"/>
      <w:r w:rsidRPr="00911C84">
        <w:rPr>
          <w:bCs/>
        </w:rPr>
        <w:t>Sykianakis</w:t>
      </w:r>
      <w:proofErr w:type="spellEnd"/>
      <w:r w:rsidRPr="00911C84">
        <w:rPr>
          <w:bCs/>
        </w:rPr>
        <w:t>, MD</w:t>
      </w:r>
      <w:r>
        <w:rPr>
          <w:bCs/>
        </w:rPr>
        <w:t>, PhD</w:t>
      </w:r>
      <w:r>
        <w:rPr>
          <w:bCs/>
          <w:vertAlign w:val="superscript"/>
        </w:rPr>
        <w:t>4</w:t>
      </w:r>
      <w:r w:rsidRPr="00911C84">
        <w:rPr>
          <w:bCs/>
        </w:rPr>
        <w:t>,</w:t>
      </w:r>
      <w:r w:rsidRPr="008B1896">
        <w:rPr>
          <w:bCs/>
        </w:rPr>
        <w:t xml:space="preserve"> </w:t>
      </w:r>
      <w:proofErr w:type="spellStart"/>
      <w:r w:rsidRPr="00911C84">
        <w:rPr>
          <w:bCs/>
        </w:rPr>
        <w:t>Jonquille</w:t>
      </w:r>
      <w:proofErr w:type="spellEnd"/>
      <w:r w:rsidRPr="00911C84">
        <w:rPr>
          <w:bCs/>
        </w:rPr>
        <w:t xml:space="preserve"> </w:t>
      </w:r>
      <w:proofErr w:type="spellStart"/>
      <w:r w:rsidRPr="00911C84">
        <w:rPr>
          <w:bCs/>
        </w:rPr>
        <w:t>Chantrey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5</w:t>
      </w:r>
      <w:r>
        <w:rPr>
          <w:bCs/>
        </w:rPr>
        <w:t xml:space="preserve">, </w:t>
      </w:r>
      <w:r w:rsidRPr="00911C84">
        <w:rPr>
          <w:bCs/>
        </w:rPr>
        <w:t xml:space="preserve">Marva </w:t>
      </w:r>
      <w:proofErr w:type="spellStart"/>
      <w:r w:rsidRPr="00911C84">
        <w:rPr>
          <w:bCs/>
        </w:rPr>
        <w:t>Safa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6</w:t>
      </w:r>
      <w:r w:rsidRPr="00911C84">
        <w:rPr>
          <w:bCs/>
        </w:rPr>
        <w:t>,</w:t>
      </w:r>
      <w:r w:rsidRPr="008B1896">
        <w:rPr>
          <w:bCs/>
        </w:rPr>
        <w:t xml:space="preserve"> </w:t>
      </w:r>
      <w:proofErr w:type="spellStart"/>
      <w:r w:rsidRPr="00911C84">
        <w:rPr>
          <w:bCs/>
        </w:rPr>
        <w:t>Vitor</w:t>
      </w:r>
      <w:proofErr w:type="spellEnd"/>
      <w:r w:rsidRPr="00911C84">
        <w:rPr>
          <w:bCs/>
        </w:rPr>
        <w:t xml:space="preserve"> </w:t>
      </w:r>
      <w:proofErr w:type="spellStart"/>
      <w:r w:rsidRPr="00911C84">
        <w:rPr>
          <w:bCs/>
        </w:rPr>
        <w:t>Figueiredo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7</w:t>
      </w:r>
      <w:r>
        <w:rPr>
          <w:bCs/>
        </w:rPr>
        <w:t xml:space="preserve">, </w:t>
      </w:r>
      <w:proofErr w:type="spellStart"/>
      <w:r w:rsidRPr="00911C84">
        <w:rPr>
          <w:bCs/>
        </w:rPr>
        <w:t>Izolda</w:t>
      </w:r>
      <w:proofErr w:type="spellEnd"/>
      <w:r w:rsidRPr="00911C84">
        <w:rPr>
          <w:bCs/>
        </w:rPr>
        <w:t xml:space="preserve"> </w:t>
      </w:r>
      <w:proofErr w:type="spellStart"/>
      <w:r w:rsidRPr="00911C84">
        <w:rPr>
          <w:bCs/>
        </w:rPr>
        <w:t>Heydenrych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8</w:t>
      </w:r>
      <w:r w:rsidRPr="00911C84">
        <w:rPr>
          <w:bCs/>
        </w:rPr>
        <w:t xml:space="preserve">, Maurizio </w:t>
      </w:r>
      <w:proofErr w:type="spellStart"/>
      <w:r w:rsidRPr="00911C84">
        <w:rPr>
          <w:bCs/>
        </w:rPr>
        <w:t>Cavallini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9</w:t>
      </w:r>
      <w:r w:rsidRPr="00911C84">
        <w:rPr>
          <w:bCs/>
        </w:rPr>
        <w:t xml:space="preserve">, Elin </w:t>
      </w:r>
      <w:proofErr w:type="spellStart"/>
      <w:r w:rsidRPr="00911C84">
        <w:rPr>
          <w:bCs/>
        </w:rPr>
        <w:t>Langeland</w:t>
      </w:r>
      <w:proofErr w:type="spellEnd"/>
      <w:r w:rsidRPr="00911C84">
        <w:rPr>
          <w:bCs/>
        </w:rPr>
        <w:t>, RN</w:t>
      </w:r>
      <w:r>
        <w:rPr>
          <w:bCs/>
          <w:vertAlign w:val="superscript"/>
        </w:rPr>
        <w:t>10</w:t>
      </w:r>
      <w:r>
        <w:rPr>
          <w:bCs/>
        </w:rPr>
        <w:t>, and Anne Wetter, MD</w:t>
      </w:r>
      <w:r w:rsidRPr="006E60DF">
        <w:rPr>
          <w:bCs/>
          <w:vertAlign w:val="superscript"/>
        </w:rPr>
        <w:t>1</w:t>
      </w:r>
      <w:r>
        <w:rPr>
          <w:bCs/>
          <w:vertAlign w:val="superscript"/>
        </w:rPr>
        <w:t>1</w:t>
      </w:r>
    </w:p>
    <w:p w:rsidR="00C5310B" w:rsidRDefault="00C5310B" w:rsidP="00AF4F72">
      <w:pPr>
        <w:widowControl w:val="0"/>
        <w:jc w:val="center"/>
      </w:pPr>
    </w:p>
    <w:p w:rsidR="00C5310B" w:rsidRDefault="00C5310B" w:rsidP="00C5310B">
      <w:pPr>
        <w:jc w:val="center"/>
        <w:rPr>
          <w:bCs/>
        </w:rPr>
      </w:pPr>
      <w:r w:rsidRPr="00911C84">
        <w:rPr>
          <w:bCs/>
        </w:rPr>
        <w:t>Patricia Ogilvie, MD</w:t>
      </w:r>
      <w:r w:rsidRPr="00833260">
        <w:rPr>
          <w:bCs/>
          <w:vertAlign w:val="superscript"/>
        </w:rPr>
        <w:t>1</w:t>
      </w:r>
      <w:r w:rsidRPr="00911C84">
        <w:rPr>
          <w:bCs/>
        </w:rPr>
        <w:t xml:space="preserve">, </w:t>
      </w:r>
      <w:proofErr w:type="spellStart"/>
      <w:r w:rsidRPr="00911C84">
        <w:rPr>
          <w:bCs/>
        </w:rPr>
        <w:t>Jesper</w:t>
      </w:r>
      <w:proofErr w:type="spellEnd"/>
      <w:r w:rsidRPr="00911C84">
        <w:rPr>
          <w:bCs/>
        </w:rPr>
        <w:t xml:space="preserve"> </w:t>
      </w:r>
      <w:proofErr w:type="spellStart"/>
      <w:r w:rsidRPr="00911C84">
        <w:rPr>
          <w:bCs/>
        </w:rPr>
        <w:t>Thulesen</w:t>
      </w:r>
      <w:proofErr w:type="spellEnd"/>
      <w:r w:rsidRPr="00911C84">
        <w:rPr>
          <w:bCs/>
        </w:rPr>
        <w:t xml:space="preserve">, MD, PhD, </w:t>
      </w:r>
      <w:proofErr w:type="spellStart"/>
      <w:r w:rsidRPr="00911C84">
        <w:rPr>
          <w:bCs/>
        </w:rPr>
        <w:t>DrMedSci</w:t>
      </w:r>
      <w:proofErr w:type="spellEnd"/>
      <w:r w:rsidRPr="00911C84">
        <w:rPr>
          <w:bCs/>
        </w:rPr>
        <w:t>, FEBO</w:t>
      </w:r>
      <w:r w:rsidRPr="006E60DF">
        <w:rPr>
          <w:bCs/>
          <w:vertAlign w:val="superscript"/>
        </w:rPr>
        <w:t>2</w:t>
      </w:r>
      <w:r w:rsidRPr="00911C84">
        <w:rPr>
          <w:bCs/>
        </w:rPr>
        <w:t>, Christophe Leys, MD</w:t>
      </w:r>
      <w:r>
        <w:rPr>
          <w:bCs/>
          <w:vertAlign w:val="superscript"/>
        </w:rPr>
        <w:t>3</w:t>
      </w:r>
      <w:r>
        <w:rPr>
          <w:bCs/>
        </w:rPr>
        <w:t>,</w:t>
      </w:r>
      <w:r w:rsidRPr="008B1896">
        <w:rPr>
          <w:bCs/>
        </w:rPr>
        <w:t xml:space="preserve"> </w:t>
      </w:r>
      <w:r w:rsidRPr="00911C84">
        <w:rPr>
          <w:bCs/>
        </w:rPr>
        <w:t xml:space="preserve">Dimitris </w:t>
      </w:r>
      <w:proofErr w:type="spellStart"/>
      <w:r w:rsidRPr="00911C84">
        <w:rPr>
          <w:bCs/>
        </w:rPr>
        <w:t>Sykianakis</w:t>
      </w:r>
      <w:proofErr w:type="spellEnd"/>
      <w:r w:rsidRPr="00911C84">
        <w:rPr>
          <w:bCs/>
        </w:rPr>
        <w:t>, MD</w:t>
      </w:r>
      <w:r>
        <w:rPr>
          <w:bCs/>
        </w:rPr>
        <w:t>, PhD</w:t>
      </w:r>
      <w:r>
        <w:rPr>
          <w:bCs/>
          <w:vertAlign w:val="superscript"/>
        </w:rPr>
        <w:t>4</w:t>
      </w:r>
      <w:r w:rsidRPr="00911C84">
        <w:rPr>
          <w:bCs/>
        </w:rPr>
        <w:t>,</w:t>
      </w:r>
      <w:r w:rsidRPr="008B1896">
        <w:rPr>
          <w:bCs/>
        </w:rPr>
        <w:t xml:space="preserve"> </w:t>
      </w:r>
      <w:proofErr w:type="spellStart"/>
      <w:r w:rsidRPr="00911C84">
        <w:rPr>
          <w:bCs/>
        </w:rPr>
        <w:t>Jonquille</w:t>
      </w:r>
      <w:proofErr w:type="spellEnd"/>
      <w:r w:rsidRPr="00911C84">
        <w:rPr>
          <w:bCs/>
        </w:rPr>
        <w:t xml:space="preserve"> </w:t>
      </w:r>
      <w:proofErr w:type="spellStart"/>
      <w:r w:rsidRPr="00911C84">
        <w:rPr>
          <w:bCs/>
        </w:rPr>
        <w:t>Chantrey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5</w:t>
      </w:r>
      <w:r>
        <w:rPr>
          <w:bCs/>
        </w:rPr>
        <w:t xml:space="preserve">, </w:t>
      </w:r>
      <w:r w:rsidRPr="00911C84">
        <w:rPr>
          <w:bCs/>
        </w:rPr>
        <w:t xml:space="preserve">Marva </w:t>
      </w:r>
      <w:proofErr w:type="spellStart"/>
      <w:r w:rsidRPr="00911C84">
        <w:rPr>
          <w:bCs/>
        </w:rPr>
        <w:t>Safa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6</w:t>
      </w:r>
      <w:r w:rsidRPr="00911C84">
        <w:rPr>
          <w:bCs/>
        </w:rPr>
        <w:t>,</w:t>
      </w:r>
      <w:r w:rsidRPr="008B1896">
        <w:rPr>
          <w:bCs/>
        </w:rPr>
        <w:t xml:space="preserve"> </w:t>
      </w:r>
      <w:proofErr w:type="spellStart"/>
      <w:r w:rsidRPr="00911C84">
        <w:rPr>
          <w:bCs/>
        </w:rPr>
        <w:t>Vitor</w:t>
      </w:r>
      <w:proofErr w:type="spellEnd"/>
      <w:r w:rsidRPr="00911C84">
        <w:rPr>
          <w:bCs/>
        </w:rPr>
        <w:t xml:space="preserve"> </w:t>
      </w:r>
      <w:proofErr w:type="spellStart"/>
      <w:r w:rsidRPr="00911C84">
        <w:rPr>
          <w:bCs/>
        </w:rPr>
        <w:t>Figueiredo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7</w:t>
      </w:r>
      <w:r>
        <w:rPr>
          <w:bCs/>
        </w:rPr>
        <w:t xml:space="preserve">, </w:t>
      </w:r>
      <w:proofErr w:type="spellStart"/>
      <w:r w:rsidRPr="00911C84">
        <w:rPr>
          <w:bCs/>
        </w:rPr>
        <w:t>Izolda</w:t>
      </w:r>
      <w:proofErr w:type="spellEnd"/>
      <w:r w:rsidRPr="00911C84">
        <w:rPr>
          <w:bCs/>
        </w:rPr>
        <w:t xml:space="preserve"> </w:t>
      </w:r>
      <w:proofErr w:type="spellStart"/>
      <w:r w:rsidRPr="00911C84">
        <w:rPr>
          <w:bCs/>
        </w:rPr>
        <w:t>Heydenrych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8</w:t>
      </w:r>
      <w:r w:rsidRPr="00911C84">
        <w:rPr>
          <w:bCs/>
        </w:rPr>
        <w:t xml:space="preserve">, Maurizio </w:t>
      </w:r>
      <w:proofErr w:type="spellStart"/>
      <w:r w:rsidRPr="00911C84">
        <w:rPr>
          <w:bCs/>
        </w:rPr>
        <w:t>Cavallini</w:t>
      </w:r>
      <w:proofErr w:type="spellEnd"/>
      <w:r w:rsidRPr="00911C84">
        <w:rPr>
          <w:bCs/>
        </w:rPr>
        <w:t>, MD</w:t>
      </w:r>
      <w:r>
        <w:rPr>
          <w:bCs/>
          <w:vertAlign w:val="superscript"/>
        </w:rPr>
        <w:t>9</w:t>
      </w:r>
      <w:r w:rsidRPr="00911C84">
        <w:rPr>
          <w:bCs/>
        </w:rPr>
        <w:t xml:space="preserve">, Elin </w:t>
      </w:r>
      <w:proofErr w:type="spellStart"/>
      <w:r w:rsidRPr="00911C84">
        <w:rPr>
          <w:bCs/>
        </w:rPr>
        <w:t>Langeland</w:t>
      </w:r>
      <w:proofErr w:type="spellEnd"/>
      <w:r w:rsidRPr="00911C84">
        <w:rPr>
          <w:bCs/>
        </w:rPr>
        <w:t>, RN</w:t>
      </w:r>
      <w:r>
        <w:rPr>
          <w:bCs/>
          <w:vertAlign w:val="superscript"/>
        </w:rPr>
        <w:t>10</w:t>
      </w:r>
      <w:r>
        <w:rPr>
          <w:bCs/>
        </w:rPr>
        <w:t>, and Anne Wetter, MD</w:t>
      </w:r>
      <w:r w:rsidRPr="006E60DF">
        <w:rPr>
          <w:bCs/>
          <w:vertAlign w:val="superscript"/>
        </w:rPr>
        <w:t>1</w:t>
      </w:r>
      <w:r>
        <w:rPr>
          <w:bCs/>
          <w:vertAlign w:val="superscript"/>
        </w:rPr>
        <w:t>1</w:t>
      </w:r>
    </w:p>
    <w:p w:rsidR="00C5310B" w:rsidRDefault="00C5310B" w:rsidP="00AF4F72">
      <w:pPr>
        <w:widowControl w:val="0"/>
        <w:jc w:val="center"/>
      </w:pPr>
    </w:p>
    <w:p w:rsidR="00C5310B" w:rsidRPr="00C5310B" w:rsidRDefault="00C5310B" w:rsidP="00AF4F72">
      <w:pPr>
        <w:widowControl w:val="0"/>
        <w:jc w:val="center"/>
        <w:rPr>
          <w:b/>
          <w:sz w:val="32"/>
          <w:szCs w:val="32"/>
        </w:rPr>
      </w:pPr>
      <w:r w:rsidRPr="00C5310B">
        <w:rPr>
          <w:b/>
          <w:sz w:val="32"/>
          <w:szCs w:val="32"/>
        </w:rPr>
        <w:t>Supplemental Table</w:t>
      </w:r>
    </w:p>
    <w:p w:rsidR="00AF4F72" w:rsidRDefault="00AF4F72" w:rsidP="00AF4F72">
      <w:pPr>
        <w:widowControl w:val="0"/>
        <w:rPr>
          <w:b/>
        </w:rPr>
      </w:pPr>
    </w:p>
    <w:p w:rsidR="00C5310B" w:rsidRDefault="00C5310B">
      <w:pPr>
        <w:tabs>
          <w:tab w:val="clear" w:pos="0"/>
        </w:tabs>
        <w:spacing w:after="200" w:line="276" w:lineRule="auto"/>
        <w:outlineLvl w:val="9"/>
        <w:rPr>
          <w:b/>
        </w:rPr>
      </w:pPr>
      <w:r>
        <w:rPr>
          <w:b/>
        </w:rPr>
        <w:br w:type="page"/>
      </w:r>
    </w:p>
    <w:p w:rsidR="00AF4F72" w:rsidRPr="007C2CC1" w:rsidRDefault="00AF4F72" w:rsidP="00AF4F72">
      <w:pPr>
        <w:widowControl w:val="0"/>
        <w:rPr>
          <w:b/>
        </w:rPr>
      </w:pPr>
      <w:proofErr w:type="gramStart"/>
      <w:r w:rsidRPr="007C2CC1">
        <w:rPr>
          <w:b/>
        </w:rPr>
        <w:lastRenderedPageBreak/>
        <w:t>Supplemental Table.</w:t>
      </w:r>
      <w:proofErr w:type="gramEnd"/>
      <w:r w:rsidRPr="007C2CC1">
        <w:rPr>
          <w:b/>
        </w:rPr>
        <w:t xml:space="preserve"> </w:t>
      </w:r>
      <w:r w:rsidRPr="007C2CC1">
        <w:t>Experience-Phase Survey Questions and Results</w:t>
      </w: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2429"/>
        <w:gridCol w:w="1712"/>
        <w:gridCol w:w="1710"/>
      </w:tblGrid>
      <w:tr w:rsidR="00AF4F72" w:rsidRPr="007C2CC1" w:rsidTr="00BD094B">
        <w:tc>
          <w:tcPr>
            <w:tcW w:w="3347" w:type="dxa"/>
            <w:vMerge w:val="restart"/>
            <w:tcBorders>
              <w:top w:val="single" w:sz="12" w:space="0" w:color="auto"/>
            </w:tcBorders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2429" w:type="dxa"/>
            <w:vMerge w:val="restart"/>
            <w:tcBorders>
              <w:top w:val="single" w:sz="12" w:space="0" w:color="auto"/>
            </w:tcBorders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Response</w:t>
            </w:r>
          </w:p>
        </w:tc>
        <w:tc>
          <w:tcPr>
            <w:tcW w:w="342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% of Participants, N=128</w:t>
            </w:r>
          </w:p>
        </w:tc>
      </w:tr>
      <w:tr w:rsidR="00AF4F72" w:rsidRPr="007C2CC1" w:rsidTr="00BD094B">
        <w:tc>
          <w:tcPr>
            <w:tcW w:w="3347" w:type="dxa"/>
            <w:vMerge/>
            <w:tcBorders>
              <w:bottom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bottom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First Patient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Last Patient</w:t>
            </w:r>
          </w:p>
        </w:tc>
      </w:tr>
      <w:tr w:rsidR="00AF4F72" w:rsidRPr="007C2CC1" w:rsidTr="00BD094B">
        <w:tc>
          <w:tcPr>
            <w:tcW w:w="3347" w:type="dxa"/>
            <w:vMerge w:val="restart"/>
            <w:tcBorders>
              <w:top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What is your preferred injection technique?</w:t>
            </w:r>
          </w:p>
        </w:tc>
        <w:tc>
          <w:tcPr>
            <w:tcW w:w="2429" w:type="dxa"/>
            <w:tcBorders>
              <w:top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Micro-depot</w:t>
            </w:r>
          </w:p>
        </w:tc>
        <w:tc>
          <w:tcPr>
            <w:tcW w:w="1712" w:type="dxa"/>
            <w:tcBorders>
              <w:top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83.5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82.3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Fanning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7.0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7.4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Cross-hatch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4.4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4.4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Sheeting with cannula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5.2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5.9</w:t>
            </w:r>
          </w:p>
        </w:tc>
      </w:tr>
      <w:tr w:rsidR="00AF4F72" w:rsidRPr="007C2CC1" w:rsidTr="00BD094B">
        <w:tc>
          <w:tcPr>
            <w:tcW w:w="3347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 xml:space="preserve">Please provide details of your micro-depot* technique regarding: </w:t>
            </w: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F4F72" w:rsidRPr="007C2CC1" w:rsidTr="00BD094B">
        <w:tc>
          <w:tcPr>
            <w:tcW w:w="3347" w:type="dxa"/>
            <w:vMerge w:val="restart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Spacing between injections</w:t>
            </w:r>
            <w:r>
              <w:rPr>
                <w:sz w:val="22"/>
                <w:szCs w:val="22"/>
              </w:rPr>
              <w:t>, cm</w:t>
            </w: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0.1</w:t>
            </w:r>
            <w:r w:rsidRPr="007C2CC1">
              <w:rPr>
                <w:rFonts w:cs="Arial"/>
                <w:sz w:val="22"/>
                <w:szCs w:val="22"/>
              </w:rPr>
              <w:t>‒</w:t>
            </w:r>
            <w:r w:rsidRPr="007C2CC1">
              <w:rPr>
                <w:sz w:val="22"/>
                <w:szCs w:val="22"/>
              </w:rPr>
              <w:t>0.5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2.1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5.3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0.5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15.6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12.3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&gt;0.5</w:t>
            </w:r>
            <w:r w:rsidRPr="007C2CC1">
              <w:rPr>
                <w:rFonts w:cs="Arial"/>
                <w:sz w:val="22"/>
                <w:szCs w:val="22"/>
              </w:rPr>
              <w:t>‒1.0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58.3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61.4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2.0</w:t>
            </w:r>
            <w:r w:rsidRPr="007C2CC1">
              <w:rPr>
                <w:rFonts w:cs="Arial"/>
                <w:sz w:val="22"/>
                <w:szCs w:val="22"/>
              </w:rPr>
              <w:t>‒10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13.5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12.3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15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2.1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1.8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Other</w:t>
            </w:r>
          </w:p>
        </w:tc>
        <w:tc>
          <w:tcPr>
            <w:tcW w:w="1712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8.3</w:t>
            </w:r>
          </w:p>
        </w:tc>
        <w:tc>
          <w:tcPr>
            <w:tcW w:w="171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7.0</w:t>
            </w:r>
          </w:p>
        </w:tc>
      </w:tr>
      <w:tr w:rsidR="00AF4F72" w:rsidRPr="007C2CC1" w:rsidTr="00BD094B">
        <w:tc>
          <w:tcPr>
            <w:tcW w:w="3347" w:type="dxa"/>
            <w:vMerge w:val="restart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Quantity injected at each point</w:t>
            </w:r>
            <w:r>
              <w:rPr>
                <w:sz w:val="22"/>
                <w:szCs w:val="22"/>
              </w:rPr>
              <w:t>, mL</w:t>
            </w:r>
            <w:r w:rsidRPr="007C2C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0.01</w:t>
            </w:r>
            <w:r w:rsidRPr="007C2CC1">
              <w:rPr>
                <w:rFonts w:cs="Arial"/>
                <w:sz w:val="22"/>
                <w:szCs w:val="22"/>
              </w:rPr>
              <w:t>‒</w:t>
            </w:r>
            <w:r w:rsidRPr="007C2CC1">
              <w:rPr>
                <w:rFonts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59.7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0.05</w:t>
            </w:r>
            <w:r w:rsidRPr="007C2CC1">
              <w:rPr>
                <w:rFonts w:cs="Arial"/>
                <w:sz w:val="22"/>
                <w:szCs w:val="22"/>
              </w:rPr>
              <w:t>‒</w:t>
            </w:r>
            <w:r w:rsidRPr="007C2CC1">
              <w:rPr>
                <w:rFonts w:cs="Arial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8.8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0.2</w:t>
            </w:r>
            <w:r w:rsidRPr="007C2CC1">
              <w:rPr>
                <w:rFonts w:cs="Arial"/>
                <w:sz w:val="22"/>
                <w:szCs w:val="22"/>
              </w:rPr>
              <w:t>‒</w:t>
            </w:r>
            <w:r w:rsidRPr="007C2CC1">
              <w:rPr>
                <w:rFonts w:cs="Arial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8.8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2</w:t>
            </w:r>
            <w:r w:rsidRPr="007C2CC1">
              <w:rPr>
                <w:rFonts w:cs="Arial"/>
                <w:sz w:val="22"/>
                <w:szCs w:val="22"/>
              </w:rPr>
              <w:t>‒</w:t>
            </w:r>
            <w:r w:rsidRPr="007C2CC1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17.5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10–25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5.3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AF4F72" w:rsidRPr="007C2CC1" w:rsidTr="00BD094B">
        <w:tc>
          <w:tcPr>
            <w:tcW w:w="3347" w:type="dxa"/>
            <w:vMerge w:val="restart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Angle of needle/cannula to skin</w:t>
            </w:r>
            <w:r>
              <w:rPr>
                <w:sz w:val="22"/>
                <w:szCs w:val="22"/>
              </w:rPr>
              <w:t>, degrees</w:t>
            </w: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15–40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28.1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39.3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39.3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60–75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5.4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7.1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5.0</w:t>
            </w:r>
          </w:p>
        </w:tc>
      </w:tr>
      <w:tr w:rsidR="00AF4F72" w:rsidRPr="007C2CC1" w:rsidTr="00BD094B">
        <w:tc>
          <w:tcPr>
            <w:tcW w:w="3347" w:type="dxa"/>
            <w:vMerge w:val="restart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If you had the choice, which needle/cannula would you prefer to use with this product?</w:t>
            </w: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30G 1/2"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5.8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30G 1/6"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5.8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32G 1/2"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53.9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63.8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32G 3/16"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11.6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Cannula: 30G 23 mm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2.9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Cannula: 30G 19 mm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AF4F72" w:rsidRPr="007C2CC1" w:rsidTr="00BD094B">
        <w:tc>
          <w:tcPr>
            <w:tcW w:w="3347" w:type="dxa"/>
            <w:vMerge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12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1710" w:type="dxa"/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C2CC1">
              <w:rPr>
                <w:rFonts w:cs="Arial"/>
                <w:color w:val="000000"/>
                <w:sz w:val="22"/>
                <w:szCs w:val="22"/>
              </w:rPr>
              <w:t>10.1</w:t>
            </w:r>
          </w:p>
        </w:tc>
      </w:tr>
    </w:tbl>
    <w:p w:rsidR="00AF4F72" w:rsidRPr="007C2CC1" w:rsidRDefault="00AF4F72" w:rsidP="00AF4F72"/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1890"/>
        <w:gridCol w:w="1890"/>
      </w:tblGrid>
      <w:tr w:rsidR="00AF4F72" w:rsidRPr="007C2CC1" w:rsidTr="00BD094B">
        <w:tc>
          <w:tcPr>
            <w:tcW w:w="5418" w:type="dxa"/>
            <w:vMerge w:val="restart"/>
            <w:tcBorders>
              <w:top w:val="single" w:sz="12" w:space="0" w:color="auto"/>
            </w:tcBorders>
            <w:vAlign w:val="bottom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Mean Rating</w:t>
            </w:r>
          </w:p>
        </w:tc>
      </w:tr>
      <w:tr w:rsidR="00AF4F72" w:rsidRPr="007C2CC1" w:rsidTr="00BD094B">
        <w:tc>
          <w:tcPr>
            <w:tcW w:w="5418" w:type="dxa"/>
            <w:vMerge/>
            <w:tcBorders>
              <w:bottom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First Patient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7C2CC1">
              <w:rPr>
                <w:b/>
                <w:sz w:val="22"/>
                <w:szCs w:val="22"/>
              </w:rPr>
              <w:t>Last Patient</w:t>
            </w:r>
          </w:p>
        </w:tc>
      </w:tr>
      <w:tr w:rsidR="00AF4F72" w:rsidRPr="007C2CC1" w:rsidTr="00BD094B">
        <w:tc>
          <w:tcPr>
            <w:tcW w:w="5418" w:type="dxa"/>
            <w:tcBorders>
              <w:top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On a scale of 1</w:t>
            </w:r>
            <w:r w:rsidRPr="007C2CC1">
              <w:rPr>
                <w:rFonts w:cs="Arial"/>
                <w:sz w:val="22"/>
                <w:szCs w:val="22"/>
              </w:rPr>
              <w:t>–</w:t>
            </w:r>
            <w:r w:rsidRPr="007C2CC1">
              <w:rPr>
                <w:sz w:val="22"/>
                <w:szCs w:val="22"/>
              </w:rPr>
              <w:t>10, how acceptable do you think treatment with this product is to a patient?</w:t>
            </w:r>
          </w:p>
        </w:tc>
        <w:tc>
          <w:tcPr>
            <w:tcW w:w="1890" w:type="dxa"/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8.3 (n=116)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8.5 (n=69)</w:t>
            </w:r>
          </w:p>
        </w:tc>
      </w:tr>
      <w:tr w:rsidR="00AF4F72" w:rsidRPr="007C2CC1" w:rsidTr="00BD094B">
        <w:tc>
          <w:tcPr>
            <w:tcW w:w="5418" w:type="dxa"/>
            <w:tcBorders>
              <w:bottom w:val="single" w:sz="4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On a scale of 1</w:t>
            </w:r>
            <w:r w:rsidRPr="007C2CC1">
              <w:rPr>
                <w:rFonts w:cs="Arial"/>
                <w:sz w:val="22"/>
                <w:szCs w:val="22"/>
              </w:rPr>
              <w:t>–</w:t>
            </w:r>
            <w:r w:rsidRPr="007C2CC1">
              <w:rPr>
                <w:sz w:val="22"/>
                <w:szCs w:val="22"/>
              </w:rPr>
              <w:t>10, how happy would you be to recommend this product to other medical practitioners?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8.5 (n=115)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F4F72" w:rsidRPr="007C2CC1" w:rsidRDefault="00AF4F72" w:rsidP="00BD094B">
            <w:pPr>
              <w:widowControl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7C2CC1">
              <w:rPr>
                <w:sz w:val="22"/>
                <w:szCs w:val="22"/>
              </w:rPr>
              <w:t>8.5 (n=69)</w:t>
            </w:r>
          </w:p>
        </w:tc>
      </w:tr>
    </w:tbl>
    <w:p w:rsidR="00AF4F72" w:rsidRPr="004605A0" w:rsidRDefault="00AF4F72" w:rsidP="00AF4F72">
      <w:pPr>
        <w:widowControl w:val="0"/>
        <w:spacing w:line="276" w:lineRule="auto"/>
        <w:rPr>
          <w:sz w:val="20"/>
          <w:szCs w:val="20"/>
        </w:rPr>
      </w:pPr>
      <w:r w:rsidRPr="004605A0">
        <w:rPr>
          <w:sz w:val="20"/>
          <w:szCs w:val="20"/>
        </w:rPr>
        <w:t>*Details about injection technique are shown for micro-depot technique only because micro-depot was the technique preferred by &gt;80% of participants.</w:t>
      </w:r>
    </w:p>
    <w:p w:rsidR="000D3E69" w:rsidRDefault="000D3E69"/>
    <w:sectPr w:rsidR="000D3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847EF"/>
    <w:multiLevelType w:val="multilevel"/>
    <w:tmpl w:val="D1F2E0D8"/>
    <w:lvl w:ilvl="0">
      <w:start w:val="1"/>
      <w:numFmt w:val="upperRoman"/>
      <w:pStyle w:val="Heading1"/>
      <w:lvlText w:val="%1."/>
      <w:lvlJc w:val="left"/>
      <w:pPr>
        <w:tabs>
          <w:tab w:val="num" w:pos="-864"/>
        </w:tabs>
        <w:ind w:left="-864" w:hanging="5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-288"/>
        </w:tabs>
        <w:ind w:left="792" w:hanging="7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296"/>
        </w:tabs>
        <w:ind w:left="1296" w:hanging="5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320"/>
        </w:tabs>
        <w:ind w:left="41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72"/>
    <w:rsid w:val="000D3E69"/>
    <w:rsid w:val="001A02B9"/>
    <w:rsid w:val="00AF4F72"/>
    <w:rsid w:val="00C5310B"/>
    <w:rsid w:val="00CE4A8B"/>
    <w:rsid w:val="00D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F72"/>
    <w:pPr>
      <w:tabs>
        <w:tab w:val="left" w:pos="0"/>
      </w:tabs>
      <w:spacing w:after="0" w:line="480" w:lineRule="auto"/>
      <w:outlineLvl w:val="0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Heading2"/>
    <w:link w:val="Heading1Char"/>
    <w:rsid w:val="00D46D1D"/>
    <w:pPr>
      <w:keepNext/>
      <w:numPr>
        <w:numId w:val="1"/>
      </w:numPr>
      <w:tabs>
        <w:tab w:val="clear" w:pos="0"/>
      </w:tabs>
      <w:spacing w:after="120" w:line="240" w:lineRule="auto"/>
    </w:pPr>
    <w:rPr>
      <w:rFonts w:cs="Arial"/>
      <w:b/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D1D"/>
    <w:pPr>
      <w:keepNext/>
      <w:keepLines/>
      <w:numPr>
        <w:ilvl w:val="1"/>
        <w:numId w:val="1"/>
      </w:numPr>
      <w:tabs>
        <w:tab w:val="clear" w:pos="0"/>
      </w:tabs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D1D"/>
    <w:rPr>
      <w:rFonts w:ascii="Arial" w:eastAsia="Times New Roman" w:hAnsi="Arial" w:cs="Arial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rsid w:val="00CE4A8B"/>
    <w:pPr>
      <w:tabs>
        <w:tab w:val="clear" w:pos="0"/>
      </w:tabs>
      <w:spacing w:line="240" w:lineRule="auto"/>
      <w:outlineLvl w:val="9"/>
    </w:pPr>
    <w:rPr>
      <w:rFonts w:eastAsia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CE4A8B"/>
    <w:rPr>
      <w:rFonts w:ascii="Arial" w:hAnsi="Arial"/>
    </w:rPr>
  </w:style>
  <w:style w:type="table" w:styleId="TableGrid">
    <w:name w:val="Table Grid"/>
    <w:basedOn w:val="TableNormal"/>
    <w:rsid w:val="00AF4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F72"/>
    <w:pPr>
      <w:tabs>
        <w:tab w:val="left" w:pos="0"/>
      </w:tabs>
      <w:spacing w:after="0" w:line="480" w:lineRule="auto"/>
      <w:outlineLvl w:val="0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Heading2"/>
    <w:link w:val="Heading1Char"/>
    <w:rsid w:val="00D46D1D"/>
    <w:pPr>
      <w:keepNext/>
      <w:numPr>
        <w:numId w:val="1"/>
      </w:numPr>
      <w:tabs>
        <w:tab w:val="clear" w:pos="0"/>
      </w:tabs>
      <w:spacing w:after="120" w:line="240" w:lineRule="auto"/>
    </w:pPr>
    <w:rPr>
      <w:rFonts w:cs="Arial"/>
      <w:b/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D1D"/>
    <w:pPr>
      <w:keepNext/>
      <w:keepLines/>
      <w:numPr>
        <w:ilvl w:val="1"/>
        <w:numId w:val="1"/>
      </w:numPr>
      <w:tabs>
        <w:tab w:val="clear" w:pos="0"/>
      </w:tabs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D1D"/>
    <w:rPr>
      <w:rFonts w:ascii="Arial" w:eastAsia="Times New Roman" w:hAnsi="Arial" w:cs="Arial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rsid w:val="00CE4A8B"/>
    <w:pPr>
      <w:tabs>
        <w:tab w:val="clear" w:pos="0"/>
      </w:tabs>
      <w:spacing w:line="240" w:lineRule="auto"/>
      <w:outlineLvl w:val="9"/>
    </w:pPr>
    <w:rPr>
      <w:rFonts w:eastAsia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CE4A8B"/>
    <w:rPr>
      <w:rFonts w:ascii="Arial" w:hAnsi="Arial"/>
    </w:rPr>
  </w:style>
  <w:style w:type="table" w:styleId="TableGrid">
    <w:name w:val="Table Grid"/>
    <w:basedOn w:val="TableNormal"/>
    <w:rsid w:val="00AF4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Zindle</dc:creator>
  <cp:lastModifiedBy>Gretchen Bondi</cp:lastModifiedBy>
  <cp:revision>2</cp:revision>
  <dcterms:created xsi:type="dcterms:W3CDTF">2020-01-31T15:05:00Z</dcterms:created>
  <dcterms:modified xsi:type="dcterms:W3CDTF">2020-01-31T15:05:00Z</dcterms:modified>
</cp:coreProperties>
</file>