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F8325" w14:textId="77777777" w:rsidR="009B1B01" w:rsidRDefault="001E7DA7">
      <w:bookmarkStart w:id="0" w:name="_GoBack"/>
      <w:bookmarkEnd w:id="0"/>
      <w:r>
        <w:t>Supplemental figure 1</w:t>
      </w:r>
    </w:p>
    <w:p w14:paraId="32070520" w14:textId="20C5B848" w:rsidR="001E7DA7" w:rsidRDefault="00715252">
      <w:r>
        <w:rPr>
          <w:noProof/>
        </w:rPr>
        <w:drawing>
          <wp:inline distT="0" distB="0" distL="0" distR="0" wp14:anchorId="5F8A098D" wp14:editId="4FDB07C4">
            <wp:extent cx="3171825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C5891" w14:textId="77777777" w:rsidR="001E7DA7" w:rsidRDefault="001E7DA7"/>
    <w:p w14:paraId="3BBE9881" w14:textId="77777777" w:rsidR="001E7DA7" w:rsidRDefault="001E7DA7"/>
    <w:p w14:paraId="19ED60EF" w14:textId="77777777" w:rsidR="001E7DA7" w:rsidRDefault="001E7DA7"/>
    <w:p w14:paraId="42AC8305" w14:textId="77777777" w:rsidR="001E7DA7" w:rsidRDefault="001E7DA7">
      <w:r>
        <w:t>Supplemental figure 2</w:t>
      </w:r>
    </w:p>
    <w:p w14:paraId="6F2B3A9E" w14:textId="5398FBB1" w:rsidR="001E7DA7" w:rsidRDefault="00715252">
      <w:r>
        <w:rPr>
          <w:noProof/>
        </w:rPr>
        <w:drawing>
          <wp:inline distT="0" distB="0" distL="0" distR="0" wp14:anchorId="4D9D5A10" wp14:editId="52F31C7E">
            <wp:extent cx="3257550" cy="2705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4BD80" w14:textId="77777777" w:rsidR="001E7DA7" w:rsidRDefault="001E7DA7"/>
    <w:p w14:paraId="6196CC50" w14:textId="77777777" w:rsidR="001E7DA7" w:rsidRDefault="001E7DA7">
      <w:r>
        <w:t>Supplemental figure 3</w:t>
      </w:r>
    </w:p>
    <w:p w14:paraId="7128F9B8" w14:textId="23490E31" w:rsidR="001E7DA7" w:rsidRDefault="00715252">
      <w:r>
        <w:rPr>
          <w:noProof/>
        </w:rPr>
        <w:drawing>
          <wp:inline distT="0" distB="0" distL="0" distR="0" wp14:anchorId="2894EA9C" wp14:editId="784C5440">
            <wp:extent cx="2857500" cy="2638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0EDD2" w14:textId="77777777" w:rsidR="001E7DA7" w:rsidRDefault="001E7DA7"/>
    <w:p w14:paraId="5AB0735E" w14:textId="77777777" w:rsidR="001E7DA7" w:rsidRDefault="001E7DA7"/>
    <w:p w14:paraId="3E46D46F" w14:textId="77777777" w:rsidR="001E7DA7" w:rsidRDefault="001E7DA7">
      <w:r>
        <w:lastRenderedPageBreak/>
        <w:t>Supplemental table 1</w:t>
      </w:r>
    </w:p>
    <w:p w14:paraId="3E5086C2" w14:textId="77777777" w:rsidR="001E7DA7" w:rsidRPr="005E1E46" w:rsidRDefault="001E7DA7" w:rsidP="001E7DA7">
      <w:pPr>
        <w:spacing w:line="360" w:lineRule="auto"/>
        <w:jc w:val="center"/>
        <w:rPr>
          <w:rFonts w:ascii="Arial" w:hAnsi="Arial" w:cs="Arial"/>
          <w:szCs w:val="21"/>
        </w:rPr>
      </w:pPr>
      <w:bookmarkStart w:id="1" w:name="_Hlk15102289"/>
      <w:r w:rsidRPr="005E1E46">
        <w:rPr>
          <w:rFonts w:ascii="Arial" w:hAnsi="Arial" w:cs="Arial"/>
          <w:szCs w:val="21"/>
        </w:rPr>
        <w:t>Table 1 Clinical pathologic characteristics of the 26 enrolled ALL patients</w:t>
      </w:r>
    </w:p>
    <w:tbl>
      <w:tblPr>
        <w:tblW w:w="7367" w:type="dxa"/>
        <w:jc w:val="center"/>
        <w:tblLook w:val="04A0" w:firstRow="1" w:lastRow="0" w:firstColumn="1" w:lastColumn="0" w:noHBand="0" w:noVBand="1"/>
      </w:tblPr>
      <w:tblGrid>
        <w:gridCol w:w="5010"/>
        <w:gridCol w:w="2357"/>
      </w:tblGrid>
      <w:tr w:rsidR="001E7DA7" w:rsidRPr="005E1E46" w14:paraId="2EBA1E44" w14:textId="77777777" w:rsidTr="00DA4CF6">
        <w:trPr>
          <w:trHeight w:val="285"/>
          <w:jc w:val="center"/>
        </w:trPr>
        <w:tc>
          <w:tcPr>
            <w:tcW w:w="50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4E918D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Patients demographics</w:t>
            </w:r>
          </w:p>
        </w:tc>
        <w:tc>
          <w:tcPr>
            <w:tcW w:w="23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32963B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Number of patients</w:t>
            </w:r>
          </w:p>
        </w:tc>
      </w:tr>
      <w:tr w:rsidR="001E7DA7" w:rsidRPr="005E1E46" w14:paraId="06C5B9F1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7DF76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473A7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</w:p>
        </w:tc>
      </w:tr>
      <w:tr w:rsidR="001E7DA7" w:rsidRPr="005E1E46" w14:paraId="36622305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B1815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 xml:space="preserve">   Male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7CD0D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</w:rPr>
              <w:t>17</w:t>
            </w:r>
          </w:p>
        </w:tc>
      </w:tr>
      <w:tr w:rsidR="001E7DA7" w:rsidRPr="005E1E46" w14:paraId="51B4A9F0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6529A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 xml:space="preserve">   Female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BCB57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</w:rPr>
              <w:t>9</w:t>
            </w:r>
          </w:p>
        </w:tc>
      </w:tr>
      <w:tr w:rsidR="001E7DA7" w:rsidRPr="005E1E46" w14:paraId="1362CC1B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83428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Splenic enlargement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59F72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</w:p>
        </w:tc>
      </w:tr>
      <w:tr w:rsidR="001E7DA7" w:rsidRPr="005E1E46" w14:paraId="3BC894D3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CECAB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 xml:space="preserve">   Yes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03330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</w:rPr>
              <w:t>6</w:t>
            </w:r>
          </w:p>
        </w:tc>
      </w:tr>
      <w:tr w:rsidR="001E7DA7" w:rsidRPr="005E1E46" w14:paraId="080735E2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23B12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 xml:space="preserve">   No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0E1E8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</w:rPr>
              <w:t>20</w:t>
            </w:r>
          </w:p>
        </w:tc>
      </w:tr>
      <w:tr w:rsidR="001E7DA7" w:rsidRPr="005E1E46" w14:paraId="64E7866E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AE636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Hemoglobin (g/L)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E678F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</w:p>
        </w:tc>
      </w:tr>
      <w:tr w:rsidR="001E7DA7" w:rsidRPr="005E1E46" w14:paraId="06661183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D0D9E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 xml:space="preserve">   &lt;110.0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03033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</w:rPr>
              <w:t>18</w:t>
            </w:r>
          </w:p>
        </w:tc>
      </w:tr>
      <w:tr w:rsidR="001E7DA7" w:rsidRPr="005E1E46" w14:paraId="02AD428A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A812B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 xml:space="preserve">   &gt;110.0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A1966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</w:rPr>
              <w:t>8</w:t>
            </w:r>
          </w:p>
        </w:tc>
      </w:tr>
      <w:tr w:rsidR="001E7DA7" w:rsidRPr="005E1E46" w14:paraId="594DCEDE" w14:textId="77777777" w:rsidTr="00DA4CF6">
        <w:trPr>
          <w:trHeight w:val="33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E4B80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WBC Count (10</w:t>
            </w: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  <w:vertAlign w:val="superscript"/>
              </w:rPr>
              <w:t>9</w:t>
            </w: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33D27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</w:p>
        </w:tc>
      </w:tr>
      <w:tr w:rsidR="001E7DA7" w:rsidRPr="005E1E46" w14:paraId="6C2751CA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6025A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 xml:space="preserve">   20-100                          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4F929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</w:rPr>
              <w:t>4</w:t>
            </w:r>
          </w:p>
        </w:tc>
      </w:tr>
      <w:tr w:rsidR="001E7DA7" w:rsidRPr="005E1E46" w14:paraId="234A524B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99F8E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 xml:space="preserve">    &gt;100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AD716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</w:rPr>
              <w:t>22</w:t>
            </w:r>
          </w:p>
        </w:tc>
      </w:tr>
      <w:tr w:rsidR="001E7DA7" w:rsidRPr="005E1E46" w14:paraId="754AE727" w14:textId="77777777" w:rsidTr="00DA4CF6">
        <w:trPr>
          <w:trHeight w:val="33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3BEEA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Platelet count (10</w:t>
            </w: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  <w:vertAlign w:val="superscript"/>
              </w:rPr>
              <w:t>9</w:t>
            </w: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015A3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</w:p>
        </w:tc>
      </w:tr>
      <w:tr w:rsidR="001E7DA7" w:rsidRPr="005E1E46" w14:paraId="69EAB12E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2B44F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 xml:space="preserve">   &lt;100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C1F53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SimSun" w:hAnsi="Arial" w:cs="Arial"/>
                <w:color w:val="000000"/>
                <w:kern w:val="0"/>
                <w:szCs w:val="21"/>
              </w:rPr>
              <w:t>7</w:t>
            </w:r>
          </w:p>
        </w:tc>
      </w:tr>
      <w:tr w:rsidR="001E7DA7" w:rsidRPr="005E1E46" w14:paraId="58CA926D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C1FA1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 xml:space="preserve">   100-300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64F3C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Cs w:val="21"/>
              </w:rPr>
              <w:t>9</w:t>
            </w:r>
          </w:p>
        </w:tc>
      </w:tr>
      <w:tr w:rsidR="001E7DA7" w:rsidRPr="005E1E46" w14:paraId="0DCADDF3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0536F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Subtype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DC27D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</w:p>
        </w:tc>
      </w:tr>
      <w:tr w:rsidR="001E7DA7" w:rsidRPr="005E1E46" w14:paraId="58619E9D" w14:textId="77777777" w:rsidTr="00DA4CF6">
        <w:trPr>
          <w:trHeight w:val="270"/>
          <w:jc w:val="center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17105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 xml:space="preserve">   T-ALL                             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9A592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10</w:t>
            </w:r>
          </w:p>
        </w:tc>
      </w:tr>
      <w:tr w:rsidR="001E7DA7" w:rsidRPr="005E1E46" w14:paraId="4D0CEB1B" w14:textId="77777777" w:rsidTr="00DA4CF6">
        <w:trPr>
          <w:trHeight w:val="285"/>
          <w:jc w:val="center"/>
        </w:trPr>
        <w:tc>
          <w:tcPr>
            <w:tcW w:w="50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0EDF4D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 xml:space="preserve">   B-ALL  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9966E3" w14:textId="77777777" w:rsidR="001E7DA7" w:rsidRPr="005E1E46" w:rsidRDefault="001E7DA7" w:rsidP="00DA4CF6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5E1E46">
              <w:rPr>
                <w:rFonts w:ascii="Arial" w:eastAsia="SimSun" w:hAnsi="Arial" w:cs="Arial"/>
                <w:color w:val="000000"/>
                <w:kern w:val="0"/>
                <w:szCs w:val="21"/>
              </w:rPr>
              <w:t>16</w:t>
            </w:r>
          </w:p>
        </w:tc>
      </w:tr>
      <w:bookmarkEnd w:id="1"/>
    </w:tbl>
    <w:p w14:paraId="03A44015" w14:textId="77777777" w:rsidR="001E7DA7" w:rsidRDefault="001E7DA7"/>
    <w:p w14:paraId="4F3B0DDD" w14:textId="77777777" w:rsidR="001E7DA7" w:rsidRDefault="001E7DA7"/>
    <w:p w14:paraId="278FC5E2" w14:textId="77777777" w:rsidR="001E7DA7" w:rsidRDefault="001E7DA7"/>
    <w:p w14:paraId="51A72679" w14:textId="77777777" w:rsidR="001E7DA7" w:rsidRDefault="001E7DA7"/>
    <w:p w14:paraId="147BD2B7" w14:textId="77777777" w:rsidR="001E7DA7" w:rsidRDefault="001E7DA7"/>
    <w:p w14:paraId="6D4F7964" w14:textId="77777777" w:rsidR="001E7DA7" w:rsidRDefault="001E7DA7">
      <w:r>
        <w:t>Supplemental figure legend</w:t>
      </w:r>
    </w:p>
    <w:p w14:paraId="1CF0D309" w14:textId="77777777" w:rsidR="001E7DA7" w:rsidRPr="00CD180D" w:rsidRDefault="001E7DA7" w:rsidP="001E7DA7">
      <w:pPr>
        <w:spacing w:line="360" w:lineRule="auto"/>
        <w:jc w:val="left"/>
        <w:rPr>
          <w:rFonts w:ascii="Arial" w:hAnsi="Arial" w:cs="Arial"/>
          <w:szCs w:val="21"/>
        </w:rPr>
      </w:pPr>
      <w:r w:rsidRPr="00220EF1">
        <w:rPr>
          <w:rFonts w:ascii="Arial" w:hAnsi="Arial" w:cs="Arial"/>
          <w:b/>
          <w:bCs/>
          <w:szCs w:val="21"/>
        </w:rPr>
        <w:t>Supplemental figure 1</w:t>
      </w:r>
      <w:r>
        <w:rPr>
          <w:rFonts w:ascii="Arial" w:hAnsi="Arial" w:cs="Arial"/>
          <w:b/>
          <w:bCs/>
          <w:szCs w:val="21"/>
        </w:rPr>
        <w:t xml:space="preserve"> Effects of</w:t>
      </w:r>
      <w:r w:rsidRPr="00664E2C">
        <w:rPr>
          <w:rFonts w:ascii="Arial" w:hAnsi="Arial" w:cs="Arial"/>
          <w:b/>
          <w:bCs/>
          <w:szCs w:val="21"/>
        </w:rPr>
        <w:t xml:space="preserve"> </w:t>
      </w:r>
      <w:r>
        <w:rPr>
          <w:rFonts w:ascii="Arial" w:hAnsi="Arial" w:cs="Arial"/>
          <w:b/>
          <w:bCs/>
          <w:szCs w:val="21"/>
        </w:rPr>
        <w:t>ATG5 knockdown in ALL cells.</w:t>
      </w:r>
      <w:r>
        <w:rPr>
          <w:rFonts w:ascii="Arial" w:hAnsi="Arial" w:cs="Arial"/>
          <w:szCs w:val="21"/>
        </w:rPr>
        <w:t xml:space="preserve"> Jurkat, EU-6 or SKW-3 were transfected with siRNA targeting</w:t>
      </w:r>
      <w:r w:rsidRPr="005A7784">
        <w:rPr>
          <w:rFonts w:ascii="Arial" w:hAnsi="Arial" w:cs="Arial"/>
          <w:szCs w:val="21"/>
        </w:rPr>
        <w:t xml:space="preserve"> ATG5 or scrambled sequence for 48 hours. And then, the cells were subjected to western blot to analyze the expression </w:t>
      </w:r>
      <w:r>
        <w:rPr>
          <w:rFonts w:ascii="Arial" w:hAnsi="Arial" w:cs="Arial"/>
          <w:szCs w:val="21"/>
        </w:rPr>
        <w:t xml:space="preserve">of ATG5 in each group cells. </w:t>
      </w:r>
    </w:p>
    <w:p w14:paraId="5DDCD4B6" w14:textId="77777777" w:rsidR="001E7DA7" w:rsidRDefault="001E7DA7" w:rsidP="001E7DA7">
      <w:pPr>
        <w:spacing w:line="360" w:lineRule="auto"/>
        <w:jc w:val="left"/>
        <w:rPr>
          <w:rFonts w:ascii="Arial" w:hAnsi="Arial" w:cs="Arial"/>
          <w:b/>
          <w:bCs/>
          <w:szCs w:val="21"/>
        </w:rPr>
      </w:pPr>
    </w:p>
    <w:p w14:paraId="7BD93F27" w14:textId="77777777" w:rsidR="001E7DA7" w:rsidRPr="00FD4D19" w:rsidRDefault="001E7DA7" w:rsidP="001E7DA7">
      <w:pPr>
        <w:spacing w:line="360" w:lineRule="auto"/>
        <w:jc w:val="left"/>
        <w:rPr>
          <w:rFonts w:ascii="Arial" w:hAnsi="Arial" w:cs="Arial"/>
          <w:b/>
          <w:szCs w:val="21"/>
        </w:rPr>
      </w:pPr>
      <w:r w:rsidRPr="00220EF1">
        <w:rPr>
          <w:rFonts w:ascii="Arial" w:hAnsi="Arial" w:cs="Arial"/>
          <w:b/>
          <w:bCs/>
          <w:szCs w:val="21"/>
        </w:rPr>
        <w:t>Supplemental figure 2</w:t>
      </w:r>
      <w:r>
        <w:rPr>
          <w:rFonts w:ascii="Arial" w:hAnsi="Arial" w:cs="Arial"/>
          <w:b/>
          <w:bCs/>
          <w:szCs w:val="21"/>
        </w:rPr>
        <w:t xml:space="preserve"> Effects of </w:t>
      </w:r>
      <w:r w:rsidRPr="00135A88">
        <w:rPr>
          <w:rFonts w:ascii="Arial" w:hAnsi="Arial" w:cs="Arial"/>
          <w:b/>
          <w:szCs w:val="21"/>
        </w:rPr>
        <w:t xml:space="preserve">BBR </w:t>
      </w:r>
      <w:r>
        <w:rPr>
          <w:rFonts w:ascii="Arial" w:hAnsi="Arial" w:cs="Arial"/>
          <w:b/>
          <w:szCs w:val="21"/>
        </w:rPr>
        <w:t>on</w:t>
      </w:r>
      <w:r w:rsidRPr="00CD180D">
        <w:t xml:space="preserve"> </w:t>
      </w:r>
      <w:r w:rsidRPr="00CD180D">
        <w:rPr>
          <w:rFonts w:ascii="Arial" w:hAnsi="Arial" w:cs="Arial"/>
          <w:b/>
          <w:szCs w:val="21"/>
        </w:rPr>
        <w:t>hemoglobin</w:t>
      </w:r>
      <w:r>
        <w:rPr>
          <w:rFonts w:ascii="Arial" w:hAnsi="Arial" w:cs="Arial"/>
          <w:b/>
          <w:szCs w:val="21"/>
        </w:rPr>
        <w:t xml:space="preserve"> and</w:t>
      </w:r>
      <w:r w:rsidRPr="00CD180D">
        <w:t xml:space="preserve"> </w:t>
      </w:r>
      <w:r w:rsidRPr="00CD180D">
        <w:rPr>
          <w:rFonts w:ascii="Arial" w:hAnsi="Arial" w:cs="Arial"/>
          <w:b/>
          <w:szCs w:val="21"/>
        </w:rPr>
        <w:t>erythrocyte</w:t>
      </w:r>
      <w:r>
        <w:rPr>
          <w:rFonts w:ascii="Arial" w:hAnsi="Arial" w:cs="Arial"/>
          <w:b/>
          <w:szCs w:val="21"/>
        </w:rPr>
        <w:t xml:space="preserve"> </w:t>
      </w:r>
      <w:r w:rsidRPr="00135A88">
        <w:rPr>
          <w:rFonts w:ascii="Arial" w:hAnsi="Arial" w:cs="Arial"/>
          <w:b/>
          <w:szCs w:val="21"/>
        </w:rPr>
        <w:t>in ALL xenograft mice</w:t>
      </w:r>
      <w:r>
        <w:rPr>
          <w:rFonts w:ascii="Arial" w:hAnsi="Arial" w:cs="Arial"/>
          <w:b/>
          <w:szCs w:val="21"/>
        </w:rPr>
        <w:t xml:space="preserve">. </w:t>
      </w:r>
      <w:r w:rsidRPr="009E1A31">
        <w:rPr>
          <w:rFonts w:ascii="Arial" w:hAnsi="Arial" w:cs="Arial"/>
          <w:szCs w:val="21"/>
        </w:rPr>
        <w:t>NOD-SCID</w:t>
      </w:r>
      <w:r>
        <w:rPr>
          <w:rFonts w:ascii="Arial" w:hAnsi="Arial" w:cs="Arial"/>
          <w:szCs w:val="21"/>
        </w:rPr>
        <w:t xml:space="preserve"> mice were intravenously injected with 1 x 10</w:t>
      </w:r>
      <w:r>
        <w:rPr>
          <w:rFonts w:ascii="Arial" w:hAnsi="Arial" w:cs="Arial"/>
          <w:szCs w:val="21"/>
          <w:vertAlign w:val="superscript"/>
        </w:rPr>
        <w:t>6</w:t>
      </w:r>
      <w:r>
        <w:rPr>
          <w:rFonts w:ascii="Arial" w:hAnsi="Arial" w:cs="Arial"/>
          <w:szCs w:val="21"/>
        </w:rPr>
        <w:t xml:space="preserve"> EU-6 cells dissolved in 1</w:t>
      </w:r>
      <w:r w:rsidRPr="00742342">
        <w:rPr>
          <w:rFonts w:ascii="Arial" w:hAnsi="Arial" w:cs="Arial"/>
          <w:szCs w:val="21"/>
        </w:rPr>
        <w:t>00 μ</w:t>
      </w:r>
      <w:r>
        <w:rPr>
          <w:rFonts w:ascii="Arial" w:hAnsi="Arial" w:cs="Arial"/>
          <w:szCs w:val="21"/>
        </w:rPr>
        <w:t>L PBS to generate ALL xenograft mice. Then the ALL mice and control mice were treated with 10 mg/kg/d BBR or vehicle solution for 2 weeks. (a, b)</w:t>
      </w:r>
      <w:r w:rsidRPr="00742342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the </w:t>
      </w:r>
      <w:r w:rsidRPr="00FD4D19">
        <w:rPr>
          <w:rFonts w:ascii="Arial" w:hAnsi="Arial" w:cs="Arial"/>
          <w:szCs w:val="21"/>
        </w:rPr>
        <w:t>hemoglobin and erythrocyte</w:t>
      </w:r>
      <w:r>
        <w:rPr>
          <w:rFonts w:ascii="Arial" w:hAnsi="Arial" w:cs="Arial"/>
          <w:szCs w:val="21"/>
        </w:rPr>
        <w:t xml:space="preserve">/ red blood cell was detected by an </w:t>
      </w:r>
      <w:r w:rsidRPr="00220EF1">
        <w:rPr>
          <w:rFonts w:ascii="Arial" w:hAnsi="Arial" w:cs="Arial"/>
          <w:szCs w:val="21"/>
        </w:rPr>
        <w:t xml:space="preserve">automatic blood cell </w:t>
      </w:r>
      <w:r w:rsidRPr="00742342">
        <w:rPr>
          <w:rFonts w:ascii="Arial" w:hAnsi="Arial" w:cs="Arial"/>
          <w:szCs w:val="21"/>
        </w:rPr>
        <w:t>analyzer</w:t>
      </w:r>
      <w:r>
        <w:rPr>
          <w:rFonts w:ascii="Arial" w:hAnsi="Arial" w:cs="Arial"/>
          <w:szCs w:val="21"/>
        </w:rPr>
        <w:t xml:space="preserve"> in each group. mean</w:t>
      </w:r>
      <w:r w:rsidRPr="002B781A">
        <w:rPr>
          <w:rFonts w:ascii="Arial" w:hAnsi="Arial" w:cs="Arial"/>
          <w:szCs w:val="21"/>
        </w:rPr>
        <w:t>±SD</w:t>
      </w:r>
      <w:r>
        <w:rPr>
          <w:rFonts w:ascii="Arial" w:hAnsi="Arial" w:cs="Arial"/>
          <w:szCs w:val="21"/>
        </w:rPr>
        <w:t xml:space="preserve">, </w:t>
      </w:r>
      <w:r w:rsidRPr="002B781A">
        <w:rPr>
          <w:rFonts w:ascii="Arial" w:hAnsi="Arial" w:cs="Arial"/>
          <w:i/>
          <w:iCs/>
          <w:szCs w:val="21"/>
        </w:rPr>
        <w:lastRenderedPageBreak/>
        <w:t>n</w:t>
      </w:r>
      <w:r>
        <w:rPr>
          <w:rFonts w:ascii="Arial" w:hAnsi="Arial" w:cs="Arial"/>
          <w:szCs w:val="21"/>
        </w:rPr>
        <w:t>=3.</w:t>
      </w:r>
    </w:p>
    <w:p w14:paraId="5858B0BB" w14:textId="77777777" w:rsidR="001E7DA7" w:rsidRPr="00220EF1" w:rsidRDefault="001E7DA7" w:rsidP="001E7DA7">
      <w:pPr>
        <w:spacing w:line="360" w:lineRule="auto"/>
        <w:jc w:val="left"/>
        <w:rPr>
          <w:rFonts w:ascii="Arial" w:hAnsi="Arial" w:cs="Arial"/>
          <w:b/>
          <w:bCs/>
          <w:szCs w:val="21"/>
        </w:rPr>
      </w:pPr>
    </w:p>
    <w:p w14:paraId="5D80CF9F" w14:textId="77777777" w:rsidR="001E7DA7" w:rsidRDefault="001E7DA7" w:rsidP="001E7DA7">
      <w:pPr>
        <w:spacing w:line="360" w:lineRule="auto"/>
        <w:jc w:val="left"/>
        <w:rPr>
          <w:rFonts w:ascii="Arial" w:hAnsi="Arial" w:cs="Arial"/>
          <w:szCs w:val="21"/>
        </w:rPr>
      </w:pPr>
      <w:r w:rsidRPr="00220EF1">
        <w:rPr>
          <w:rFonts w:ascii="Arial" w:hAnsi="Arial" w:cs="Arial"/>
          <w:b/>
          <w:bCs/>
          <w:szCs w:val="21"/>
        </w:rPr>
        <w:t>Supplemental figure 3</w:t>
      </w:r>
      <w:r w:rsidRPr="00BF28FC">
        <w:rPr>
          <w:rFonts w:ascii="Arial" w:hAnsi="Arial" w:cs="Arial"/>
          <w:b/>
          <w:bCs/>
          <w:szCs w:val="21"/>
        </w:rPr>
        <w:t xml:space="preserve"> </w:t>
      </w:r>
      <w:r>
        <w:rPr>
          <w:rFonts w:ascii="Arial" w:hAnsi="Arial" w:cs="Arial"/>
          <w:b/>
          <w:bCs/>
          <w:szCs w:val="21"/>
        </w:rPr>
        <w:t xml:space="preserve">Effects of </w:t>
      </w:r>
      <w:r w:rsidRPr="00135A88">
        <w:rPr>
          <w:rFonts w:ascii="Arial" w:hAnsi="Arial" w:cs="Arial"/>
          <w:b/>
          <w:szCs w:val="21"/>
        </w:rPr>
        <w:t xml:space="preserve">BBR </w:t>
      </w:r>
      <w:r>
        <w:rPr>
          <w:rFonts w:ascii="Arial" w:hAnsi="Arial" w:cs="Arial"/>
          <w:b/>
          <w:szCs w:val="21"/>
        </w:rPr>
        <w:t>on</w:t>
      </w:r>
      <w:r w:rsidRPr="00CD180D">
        <w:t xml:space="preserve"> </w:t>
      </w:r>
      <w:r w:rsidRPr="00CD180D">
        <w:rPr>
          <w:rFonts w:ascii="Arial" w:hAnsi="Arial" w:cs="Arial"/>
          <w:b/>
          <w:szCs w:val="21"/>
        </w:rPr>
        <w:t>hemoglobin</w:t>
      </w:r>
      <w:r>
        <w:rPr>
          <w:rFonts w:ascii="Arial" w:hAnsi="Arial" w:cs="Arial"/>
          <w:b/>
          <w:szCs w:val="21"/>
        </w:rPr>
        <w:t xml:space="preserve"> and</w:t>
      </w:r>
      <w:r w:rsidRPr="00CD180D">
        <w:t xml:space="preserve"> </w:t>
      </w:r>
      <w:r w:rsidRPr="00CD180D">
        <w:rPr>
          <w:rFonts w:ascii="Arial" w:hAnsi="Arial" w:cs="Arial"/>
          <w:b/>
          <w:szCs w:val="21"/>
        </w:rPr>
        <w:t>erythrocyte</w:t>
      </w:r>
      <w:r>
        <w:rPr>
          <w:rFonts w:ascii="Arial" w:hAnsi="Arial" w:cs="Arial"/>
          <w:b/>
          <w:szCs w:val="21"/>
        </w:rPr>
        <w:t xml:space="preserve"> </w:t>
      </w:r>
      <w:r w:rsidRPr="00135A88">
        <w:rPr>
          <w:rFonts w:ascii="Arial" w:hAnsi="Arial" w:cs="Arial"/>
          <w:b/>
          <w:szCs w:val="21"/>
        </w:rPr>
        <w:t xml:space="preserve">in </w:t>
      </w:r>
      <w:r>
        <w:rPr>
          <w:rFonts w:ascii="Arial" w:hAnsi="Arial" w:cs="Arial"/>
          <w:b/>
          <w:szCs w:val="21"/>
        </w:rPr>
        <w:t xml:space="preserve">ATG5 knockout </w:t>
      </w:r>
      <w:r w:rsidRPr="00135A88">
        <w:rPr>
          <w:rFonts w:ascii="Arial" w:hAnsi="Arial" w:cs="Arial"/>
          <w:b/>
          <w:szCs w:val="21"/>
        </w:rPr>
        <w:t>ALL xenograft mice</w:t>
      </w:r>
      <w:r>
        <w:rPr>
          <w:rFonts w:ascii="Arial" w:hAnsi="Arial" w:cs="Arial"/>
          <w:b/>
          <w:szCs w:val="21"/>
        </w:rPr>
        <w:t xml:space="preserve">. </w:t>
      </w:r>
      <w:r>
        <w:rPr>
          <w:rFonts w:ascii="Arial" w:hAnsi="Arial" w:cs="Arial"/>
          <w:szCs w:val="21"/>
        </w:rPr>
        <w:t>EU-6 cells were transfected with siRNA targeting ATG5 (ATG5</w:t>
      </w:r>
      <w:r w:rsidRPr="00220EF1">
        <w:rPr>
          <w:rFonts w:ascii="Arial" w:hAnsi="Arial" w:cs="Arial"/>
          <w:szCs w:val="21"/>
          <w:vertAlign w:val="superscript"/>
        </w:rPr>
        <w:t>-/-</w:t>
      </w:r>
      <w:r>
        <w:rPr>
          <w:rFonts w:ascii="Arial" w:hAnsi="Arial" w:cs="Arial"/>
          <w:szCs w:val="21"/>
        </w:rPr>
        <w:t>) or scrambled sequence (WT) and then intravenously injected into</w:t>
      </w:r>
      <w:r w:rsidRPr="00220EF1">
        <w:rPr>
          <w:rFonts w:ascii="Arial" w:hAnsi="Arial" w:cs="Arial"/>
          <w:szCs w:val="21"/>
        </w:rPr>
        <w:t xml:space="preserve"> </w:t>
      </w:r>
      <w:r w:rsidRPr="009E1A31">
        <w:rPr>
          <w:rFonts w:ascii="Arial" w:hAnsi="Arial" w:cs="Arial"/>
          <w:szCs w:val="21"/>
        </w:rPr>
        <w:t>NOD-SCID</w:t>
      </w:r>
      <w:r>
        <w:rPr>
          <w:rFonts w:ascii="Arial" w:hAnsi="Arial" w:cs="Arial"/>
          <w:szCs w:val="21"/>
        </w:rPr>
        <w:t xml:space="preserve"> mice. The WT and ATG5</w:t>
      </w:r>
      <w:r w:rsidRPr="00220EF1">
        <w:rPr>
          <w:rFonts w:ascii="Arial" w:hAnsi="Arial" w:cs="Arial"/>
          <w:szCs w:val="21"/>
          <w:vertAlign w:val="superscript"/>
        </w:rPr>
        <w:t>-/-</w:t>
      </w:r>
      <w:r>
        <w:rPr>
          <w:rFonts w:ascii="Arial" w:hAnsi="Arial" w:cs="Arial"/>
          <w:szCs w:val="21"/>
          <w:vertAlign w:val="superscript"/>
        </w:rPr>
        <w:t xml:space="preserve"> </w:t>
      </w:r>
      <w:r>
        <w:rPr>
          <w:rFonts w:ascii="Arial" w:hAnsi="Arial" w:cs="Arial"/>
          <w:szCs w:val="21"/>
        </w:rPr>
        <w:t>mice were treated with 10 mg/kg/d BBR or vehicle solution for 2 weeks, respectively.</w:t>
      </w:r>
      <w:r w:rsidRPr="00FD4D19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(a, b)</w:t>
      </w:r>
      <w:r w:rsidRPr="00742342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the </w:t>
      </w:r>
      <w:r w:rsidRPr="00FD4D19">
        <w:rPr>
          <w:rFonts w:ascii="Arial" w:hAnsi="Arial" w:cs="Arial"/>
          <w:szCs w:val="21"/>
        </w:rPr>
        <w:t>hemoglobin and erythrocyte</w:t>
      </w:r>
      <w:r>
        <w:rPr>
          <w:rFonts w:ascii="Arial" w:hAnsi="Arial" w:cs="Arial"/>
          <w:szCs w:val="21"/>
        </w:rPr>
        <w:t xml:space="preserve">/ red blood cell was detected by an </w:t>
      </w:r>
      <w:r w:rsidRPr="00220EF1">
        <w:rPr>
          <w:rFonts w:ascii="Arial" w:hAnsi="Arial" w:cs="Arial"/>
          <w:szCs w:val="21"/>
        </w:rPr>
        <w:t xml:space="preserve">automatic blood cell </w:t>
      </w:r>
      <w:r w:rsidRPr="00742342">
        <w:rPr>
          <w:rFonts w:ascii="Arial" w:hAnsi="Arial" w:cs="Arial"/>
          <w:szCs w:val="21"/>
        </w:rPr>
        <w:t>analyzer</w:t>
      </w:r>
      <w:r>
        <w:rPr>
          <w:rFonts w:ascii="Arial" w:hAnsi="Arial" w:cs="Arial"/>
          <w:szCs w:val="21"/>
        </w:rPr>
        <w:t xml:space="preserve"> in each group. mean</w:t>
      </w:r>
      <w:r w:rsidRPr="002B781A">
        <w:rPr>
          <w:rFonts w:ascii="Arial" w:hAnsi="Arial" w:cs="Arial"/>
          <w:szCs w:val="21"/>
        </w:rPr>
        <w:t>±SD</w:t>
      </w:r>
      <w:r>
        <w:rPr>
          <w:rFonts w:ascii="Arial" w:hAnsi="Arial" w:cs="Arial"/>
          <w:szCs w:val="21"/>
        </w:rPr>
        <w:t xml:space="preserve">, </w:t>
      </w:r>
      <w:r w:rsidRPr="002B781A">
        <w:rPr>
          <w:rFonts w:ascii="Arial" w:hAnsi="Arial" w:cs="Arial"/>
          <w:i/>
          <w:iCs/>
          <w:szCs w:val="21"/>
        </w:rPr>
        <w:t>n</w:t>
      </w:r>
      <w:r>
        <w:rPr>
          <w:rFonts w:ascii="Arial" w:hAnsi="Arial" w:cs="Arial"/>
          <w:szCs w:val="21"/>
        </w:rPr>
        <w:t>=3.</w:t>
      </w:r>
    </w:p>
    <w:p w14:paraId="31A9F0DD" w14:textId="77777777" w:rsidR="001E7DA7" w:rsidRPr="001E7DA7" w:rsidRDefault="001E7DA7"/>
    <w:sectPr w:rsidR="001E7DA7" w:rsidRPr="001E7DA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2294B" w14:textId="77777777" w:rsidR="009B1B01" w:rsidRDefault="009B1B01" w:rsidP="001E7DA7">
      <w:r>
        <w:separator/>
      </w:r>
    </w:p>
  </w:endnote>
  <w:endnote w:type="continuationSeparator" w:id="0">
    <w:p w14:paraId="2E1CC193" w14:textId="77777777" w:rsidR="009B1B01" w:rsidRDefault="009B1B01" w:rsidP="001E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9317E" w14:textId="77777777" w:rsidR="009B1B01" w:rsidRDefault="009B1B01" w:rsidP="001E7DA7">
      <w:r>
        <w:separator/>
      </w:r>
    </w:p>
  </w:footnote>
  <w:footnote w:type="continuationSeparator" w:id="0">
    <w:p w14:paraId="487FF8E0" w14:textId="77777777" w:rsidR="009B1B01" w:rsidRDefault="009B1B01" w:rsidP="001E7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A7"/>
    <w:rsid w:val="00135A88"/>
    <w:rsid w:val="001E7DA7"/>
    <w:rsid w:val="00220EF1"/>
    <w:rsid w:val="002B781A"/>
    <w:rsid w:val="005A7784"/>
    <w:rsid w:val="005E1E46"/>
    <w:rsid w:val="00664E2C"/>
    <w:rsid w:val="00715252"/>
    <w:rsid w:val="00742342"/>
    <w:rsid w:val="009B1B01"/>
    <w:rsid w:val="009E1A31"/>
    <w:rsid w:val="00BF28FC"/>
    <w:rsid w:val="00CD180D"/>
    <w:rsid w:val="00DA4CF6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C825E"/>
  <w14:defaultImageDpi w14:val="0"/>
  <w15:docId w15:val="{07DBD1AF-2A0D-4353-B237-3D641FFD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E7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7DA7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DA7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7DA7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7DA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Sumedha Kasturi</dc:creator>
  <cp:keywords/>
  <dc:description/>
  <cp:lastModifiedBy>Sumedha Kasturi</cp:lastModifiedBy>
  <cp:revision>2</cp:revision>
  <dcterms:created xsi:type="dcterms:W3CDTF">2020-02-10T19:47:00Z</dcterms:created>
  <dcterms:modified xsi:type="dcterms:W3CDTF">2020-02-10T19:47:00Z</dcterms:modified>
</cp:coreProperties>
</file>