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D8A0" w14:textId="77777777" w:rsidR="00E1643F" w:rsidRPr="00E1643F" w:rsidRDefault="00E1643F" w:rsidP="00E1643F">
      <w:pPr>
        <w:keepNext/>
        <w:spacing w:before="240" w:after="60" w:line="480" w:lineRule="auto"/>
        <w:outlineLvl w:val="0"/>
        <w:rPr>
          <w:rFonts w:ascii="Arial" w:eastAsia="Times New Roman" w:hAnsi="Arial" w:cs="Times New Roman"/>
          <w:b/>
          <w:kern w:val="32"/>
          <w:sz w:val="32"/>
          <w:szCs w:val="32"/>
          <w:lang w:val="en-US"/>
        </w:rPr>
      </w:pPr>
      <w:r w:rsidRPr="00E1643F">
        <w:rPr>
          <w:rFonts w:ascii="Arial" w:eastAsia="Times New Roman" w:hAnsi="Arial" w:cs="Times New Roman"/>
          <w:b/>
          <w:kern w:val="32"/>
          <w:sz w:val="32"/>
          <w:szCs w:val="32"/>
          <w:lang w:val="en-US"/>
        </w:rPr>
        <w:t>SUPPLEMENTARY MATERIAL</w:t>
      </w:r>
    </w:p>
    <w:p w14:paraId="68FB2573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Times New Roman"/>
          <w:sz w:val="20"/>
          <w:lang w:val="en-US"/>
        </w:rPr>
      </w:pPr>
      <w:r w:rsidRPr="00E1643F">
        <w:rPr>
          <w:rFonts w:ascii="Arial" w:eastAsia="Calibri" w:hAnsi="Arial" w:cs="Times New Roman"/>
          <w:b/>
          <w:sz w:val="20"/>
          <w:lang w:val="en-US"/>
        </w:rPr>
        <w:t>Supplementary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</w:t>
      </w:r>
      <w:r w:rsidRPr="00E1643F">
        <w:rPr>
          <w:rFonts w:ascii="Arial" w:eastAsia="Calibri" w:hAnsi="Arial" w:cs="Times New Roman"/>
          <w:b/>
          <w:sz w:val="20"/>
          <w:lang w:val="en-US"/>
        </w:rPr>
        <w:t>Table 1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Additional resources used in the literature search that identified relevant congress websites and robust SLRs/meta-analyses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0"/>
        <w:gridCol w:w="8558"/>
      </w:tblGrid>
      <w:tr w:rsidR="00E1643F" w:rsidRPr="00E1643F" w14:paraId="6120F101" w14:textId="77777777" w:rsidTr="00CC4489">
        <w:tc>
          <w:tcPr>
            <w:tcW w:w="5000" w:type="pct"/>
            <w:gridSpan w:val="2"/>
          </w:tcPr>
          <w:p w14:paraId="05D896E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Congress websites</w:t>
            </w:r>
          </w:p>
        </w:tc>
      </w:tr>
      <w:tr w:rsidR="00E1643F" w:rsidRPr="00E1643F" w14:paraId="155A56C4" w14:textId="77777777" w:rsidTr="00CC4489">
        <w:tc>
          <w:tcPr>
            <w:tcW w:w="1932" w:type="pct"/>
          </w:tcPr>
          <w:p w14:paraId="47CAA734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Congress</w:t>
            </w:r>
          </w:p>
        </w:tc>
        <w:tc>
          <w:tcPr>
            <w:tcW w:w="3068" w:type="pct"/>
          </w:tcPr>
          <w:p w14:paraId="447D48B0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Website</w:t>
            </w:r>
          </w:p>
        </w:tc>
      </w:tr>
      <w:tr w:rsidR="00E1643F" w:rsidRPr="00E1643F" w14:paraId="63878EAE" w14:textId="77777777" w:rsidTr="00CC4489">
        <w:tc>
          <w:tcPr>
            <w:tcW w:w="1932" w:type="pct"/>
          </w:tcPr>
          <w:p w14:paraId="45BF53F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International Society for Pharmacoeconomics and Outcomes Research</w:t>
            </w:r>
          </w:p>
        </w:tc>
        <w:tc>
          <w:tcPr>
            <w:tcW w:w="3068" w:type="pct"/>
          </w:tcPr>
          <w:p w14:paraId="58056F3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hyperlink r:id="rId4" w:history="1">
              <w:r w:rsidRPr="00E1643F">
                <w:rPr>
                  <w:rFonts w:ascii="Arial" w:eastAsia="Calibri" w:hAnsi="Arial" w:cs="Times New Roman"/>
                  <w:color w:val="0000FF"/>
                  <w:sz w:val="20"/>
                  <w:szCs w:val="20"/>
                  <w:u w:val="single"/>
                </w:rPr>
                <w:t>http://www.ispor.org/meetings/MeetingsIndex.aspx</w:t>
              </w:r>
            </w:hyperlink>
            <w:r w:rsidRPr="00E1643F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</w:p>
        </w:tc>
      </w:tr>
      <w:tr w:rsidR="00E1643F" w:rsidRPr="00E1643F" w14:paraId="6490EDF9" w14:textId="77777777" w:rsidTr="00CC4489">
        <w:tc>
          <w:tcPr>
            <w:tcW w:w="1932" w:type="pct"/>
          </w:tcPr>
          <w:p w14:paraId="627987EB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American College of Gastroenterology</w:t>
            </w:r>
          </w:p>
        </w:tc>
        <w:tc>
          <w:tcPr>
            <w:tcW w:w="3068" w:type="pct"/>
          </w:tcPr>
          <w:p w14:paraId="6B6032FC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hyperlink r:id="rId5" w:history="1">
              <w:r w:rsidRPr="00E1643F">
                <w:rPr>
                  <w:rFonts w:ascii="Arial" w:eastAsia="Calibri" w:hAnsi="Arial" w:cs="Times New Roman"/>
                  <w:color w:val="0000FF"/>
                  <w:sz w:val="20"/>
                  <w:szCs w:val="20"/>
                  <w:u w:val="single"/>
                </w:rPr>
                <w:t>http://gi.org/</w:t>
              </w:r>
            </w:hyperlink>
            <w:r w:rsidRPr="00E1643F"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</w:p>
        </w:tc>
      </w:tr>
      <w:tr w:rsidR="00E1643F" w:rsidRPr="00E1643F" w14:paraId="6271A4BD" w14:textId="77777777" w:rsidTr="00CC4489">
        <w:tc>
          <w:tcPr>
            <w:tcW w:w="1932" w:type="pct"/>
          </w:tcPr>
          <w:p w14:paraId="27065030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Digestive Disease Week</w:t>
            </w:r>
          </w:p>
        </w:tc>
        <w:tc>
          <w:tcPr>
            <w:tcW w:w="3068" w:type="pct"/>
          </w:tcPr>
          <w:p w14:paraId="383EF60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hyperlink r:id="rId6" w:history="1">
              <w:r w:rsidRPr="00E1643F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http://www.ddw.org/home/</w:t>
              </w:r>
            </w:hyperlink>
          </w:p>
        </w:tc>
      </w:tr>
      <w:tr w:rsidR="00E1643F" w:rsidRPr="00E1643F" w14:paraId="25158737" w14:textId="77777777" w:rsidTr="00CC4489">
        <w:tc>
          <w:tcPr>
            <w:tcW w:w="5000" w:type="pct"/>
            <w:gridSpan w:val="2"/>
          </w:tcPr>
          <w:p w14:paraId="3CC9CEF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Source papers for SLRs reference lists</w:t>
            </w:r>
          </w:p>
        </w:tc>
      </w:tr>
      <w:tr w:rsidR="00E1643F" w:rsidRPr="00E1643F" w14:paraId="4A8A753C" w14:textId="77777777" w:rsidTr="00CC4489">
        <w:tc>
          <w:tcPr>
            <w:tcW w:w="5000" w:type="pct"/>
            <w:gridSpan w:val="2"/>
          </w:tcPr>
          <w:p w14:paraId="45F1064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Garnock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-Jones KP. Prucalopride: a review in chronic idiopathic constipation.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Drugs. </w:t>
            </w:r>
            <w:r w:rsidRPr="00E1643F">
              <w:rPr>
                <w:rFonts w:ascii="Arial" w:eastAsia="Calibri" w:hAnsi="Arial" w:cs="Times New Roman"/>
                <w:sz w:val="20"/>
              </w:rPr>
              <w:t>2016;76(1):99–110.</w:t>
            </w:r>
          </w:p>
        </w:tc>
      </w:tr>
      <w:tr w:rsidR="00E1643F" w:rsidRPr="00E1643F" w14:paraId="39999C73" w14:textId="77777777" w:rsidTr="00CC4489">
        <w:tc>
          <w:tcPr>
            <w:tcW w:w="5000" w:type="pct"/>
            <w:gridSpan w:val="2"/>
          </w:tcPr>
          <w:p w14:paraId="3CC0556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Hatswell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AJ,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Vegter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S. Measuring quality of life in opioid-induced constipation: mapping EQ-5D-3 L and PAC-QOL.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Health Econ Rev.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2016;6(1):14.</w:t>
            </w:r>
          </w:p>
        </w:tc>
      </w:tr>
      <w:tr w:rsidR="00E1643F" w:rsidRPr="00E1643F" w14:paraId="6FB5D610" w14:textId="77777777" w:rsidTr="00CC4489">
        <w:tc>
          <w:tcPr>
            <w:tcW w:w="5000" w:type="pct"/>
            <w:gridSpan w:val="2"/>
          </w:tcPr>
          <w:p w14:paraId="5513B28E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Koh CE, Young CJ, Young JM, Solomon MJ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Systematic review of randomized controlled trials of the effectiveness of biofeedback for pelvic floor dysfunction.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Br J Surg.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2008;95(9):1079–1087.</w:t>
            </w:r>
          </w:p>
        </w:tc>
      </w:tr>
      <w:tr w:rsidR="00E1643F" w:rsidRPr="00E1643F" w14:paraId="55227AEE" w14:textId="77777777" w:rsidTr="00CC4489">
        <w:tc>
          <w:tcPr>
            <w:tcW w:w="5000" w:type="pct"/>
            <w:gridSpan w:val="2"/>
          </w:tcPr>
          <w:p w14:paraId="2DE213E8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Pare P,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Fedorak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RN. Systematic review of stimulant and nonstimulant laxatives for the treatment of functional constipation.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Can J Gastroenterol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Hepatol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>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2014;28(10):549–557.</w:t>
            </w:r>
          </w:p>
        </w:tc>
      </w:tr>
      <w:tr w:rsidR="00E1643F" w:rsidRPr="00E1643F" w14:paraId="01EFB416" w14:textId="77777777" w:rsidTr="00CC4489">
        <w:tc>
          <w:tcPr>
            <w:tcW w:w="5000" w:type="pct"/>
            <w:gridSpan w:val="2"/>
          </w:tcPr>
          <w:p w14:paraId="26D2D98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Patel AS,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Saratzis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A,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Arasaradnam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R, Harmston C. Use of antegrade continence enema for the treatment of fecal incontinence and functional constipation in adults: a systematic review.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Dis Colon Rectum. </w:t>
            </w:r>
            <w:r w:rsidRPr="00E1643F">
              <w:rPr>
                <w:rFonts w:ascii="Arial" w:eastAsia="Calibri" w:hAnsi="Arial" w:cs="Times New Roman"/>
                <w:sz w:val="20"/>
              </w:rPr>
              <w:t>2015;58(10):999–1013.</w:t>
            </w:r>
          </w:p>
        </w:tc>
      </w:tr>
      <w:tr w:rsidR="00E1643F" w:rsidRPr="00E1643F" w14:paraId="1B000BD4" w14:textId="77777777" w:rsidTr="00CC4489">
        <w:tc>
          <w:tcPr>
            <w:tcW w:w="5000" w:type="pct"/>
            <w:gridSpan w:val="2"/>
          </w:tcPr>
          <w:p w14:paraId="63DC71A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Rao S, Weber HC. New treatment targets for the management of irritable bowel syndrome.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Curr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Opin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 Endocrinol Diabetes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Obes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>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2014;21(1):9–14.</w:t>
            </w:r>
          </w:p>
        </w:tc>
      </w:tr>
      <w:tr w:rsidR="00E1643F" w:rsidRPr="00E1643F" w14:paraId="05E29B91" w14:textId="77777777" w:rsidTr="00CC4489">
        <w:tc>
          <w:tcPr>
            <w:tcW w:w="5000" w:type="pct"/>
            <w:gridSpan w:val="2"/>
          </w:tcPr>
          <w:p w14:paraId="6BD2826E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Riedl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A,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Schmidtmann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M, Stengel A, et al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Somatic comorbidities of irritable bowel syndrome: a systematic analysis.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J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Psychosom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 Res.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2008;64(6):573–582.</w:t>
            </w:r>
          </w:p>
        </w:tc>
      </w:tr>
      <w:tr w:rsidR="00E1643F" w:rsidRPr="00E1643F" w14:paraId="2503BEAB" w14:textId="77777777" w:rsidTr="00CC4489">
        <w:tc>
          <w:tcPr>
            <w:tcW w:w="5000" w:type="pct"/>
            <w:gridSpan w:val="2"/>
          </w:tcPr>
          <w:p w14:paraId="6176C8D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Saad R, Chey WD.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Lubiprostone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for chronic idiopathic constipation and irritable bowel syndrome with constipation.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Expert Rev Gastroenterol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Hepatol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>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2008;2(4):497–508.</w:t>
            </w:r>
          </w:p>
        </w:tc>
      </w:tr>
      <w:tr w:rsidR="00E1643F" w:rsidRPr="00E1643F" w14:paraId="3EEB44FE" w14:textId="77777777" w:rsidTr="00CC4489">
        <w:tc>
          <w:tcPr>
            <w:tcW w:w="5000" w:type="pct"/>
            <w:gridSpan w:val="2"/>
          </w:tcPr>
          <w:p w14:paraId="1BB6627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Spinzi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G, Amato A,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Imperiali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G, et al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. 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Constipation in the elderly: management strategies.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Drugs Aging.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2009;26(6):469–474.</w:t>
            </w:r>
          </w:p>
        </w:tc>
      </w:tr>
      <w:tr w:rsidR="00E1643F" w:rsidRPr="00E1643F" w14:paraId="61047B83" w14:textId="77777777" w:rsidTr="00CC4489">
        <w:tc>
          <w:tcPr>
            <w:tcW w:w="5000" w:type="pct"/>
            <w:gridSpan w:val="2"/>
          </w:tcPr>
          <w:p w14:paraId="62C2AA19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Suares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NC, Ford AC. Prevalence of, and risk factors for, chronic idiopathic constipation in the community: systematic review and meta-analysis.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Am J Gastroenterol.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2011;106(9):1582–1591.</w:t>
            </w:r>
          </w:p>
        </w:tc>
      </w:tr>
      <w:tr w:rsidR="00E1643F" w:rsidRPr="00E1643F" w14:paraId="0D1A1A9D" w14:textId="77777777" w:rsidTr="00CC4489">
        <w:tc>
          <w:tcPr>
            <w:tcW w:w="5000" w:type="pct"/>
            <w:gridSpan w:val="2"/>
          </w:tcPr>
          <w:p w14:paraId="0403492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Thomas RH,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Luthin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DR. Current and emerging treatments for irritable bowel syndrome with constipation and chronic idiopathic constipation: focus on prosecretory agents.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Pharmacotherapy. </w:t>
            </w:r>
            <w:r w:rsidRPr="00E1643F">
              <w:rPr>
                <w:rFonts w:ascii="Arial" w:eastAsia="Calibri" w:hAnsi="Arial" w:cs="Times New Roman"/>
                <w:sz w:val="20"/>
              </w:rPr>
              <w:t>2015;35(6):613–630.</w:t>
            </w:r>
          </w:p>
        </w:tc>
      </w:tr>
      <w:tr w:rsidR="00E1643F" w:rsidRPr="00E1643F" w14:paraId="4C4572E2" w14:textId="77777777" w:rsidTr="00CC4489">
        <w:tc>
          <w:tcPr>
            <w:tcW w:w="5000" w:type="pct"/>
            <w:gridSpan w:val="2"/>
          </w:tcPr>
          <w:p w14:paraId="3D7BAA6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Wald A, Sigurdsson L. Quality of life in children and adults with constipation.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Best </w:t>
            </w:r>
            <w:proofErr w:type="spellStart"/>
            <w:r w:rsidRPr="00E1643F">
              <w:rPr>
                <w:rFonts w:ascii="Arial" w:eastAsia="Calibri" w:hAnsi="Arial" w:cs="Times New Roman"/>
                <w:i/>
                <w:sz w:val="20"/>
              </w:rPr>
              <w:t>Pract</w:t>
            </w:r>
            <w:proofErr w:type="spellEnd"/>
            <w:r w:rsidRPr="00E1643F">
              <w:rPr>
                <w:rFonts w:ascii="Arial" w:eastAsia="Calibri" w:hAnsi="Arial" w:cs="Times New Roman"/>
                <w:i/>
                <w:sz w:val="20"/>
              </w:rPr>
              <w:t xml:space="preserve"> Res Clin Gastroenterol. </w:t>
            </w:r>
            <w:r w:rsidRPr="00E1643F">
              <w:rPr>
                <w:rFonts w:ascii="Arial" w:eastAsia="Calibri" w:hAnsi="Arial" w:cs="Times New Roman"/>
                <w:sz w:val="20"/>
              </w:rPr>
              <w:t>2011;25(1):19–27.</w:t>
            </w:r>
          </w:p>
        </w:tc>
      </w:tr>
      <w:tr w:rsidR="00E1643F" w:rsidRPr="00E1643F" w14:paraId="1FFE2C7C" w14:textId="77777777" w:rsidTr="00CC4489">
        <w:tc>
          <w:tcPr>
            <w:tcW w:w="5000" w:type="pct"/>
            <w:gridSpan w:val="2"/>
          </w:tcPr>
          <w:p w14:paraId="1F5521CB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Woodward S, Norton C, Chiarelli P. Biofeedback for treatment of chronic idiopathic constipation in adults. </w:t>
            </w:r>
            <w:r w:rsidRPr="00E1643F">
              <w:rPr>
                <w:rFonts w:ascii="Arial" w:eastAsia="Calibri" w:hAnsi="Arial" w:cs="Times New Roman"/>
                <w:i/>
                <w:sz w:val="20"/>
              </w:rPr>
              <w:t>Cochrane Database Syst Rev.</w:t>
            </w:r>
            <w:r w:rsidRPr="00E1643F">
              <w:rPr>
                <w:rFonts w:ascii="Arial" w:eastAsia="Calibri" w:hAnsi="Arial" w:cs="Times New Roman"/>
                <w:sz w:val="20"/>
              </w:rPr>
              <w:t xml:space="preserve"> 2014;26(3</w:t>
            </w:r>
            <w:proofErr w:type="gramStart"/>
            <w:r w:rsidRPr="00E1643F">
              <w:rPr>
                <w:rFonts w:ascii="Arial" w:eastAsia="Calibri" w:hAnsi="Arial" w:cs="Times New Roman"/>
                <w:sz w:val="20"/>
              </w:rPr>
              <w:t>):Cd</w:t>
            </w:r>
            <w:proofErr w:type="gramEnd"/>
            <w:r w:rsidRPr="00E1643F">
              <w:rPr>
                <w:rFonts w:ascii="Arial" w:eastAsia="Calibri" w:hAnsi="Arial" w:cs="Times New Roman"/>
                <w:sz w:val="20"/>
              </w:rPr>
              <w:t>008486.</w:t>
            </w:r>
          </w:p>
        </w:tc>
      </w:tr>
    </w:tbl>
    <w:p w14:paraId="74FD4C50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Times New Roman"/>
          <w:sz w:val="20"/>
          <w:lang w:val="en-US"/>
        </w:rPr>
      </w:pPr>
      <w:r w:rsidRPr="00E1643F">
        <w:rPr>
          <w:rFonts w:ascii="Arial" w:eastAsia="Calibri" w:hAnsi="Arial" w:cs="Times New Roman"/>
          <w:b/>
          <w:bCs/>
          <w:sz w:val="20"/>
          <w:lang w:val="en-US"/>
        </w:rPr>
        <w:t xml:space="preserve">Abbreviation: </w:t>
      </w:r>
      <w:r w:rsidRPr="00E1643F">
        <w:rPr>
          <w:rFonts w:ascii="Arial" w:eastAsia="Calibri" w:hAnsi="Arial" w:cs="Times New Roman"/>
          <w:sz w:val="20"/>
          <w:lang w:val="en-US"/>
        </w:rPr>
        <w:t>SLR, systematic literature review.</w:t>
      </w:r>
    </w:p>
    <w:p w14:paraId="34658CE7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36DB4CDD" w14:textId="77777777" w:rsidR="00E1643F" w:rsidRPr="00E1643F" w:rsidRDefault="00E1643F" w:rsidP="00E1643F">
      <w:pPr>
        <w:spacing w:after="200" w:line="48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E1643F">
        <w:rPr>
          <w:rFonts w:ascii="Arial" w:eastAsia="Calibri" w:hAnsi="Arial" w:cs="Arial"/>
          <w:b/>
          <w:sz w:val="24"/>
          <w:szCs w:val="24"/>
          <w:lang w:val="en-US"/>
        </w:rPr>
        <w:br w:type="page"/>
      </w:r>
    </w:p>
    <w:p w14:paraId="1620970D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Times New Roman"/>
          <w:sz w:val="20"/>
          <w:lang w:val="en-US"/>
        </w:rPr>
      </w:pPr>
      <w:r w:rsidRPr="00E1643F">
        <w:rPr>
          <w:rFonts w:ascii="Arial" w:eastAsia="Calibri" w:hAnsi="Arial" w:cs="Times New Roman"/>
          <w:b/>
          <w:sz w:val="20"/>
          <w:lang w:val="en-US"/>
        </w:rPr>
        <w:lastRenderedPageBreak/>
        <w:t>Supplementary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</w:t>
      </w:r>
      <w:r w:rsidRPr="00E1643F">
        <w:rPr>
          <w:rFonts w:ascii="Arial" w:eastAsia="Calibri" w:hAnsi="Arial" w:cs="Times New Roman"/>
          <w:b/>
          <w:sz w:val="20"/>
          <w:lang w:val="en-US"/>
        </w:rPr>
        <w:t>Table 2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Inclusion and exclusion criteria for the SLRs on the humanistic and economic burden of CIC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5300"/>
      </w:tblGrid>
      <w:tr w:rsidR="00E1643F" w:rsidRPr="00E1643F" w14:paraId="6306EC36" w14:textId="77777777" w:rsidTr="00CC4489">
        <w:tc>
          <w:tcPr>
            <w:tcW w:w="2689" w:type="dxa"/>
          </w:tcPr>
          <w:p w14:paraId="7B4F7C40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Criterion</w:t>
            </w:r>
          </w:p>
        </w:tc>
        <w:tc>
          <w:tcPr>
            <w:tcW w:w="4961" w:type="dxa"/>
          </w:tcPr>
          <w:p w14:paraId="335E9BBC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Included</w:t>
            </w:r>
          </w:p>
        </w:tc>
        <w:tc>
          <w:tcPr>
            <w:tcW w:w="5300" w:type="dxa"/>
          </w:tcPr>
          <w:p w14:paraId="4F895822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E1643F">
              <w:rPr>
                <w:rFonts w:ascii="Arial" w:eastAsia="Calibri" w:hAnsi="Arial" w:cs="Times New Roman"/>
                <w:b/>
                <w:bCs/>
                <w:sz w:val="20"/>
              </w:rPr>
              <w:t>Excluded</w:t>
            </w:r>
          </w:p>
        </w:tc>
      </w:tr>
      <w:tr w:rsidR="00E1643F" w:rsidRPr="00E1643F" w14:paraId="5FD5E5D8" w14:textId="77777777" w:rsidTr="00CC4489">
        <w:tc>
          <w:tcPr>
            <w:tcW w:w="2689" w:type="dxa"/>
          </w:tcPr>
          <w:p w14:paraId="1BA0C7FC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Population</w:t>
            </w:r>
          </w:p>
        </w:tc>
        <w:tc>
          <w:tcPr>
            <w:tcW w:w="4961" w:type="dxa"/>
          </w:tcPr>
          <w:p w14:paraId="0224C56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Adult patients ≥18 years old described by the study authors as having CIC or chronic FC</w:t>
            </w:r>
          </w:p>
        </w:tc>
        <w:tc>
          <w:tcPr>
            <w:tcW w:w="5300" w:type="dxa"/>
          </w:tcPr>
          <w:p w14:paraId="57B58C08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Patients with constipation or chronic constipation in which the authors do not describe the population as having CIC or chronic FC</w:t>
            </w:r>
          </w:p>
          <w:p w14:paraId="6AC9EEA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Children and adolescents</w:t>
            </w:r>
          </w:p>
        </w:tc>
      </w:tr>
      <w:tr w:rsidR="00E1643F" w:rsidRPr="00E1643F" w14:paraId="27B93159" w14:textId="77777777" w:rsidTr="00CC4489">
        <w:tc>
          <w:tcPr>
            <w:tcW w:w="2689" w:type="dxa"/>
          </w:tcPr>
          <w:p w14:paraId="2BDF7380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Outcomes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HRQoL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)</w:t>
            </w:r>
          </w:p>
        </w:tc>
        <w:tc>
          <w:tcPr>
            <w:tcW w:w="4961" w:type="dxa"/>
          </w:tcPr>
          <w:p w14:paraId="365EBBC9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Results from validated, multidimensional, generic, or disease-specific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HRQoL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measures,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ie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 PAC-QOL, SF-36, SF-12, and NHP</w:t>
            </w:r>
          </w:p>
        </w:tc>
        <w:tc>
          <w:tcPr>
            <w:tcW w:w="5300" w:type="dxa"/>
          </w:tcPr>
          <w:p w14:paraId="6B56D00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Clinician-reported outcomes</w:t>
            </w:r>
          </w:p>
          <w:p w14:paraId="7C779DB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Observer-reported outcomes</w:t>
            </w:r>
          </w:p>
          <w:p w14:paraId="13EA7B6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Performance-based outcomes</w:t>
            </w:r>
          </w:p>
          <w:p w14:paraId="258C027F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Symptom assessments</w:t>
            </w:r>
          </w:p>
          <w:p w14:paraId="074875D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Utility assessments</w:t>
            </w:r>
          </w:p>
          <w:p w14:paraId="01DD7953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Measures that assess only a single domain of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HRQoL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eg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 depression/anxiety, physical functioning)</w:t>
            </w:r>
          </w:p>
          <w:p w14:paraId="28840BD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Global assessments of change (patient- or clinician-reported)</w:t>
            </w:r>
          </w:p>
          <w:p w14:paraId="6CC6204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Laboratory outcomes</w:t>
            </w:r>
          </w:p>
          <w:p w14:paraId="07D11BFD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Economic outcomes</w:t>
            </w:r>
          </w:p>
          <w:p w14:paraId="7C2B647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Investigator-developed outcomes (such as individual items or questionnaires developed for a specific study/studies and not further validated)</w:t>
            </w:r>
          </w:p>
        </w:tc>
      </w:tr>
      <w:tr w:rsidR="00E1643F" w:rsidRPr="00E1643F" w14:paraId="5974AC65" w14:textId="77777777" w:rsidTr="00CC4489">
        <w:tc>
          <w:tcPr>
            <w:tcW w:w="2689" w:type="dxa"/>
          </w:tcPr>
          <w:p w14:paraId="06A6E533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Outcomes (economic burden)</w:t>
            </w:r>
          </w:p>
        </w:tc>
        <w:tc>
          <w:tcPr>
            <w:tcW w:w="4961" w:type="dxa"/>
          </w:tcPr>
          <w:p w14:paraId="4BB37C0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Direct healthcare resource utilization and/or costs</w:t>
            </w:r>
          </w:p>
          <w:p w14:paraId="3FAA7369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Medications</w:t>
            </w:r>
          </w:p>
          <w:p w14:paraId="091A4C94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Laboratory assessments</w:t>
            </w:r>
          </w:p>
          <w:p w14:paraId="50F87D8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Diagnostic procedures</w:t>
            </w:r>
          </w:p>
          <w:p w14:paraId="67F504AD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Physician or other provider outpatient visits and services</w:t>
            </w:r>
          </w:p>
          <w:p w14:paraId="3DC1501E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Emergency department visits</w:t>
            </w:r>
          </w:p>
          <w:p w14:paraId="3C2B5E9F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Inpatient hospitalizations</w:t>
            </w:r>
          </w:p>
          <w:p w14:paraId="66D9DDC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Hospital readmissions</w:t>
            </w:r>
          </w:p>
          <w:p w14:paraId="4F1E7B07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Patient out-of-pocket costs</w:t>
            </w:r>
          </w:p>
          <w:p w14:paraId="5F62A3EB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Indirect costs</w:t>
            </w:r>
          </w:p>
          <w:p w14:paraId="6637492F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Patient work productivity loss</w:t>
            </w:r>
          </w:p>
          <w:p w14:paraId="71FF6F9B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Absenteeism from work or school</w:t>
            </w:r>
          </w:p>
          <w:p w14:paraId="6F697DD9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Disability payments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eg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 payments made by third parties to patients disabled with CIC or chronic FC)</w:t>
            </w:r>
          </w:p>
        </w:tc>
        <w:tc>
          <w:tcPr>
            <w:tcW w:w="5300" w:type="dxa"/>
          </w:tcPr>
          <w:p w14:paraId="3D0DE77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No specific exclusion criteria</w:t>
            </w:r>
          </w:p>
        </w:tc>
      </w:tr>
      <w:tr w:rsidR="00E1643F" w:rsidRPr="00E1643F" w14:paraId="0A57B7B2" w14:textId="77777777" w:rsidTr="00CC4489">
        <w:tc>
          <w:tcPr>
            <w:tcW w:w="2689" w:type="dxa"/>
          </w:tcPr>
          <w:p w14:paraId="6C06906E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Study type</w:t>
            </w:r>
          </w:p>
        </w:tc>
        <w:tc>
          <w:tcPr>
            <w:tcW w:w="4961" w:type="dxa"/>
          </w:tcPr>
          <w:p w14:paraId="52DFC1D3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Prospective, retrospective, cross-sectional studies</w:t>
            </w:r>
          </w:p>
          <w:p w14:paraId="6D1B8AD9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Clinical trials</w:t>
            </w:r>
          </w:p>
          <w:p w14:paraId="54AAA6CF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Systematic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reviews</w:t>
            </w:r>
            <w:r w:rsidRPr="00E1643F">
              <w:rPr>
                <w:rFonts w:ascii="Arial" w:eastAsia="Calibri" w:hAnsi="Arial" w:cs="Times New Roman"/>
                <w:sz w:val="20"/>
                <w:vertAlign w:val="superscript"/>
              </w:rPr>
              <w:t>a</w:t>
            </w:r>
            <w:proofErr w:type="spellEnd"/>
          </w:p>
          <w:p w14:paraId="31CE3655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Modelling studies</w:t>
            </w:r>
          </w:p>
          <w:p w14:paraId="4F071A45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Other study types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eg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 Delphi panels)</w:t>
            </w:r>
          </w:p>
        </w:tc>
        <w:tc>
          <w:tcPr>
            <w:tcW w:w="5300" w:type="dxa"/>
          </w:tcPr>
          <w:p w14:paraId="5E87962B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Commentaries and letters (publication type)</w:t>
            </w:r>
          </w:p>
          <w:p w14:paraId="1298C5F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>Consensus reports</w:t>
            </w:r>
          </w:p>
          <w:p w14:paraId="09EE6B9F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Non-systematic reviews</w:t>
            </w:r>
          </w:p>
          <w:p w14:paraId="1AA367AA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 xml:space="preserve">Articles mentioning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HRQoL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 xml:space="preserve"> effects of CIC that are not based on data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eg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 commentaries making general reference to humanistic burden)</w:t>
            </w:r>
          </w:p>
          <w:p w14:paraId="09CCA161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Articles reporting cost estimates that are not based on data (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eg</w:t>
            </w:r>
            <w:proofErr w:type="spellEnd"/>
            <w:r w:rsidRPr="00E1643F">
              <w:rPr>
                <w:rFonts w:ascii="Arial" w:eastAsia="Calibri" w:hAnsi="Arial" w:cs="Times New Roman"/>
                <w:sz w:val="20"/>
              </w:rPr>
              <w:t>, commentaries making general reference to costs)</w:t>
            </w:r>
          </w:p>
        </w:tc>
      </w:tr>
      <w:tr w:rsidR="00E1643F" w:rsidRPr="00E1643F" w14:paraId="6514D723" w14:textId="77777777" w:rsidTr="00CC4489">
        <w:tc>
          <w:tcPr>
            <w:tcW w:w="2689" w:type="dxa"/>
          </w:tcPr>
          <w:p w14:paraId="622ED6A4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  <w:vertAlign w:val="superscript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lastRenderedPageBreak/>
              <w:t xml:space="preserve">Conference </w:t>
            </w:r>
            <w:proofErr w:type="spellStart"/>
            <w:r w:rsidRPr="00E1643F">
              <w:rPr>
                <w:rFonts w:ascii="Arial" w:eastAsia="Calibri" w:hAnsi="Arial" w:cs="Times New Roman"/>
                <w:sz w:val="20"/>
              </w:rPr>
              <w:t>abstracts</w:t>
            </w:r>
            <w:r w:rsidRPr="00E1643F">
              <w:rPr>
                <w:rFonts w:ascii="Arial" w:eastAsia="Calibri" w:hAnsi="Arial" w:cs="Times New Roman"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4961" w:type="dxa"/>
          </w:tcPr>
          <w:p w14:paraId="39ED4D83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Abstracts presented from 2015 to present</w:t>
            </w:r>
          </w:p>
        </w:tc>
        <w:tc>
          <w:tcPr>
            <w:tcW w:w="5300" w:type="dxa"/>
          </w:tcPr>
          <w:p w14:paraId="5FC35EB3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Abstracts presented before 2015</w:t>
            </w:r>
          </w:p>
        </w:tc>
      </w:tr>
      <w:tr w:rsidR="00E1643F" w:rsidRPr="00E1643F" w14:paraId="1BC17BB7" w14:textId="77777777" w:rsidTr="00CC4489">
        <w:tc>
          <w:tcPr>
            <w:tcW w:w="2689" w:type="dxa"/>
          </w:tcPr>
          <w:p w14:paraId="6B8E38F2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Geographical location</w:t>
            </w:r>
          </w:p>
        </w:tc>
        <w:tc>
          <w:tcPr>
            <w:tcW w:w="4961" w:type="dxa"/>
          </w:tcPr>
          <w:p w14:paraId="4A2B96F2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Studies conducted in the USA only</w:t>
            </w:r>
          </w:p>
        </w:tc>
        <w:tc>
          <w:tcPr>
            <w:tcW w:w="5300" w:type="dxa"/>
          </w:tcPr>
          <w:p w14:paraId="054AA5A6" w14:textId="77777777" w:rsidR="00E1643F" w:rsidRPr="00E1643F" w:rsidRDefault="00E1643F" w:rsidP="00E1643F">
            <w:pPr>
              <w:spacing w:line="480" w:lineRule="auto"/>
              <w:rPr>
                <w:rFonts w:ascii="Arial" w:eastAsia="Calibri" w:hAnsi="Arial" w:cs="Times New Roman"/>
                <w:sz w:val="20"/>
              </w:rPr>
            </w:pPr>
            <w:r w:rsidRPr="00E1643F">
              <w:rPr>
                <w:rFonts w:ascii="Arial" w:eastAsia="Calibri" w:hAnsi="Arial" w:cs="Times New Roman"/>
                <w:sz w:val="20"/>
              </w:rPr>
              <w:t>Non-US studies</w:t>
            </w:r>
          </w:p>
        </w:tc>
      </w:tr>
    </w:tbl>
    <w:p w14:paraId="68B3EDF9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Times New Roman"/>
          <w:sz w:val="20"/>
          <w:lang w:val="en-US"/>
        </w:rPr>
      </w:pPr>
      <w:r w:rsidRPr="00E1643F">
        <w:rPr>
          <w:rFonts w:ascii="Arial" w:eastAsia="Calibri" w:hAnsi="Arial" w:cs="Times New Roman"/>
          <w:b/>
          <w:bCs/>
          <w:sz w:val="20"/>
          <w:lang w:val="en-US"/>
        </w:rPr>
        <w:t>Notes: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When it was unclear whether a study met a criterion during level 1 screening, the study was progressed to full-text screening to confirm whether it met the inclusion criteria.</w:t>
      </w:r>
      <w:r w:rsidRPr="00E1643F">
        <w:rPr>
          <w:rFonts w:ascii="Arial" w:eastAsia="Calibri" w:hAnsi="Arial" w:cs="Times New Roman"/>
          <w:sz w:val="20"/>
          <w:vertAlign w:val="superscript"/>
          <w:lang w:val="en-US"/>
        </w:rPr>
        <w:t xml:space="preserve"> </w:t>
      </w:r>
      <w:proofErr w:type="spellStart"/>
      <w:r w:rsidRPr="00E1643F">
        <w:rPr>
          <w:rFonts w:ascii="Arial" w:eastAsia="Calibri" w:hAnsi="Arial" w:cs="Times New Roman"/>
          <w:sz w:val="20"/>
          <w:vertAlign w:val="superscript"/>
          <w:lang w:val="en-US"/>
        </w:rPr>
        <w:t>a</w:t>
      </w:r>
      <w:r w:rsidRPr="00E1643F">
        <w:rPr>
          <w:rFonts w:ascii="Arial" w:eastAsia="Calibri" w:hAnsi="Arial" w:cs="Times New Roman"/>
          <w:sz w:val="20"/>
          <w:lang w:val="en-US"/>
        </w:rPr>
        <w:t>Systematic</w:t>
      </w:r>
      <w:proofErr w:type="spellEnd"/>
      <w:r w:rsidRPr="00E1643F">
        <w:rPr>
          <w:rFonts w:ascii="Arial" w:eastAsia="Calibri" w:hAnsi="Arial" w:cs="Times New Roman"/>
          <w:sz w:val="20"/>
          <w:lang w:val="en-US"/>
        </w:rPr>
        <w:t xml:space="preserve"> reviews were included at level 1 screening to identify primary studies and then excluded at level 2 screening.</w:t>
      </w:r>
      <w:r w:rsidRPr="00E1643F">
        <w:rPr>
          <w:rFonts w:ascii="Arial" w:eastAsia="Calibri" w:hAnsi="Arial" w:cs="Times New Roman"/>
          <w:sz w:val="20"/>
          <w:vertAlign w:val="superscript"/>
          <w:lang w:val="en-US"/>
        </w:rPr>
        <w:t xml:space="preserve"> </w:t>
      </w:r>
      <w:proofErr w:type="spellStart"/>
      <w:r w:rsidRPr="00E1643F">
        <w:rPr>
          <w:rFonts w:ascii="Arial" w:eastAsia="Calibri" w:hAnsi="Arial" w:cs="Times New Roman"/>
          <w:sz w:val="20"/>
          <w:vertAlign w:val="superscript"/>
          <w:lang w:val="en-US"/>
        </w:rPr>
        <w:t>b</w:t>
      </w:r>
      <w:r w:rsidRPr="00E1643F">
        <w:rPr>
          <w:rFonts w:ascii="Arial" w:eastAsia="Calibri" w:hAnsi="Arial" w:cs="Times New Roman"/>
          <w:sz w:val="20"/>
          <w:lang w:val="en-US"/>
        </w:rPr>
        <w:t>No</w:t>
      </w:r>
      <w:proofErr w:type="spellEnd"/>
      <w:r w:rsidRPr="00E1643F">
        <w:rPr>
          <w:rFonts w:ascii="Arial" w:eastAsia="Calibri" w:hAnsi="Arial" w:cs="Times New Roman"/>
          <w:sz w:val="20"/>
          <w:lang w:val="en-US"/>
        </w:rPr>
        <w:t xml:space="preserve"> date restriction was placed on abstracts in the electronic database searches in which abstracts are included in se</w:t>
      </w:r>
      <w:bookmarkStart w:id="0" w:name="_GoBack"/>
      <w:bookmarkEnd w:id="0"/>
      <w:r w:rsidRPr="00E1643F">
        <w:rPr>
          <w:rFonts w:ascii="Arial" w:eastAsia="Calibri" w:hAnsi="Arial" w:cs="Times New Roman"/>
          <w:sz w:val="20"/>
          <w:lang w:val="en-US"/>
        </w:rPr>
        <w:t>arch results (</w:t>
      </w:r>
      <w:proofErr w:type="spellStart"/>
      <w:r w:rsidRPr="00E1643F">
        <w:rPr>
          <w:rFonts w:ascii="Arial" w:eastAsia="Calibri" w:hAnsi="Arial" w:cs="Times New Roman"/>
          <w:sz w:val="20"/>
          <w:lang w:val="en-US"/>
        </w:rPr>
        <w:t>Embase</w:t>
      </w:r>
      <w:proofErr w:type="spellEnd"/>
      <w:r w:rsidRPr="00E1643F">
        <w:rPr>
          <w:rFonts w:ascii="Arial" w:eastAsia="Calibri" w:hAnsi="Arial" w:cs="Times New Roman"/>
          <w:sz w:val="20"/>
          <w:lang w:val="en-US"/>
        </w:rPr>
        <w:t xml:space="preserve"> and BIOSIS). The date restriction was applied during level 2 screening.</w:t>
      </w:r>
    </w:p>
    <w:p w14:paraId="59BD6922" w14:textId="77777777" w:rsidR="00E1643F" w:rsidRPr="00E1643F" w:rsidRDefault="00E1643F" w:rsidP="00E1643F">
      <w:pPr>
        <w:spacing w:after="0" w:line="480" w:lineRule="auto"/>
        <w:rPr>
          <w:rFonts w:ascii="Arial" w:eastAsia="Calibri" w:hAnsi="Arial" w:cs="Times New Roman"/>
          <w:sz w:val="20"/>
          <w:lang w:val="en-US"/>
        </w:rPr>
      </w:pPr>
      <w:r w:rsidRPr="00E1643F">
        <w:rPr>
          <w:rFonts w:ascii="Arial" w:eastAsia="Calibri" w:hAnsi="Arial" w:cs="Times New Roman"/>
          <w:b/>
          <w:bCs/>
          <w:sz w:val="20"/>
          <w:lang w:val="en-US"/>
        </w:rPr>
        <w:t>Abbreviations:</w:t>
      </w:r>
      <w:r w:rsidRPr="00E1643F">
        <w:rPr>
          <w:rFonts w:ascii="Arial" w:eastAsia="Calibri" w:hAnsi="Arial" w:cs="Times New Roman"/>
          <w:sz w:val="20"/>
          <w:lang w:val="en-US"/>
        </w:rPr>
        <w:t xml:space="preserve"> CIC, chronic idiopathic constipation; FC, functional constipation; </w:t>
      </w:r>
      <w:proofErr w:type="spellStart"/>
      <w:r w:rsidRPr="00E1643F">
        <w:rPr>
          <w:rFonts w:ascii="Arial" w:eastAsia="Calibri" w:hAnsi="Arial" w:cs="Times New Roman"/>
          <w:sz w:val="20"/>
          <w:lang w:val="en-US"/>
        </w:rPr>
        <w:t>HRQoL</w:t>
      </w:r>
      <w:proofErr w:type="spellEnd"/>
      <w:r w:rsidRPr="00E1643F">
        <w:rPr>
          <w:rFonts w:ascii="Arial" w:eastAsia="Calibri" w:hAnsi="Arial" w:cs="Times New Roman"/>
          <w:sz w:val="20"/>
          <w:lang w:val="en-US"/>
        </w:rPr>
        <w:t xml:space="preserve">, health-related quality of life; </w:t>
      </w:r>
      <w:bookmarkStart w:id="1" w:name="_Hlk13836540"/>
      <w:r w:rsidRPr="00E1643F">
        <w:rPr>
          <w:rFonts w:ascii="Arial" w:eastAsia="Calibri" w:hAnsi="Arial" w:cs="Times New Roman"/>
          <w:sz w:val="20"/>
          <w:lang w:val="en-US"/>
        </w:rPr>
        <w:t xml:space="preserve">NHP, Nottingham Health Profile; </w:t>
      </w:r>
      <w:bookmarkEnd w:id="1"/>
      <w:r w:rsidRPr="00E1643F">
        <w:rPr>
          <w:rFonts w:ascii="Arial" w:eastAsia="Calibri" w:hAnsi="Arial" w:cs="Times New Roman"/>
          <w:sz w:val="20"/>
          <w:lang w:val="en-US"/>
        </w:rPr>
        <w:t>PAC-QOL, Patient Assessment of Constipation Quality of Life questionnaire; SF-12, 12-item Short-Form Health Survey; SF-36, 36-item Short-Form Health Survey; SLR, systematic literature review.</w:t>
      </w:r>
    </w:p>
    <w:p w14:paraId="23726498" w14:textId="77777777" w:rsidR="00DD1B7E" w:rsidRDefault="00DD1B7E"/>
    <w:sectPr w:rsidR="00DD1B7E" w:rsidSect="00E164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3F"/>
    <w:rsid w:val="00DD1B7E"/>
    <w:rsid w:val="00E1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E797"/>
  <w15:chartTrackingRefBased/>
  <w15:docId w15:val="{3FD8BFB6-E2DF-4078-A4AA-C99A0970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4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w.org/home/" TargetMode="External"/><Relationship Id="rId5" Type="http://schemas.openxmlformats.org/officeDocument/2006/relationships/hyperlink" Target="http://gi.org/" TargetMode="External"/><Relationship Id="rId4" Type="http://schemas.openxmlformats.org/officeDocument/2006/relationships/hyperlink" Target="http://www.ispor.org/meetings/Meetings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Saxon</dc:creator>
  <cp:keywords/>
  <dc:description/>
  <cp:lastModifiedBy>Emma Saxon</cp:lastModifiedBy>
  <cp:revision>1</cp:revision>
  <dcterms:created xsi:type="dcterms:W3CDTF">2020-01-10T17:19:00Z</dcterms:created>
  <dcterms:modified xsi:type="dcterms:W3CDTF">2020-01-10T17:19:00Z</dcterms:modified>
</cp:coreProperties>
</file>