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5E07A" w14:textId="77777777" w:rsidR="00ED664E" w:rsidRDefault="00ED664E" w:rsidP="00ED664E">
      <w:pPr>
        <w:spacing w:after="0" w:line="480" w:lineRule="auto"/>
        <w:contextualSpacing/>
        <w:rPr>
          <w:rFonts w:ascii="Arial" w:hAnsi="Arial" w:cs="Arial"/>
          <w:sz w:val="20"/>
          <w:szCs w:val="20"/>
        </w:rPr>
      </w:pPr>
      <w:r w:rsidRPr="006C1B16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557FBE">
        <w:rPr>
          <w:rFonts w:ascii="Arial" w:hAnsi="Arial" w:cs="Arial"/>
          <w:b/>
          <w:bCs/>
          <w:sz w:val="20"/>
          <w:szCs w:val="20"/>
        </w:rPr>
        <w:t>1</w:t>
      </w:r>
      <w:r w:rsidRPr="005D44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5D4424">
        <w:rPr>
          <w:rFonts w:ascii="Arial" w:hAnsi="Arial" w:cs="Arial"/>
          <w:sz w:val="20"/>
          <w:szCs w:val="20"/>
        </w:rPr>
        <w:t>nivaria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bl</w:t>
      </w:r>
      <w:r w:rsidRPr="005D4424">
        <w:rPr>
          <w:rFonts w:ascii="Arial" w:hAnsi="Arial" w:cs="Arial"/>
          <w:sz w:val="20"/>
          <w:szCs w:val="20"/>
        </w:rPr>
        <w:t xml:space="preserve">e linear regression </w:t>
      </w:r>
      <w:r>
        <w:rPr>
          <w:rFonts w:ascii="Arial" w:hAnsi="Arial" w:cs="Arial"/>
          <w:sz w:val="20"/>
          <w:szCs w:val="20"/>
        </w:rPr>
        <w:t>analyses examining the a</w:t>
      </w:r>
      <w:r w:rsidRPr="005D4424">
        <w:rPr>
          <w:rFonts w:ascii="Arial" w:hAnsi="Arial" w:cs="Arial"/>
          <w:sz w:val="20"/>
          <w:szCs w:val="20"/>
        </w:rPr>
        <w:t xml:space="preserve">ssociation of </w:t>
      </w:r>
      <w:r>
        <w:rPr>
          <w:rFonts w:ascii="Arial" w:hAnsi="Arial" w:cs="Arial"/>
          <w:sz w:val="20"/>
          <w:szCs w:val="20"/>
        </w:rPr>
        <w:t xml:space="preserve">various </w:t>
      </w:r>
      <w:r w:rsidRPr="005D4424">
        <w:rPr>
          <w:rFonts w:ascii="Arial" w:hAnsi="Arial" w:cs="Arial"/>
          <w:sz w:val="20"/>
          <w:szCs w:val="20"/>
        </w:rPr>
        <w:t>factors of interest</w:t>
      </w:r>
      <w:r>
        <w:rPr>
          <w:rFonts w:ascii="Arial" w:hAnsi="Arial" w:cs="Arial"/>
          <w:sz w:val="20"/>
          <w:szCs w:val="20"/>
        </w:rPr>
        <w:t xml:space="preserve"> with the </w:t>
      </w:r>
      <w:r w:rsidRPr="005D4424">
        <w:rPr>
          <w:rFonts w:ascii="Arial" w:hAnsi="Arial" w:cs="Arial"/>
          <w:sz w:val="20"/>
          <w:szCs w:val="20"/>
        </w:rPr>
        <w:t xml:space="preserve">change in </w:t>
      </w:r>
      <w:r>
        <w:rPr>
          <w:rFonts w:ascii="Arial" w:hAnsi="Arial" w:cs="Arial"/>
          <w:sz w:val="20"/>
          <w:szCs w:val="20"/>
        </w:rPr>
        <w:t>the total C</w:t>
      </w:r>
      <w:r w:rsidRPr="005D4424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Pr="005D4424">
        <w:rPr>
          <w:rFonts w:ascii="Arial" w:hAnsi="Arial" w:cs="Arial"/>
          <w:sz w:val="20"/>
          <w:szCs w:val="20"/>
        </w:rPr>
        <w:t xml:space="preserve">score </w:t>
      </w:r>
      <w:r>
        <w:rPr>
          <w:rFonts w:ascii="Arial" w:hAnsi="Arial" w:cs="Arial"/>
          <w:sz w:val="20"/>
          <w:szCs w:val="20"/>
        </w:rPr>
        <w:t>from</w:t>
      </w:r>
      <w:r w:rsidRPr="005D44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enrollment</w:t>
      </w:r>
      <w:r w:rsidRPr="005D44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the 12-week follow-up visit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2"/>
        <w:gridCol w:w="2386"/>
        <w:gridCol w:w="1546"/>
        <w:gridCol w:w="991"/>
        <w:gridCol w:w="1308"/>
        <w:gridCol w:w="1055"/>
        <w:gridCol w:w="1055"/>
        <w:gridCol w:w="1195"/>
      </w:tblGrid>
      <w:tr w:rsidR="00ED664E" w:rsidRPr="00ED664E" w14:paraId="72DEAC39" w14:textId="77777777" w:rsidTr="00ED664E">
        <w:trPr>
          <w:cantSplit/>
          <w:trHeight w:val="284"/>
          <w:tblHeader/>
          <w:jc w:val="center"/>
        </w:trPr>
        <w:tc>
          <w:tcPr>
            <w:tcW w:w="10744" w:type="dxa"/>
            <w:gridSpan w:val="5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351520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1C5C398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95% Wald CI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AED7643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ED664E" w:rsidRPr="00ED664E" w14:paraId="4CB970BF" w14:textId="77777777" w:rsidTr="00ED664E">
        <w:trPr>
          <w:cantSplit/>
          <w:trHeight w:val="284"/>
          <w:tblHeader/>
          <w:jc w:val="center"/>
        </w:trPr>
        <w:tc>
          <w:tcPr>
            <w:tcW w:w="6864" w:type="dxa"/>
            <w:gridSpan w:val="2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381F64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BD1C71B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OLS mean </w:t>
            </w:r>
            <w:proofErr w:type="spellStart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change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a</w:t>
            </w:r>
            <w:proofErr w:type="spellEnd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9D00AF6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OLS </w:t>
            </w:r>
            <w:proofErr w:type="spellStart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estimate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D414308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Standard error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BB53E35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Lower limit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32048DB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Upper limit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897A59E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p-value</w:t>
            </w:r>
          </w:p>
        </w:tc>
      </w:tr>
      <w:tr w:rsidR="00ED664E" w:rsidRPr="00ED664E" w14:paraId="74B35F9A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01271AC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Sex (N = 279)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543AA0B3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Males vs. Females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6833E88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-3.418 vs. -4.500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2A6BEE11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1.082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0998BB0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0.474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434C900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0.148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B3E401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2.016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4E2ECE7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0.023</w:t>
            </w:r>
          </w:p>
        </w:tc>
      </w:tr>
      <w:tr w:rsidR="00ED664E" w:rsidRPr="00ED664E" w14:paraId="5B83D1F9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206795E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Age group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40ED80D3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≥65 vs. &lt;65 years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7273FF4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-4.229 vs. -3.364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67165FA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-0.866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606151E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0.410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090E863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-1.673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222FD809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-0.058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07FA258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0.036</w:t>
            </w:r>
          </w:p>
        </w:tc>
      </w:tr>
      <w:tr w:rsidR="00ED664E" w:rsidRPr="00ED664E" w14:paraId="0DA91FC3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6B1B2CA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BMI (kg/m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2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0C8CCB6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&lt;25 vs. ≥25 kg/m</w:t>
            </w:r>
            <w:r w:rsidRPr="00ED664E">
              <w:rPr>
                <w:rFonts w:ascii="Arial" w:hAnsi="Arial" w:cs="Arial"/>
                <w:color w:val="000000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1064D67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-3.126 vs. -3.944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078439B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0.818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76A815C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0.433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295922E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-0.035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5B9CD20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1.671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A3350A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0.060</w:t>
            </w:r>
          </w:p>
        </w:tc>
      </w:tr>
      <w:tr w:rsidR="00ED664E" w:rsidRPr="00ED664E" w14:paraId="2BF4AFA9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2C34253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Obesity (BMI ≥30 kg/m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2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6783F98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4D09A93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-3.901 vs. -3.613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06AE24D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-0.288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61C6F403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0.445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288BF6A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-1.164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C81224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0.587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10DDD6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0.517</w:t>
            </w:r>
          </w:p>
        </w:tc>
      </w:tr>
      <w:tr w:rsidR="00ED664E" w:rsidRPr="00ED664E" w14:paraId="78974DBD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6503B30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Smoking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59F8A63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Smokers vs. Other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330DFB3A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-4.072 vs. -3.454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3A6BB91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-0.618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51A852B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0.410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417AFD0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-1.426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264972E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0.190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6ACA93D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0.133</w:t>
            </w:r>
          </w:p>
        </w:tc>
      </w:tr>
      <w:tr w:rsidR="00ED664E" w:rsidRPr="00ED664E" w14:paraId="73EA9189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5F8E3E6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Newly-diagnosed</w:t>
            </w:r>
            <w:proofErr w:type="gramEnd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COPD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6EFBC64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4BF3B1F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-4.378 vs. -3.455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5EFE647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-0.923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6060CAA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0.455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7C4B1C9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-1.819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894C85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-0.028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ED6724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0.043</w:t>
            </w:r>
          </w:p>
        </w:tc>
      </w:tr>
      <w:tr w:rsidR="00ED664E" w:rsidRPr="00ED664E" w14:paraId="5A5A8D87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08DE381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Cardiac/vascular disorders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501BC0C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53BF38A8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-3.497 vs. -3.959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69ED5ED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0.462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525D62A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0.405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39FACF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-0.335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7FBB4DF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1.259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4FAA7BC1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0.255</w:t>
            </w:r>
          </w:p>
        </w:tc>
      </w:tr>
      <w:tr w:rsidR="00ED664E" w:rsidRPr="00ED664E" w14:paraId="04D44BC1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5EF45BE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Metabolism/nutrition disorders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5F76309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5432E6D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-3.318 vs. -3.863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3FCFE6E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0.545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25DB243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0.434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308E6B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-0.309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788A03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1.398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7F769F9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0.210</w:t>
            </w:r>
          </w:p>
        </w:tc>
      </w:tr>
      <w:tr w:rsidR="00ED664E" w:rsidRPr="00ED664E" w14:paraId="76E9A8DD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5F6AE91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Comorbidity count (N = 285)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237C866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≥2 vs. &lt;2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7B3DB51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-3.448 vs. -3.944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095A68F1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0.496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6C7890A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0.401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85181B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-0.293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9E98AC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1.285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F7D59C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0.217</w:t>
            </w:r>
          </w:p>
        </w:tc>
      </w:tr>
      <w:tr w:rsidR="00ED664E" w:rsidRPr="00ED664E" w14:paraId="20ACEA8D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7D001F5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 prior treatment with LAMA (N = 284)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08C0475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537EC27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-3.978 vs. -3.133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40F7C0A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-0.846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7BA6839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0.421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3E12DED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-1.674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74FAE32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-0.018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57E8FFD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0.045</w:t>
            </w:r>
          </w:p>
        </w:tc>
      </w:tr>
      <w:tr w:rsidR="00ED664E" w:rsidRPr="00ED664E" w14:paraId="3AFBBB3D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24AEE33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Previous ICS, LABA, and/or LAMA (N = 284)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644F6D1A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56195A28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-3.583 vs. -3.950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25A496F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0.367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36401A7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0.447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5443D218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-0.514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48DFC98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1.247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4C42D53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0.413</w:t>
            </w:r>
          </w:p>
        </w:tc>
      </w:tr>
      <w:tr w:rsidR="00ED664E" w:rsidRPr="00ED664E" w14:paraId="7E2FF4E7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664AD578" w14:textId="77777777" w:rsidR="00ED664E" w:rsidRPr="00ED664E" w:rsidRDefault="00ED664E" w:rsidP="00ED664E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Aclidinium bromide initiated as add-on with other inhaled maintenance treatment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(N = 250)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5FEC534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0843C03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-3.885 vs. -2.588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2A317CE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-1.296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4792A1D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0.439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5F574D61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-2.162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33407CB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-0.431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4BFE848D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0.003</w:t>
            </w:r>
          </w:p>
        </w:tc>
      </w:tr>
      <w:tr w:rsidR="00ED664E" w:rsidRPr="00ED664E" w14:paraId="3E66469C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10D3406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lastRenderedPageBreak/>
              <w:t xml:space="preserve">No prior LAMA &amp; aclidinium bromide initiated without other inhaled maintenance treatment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  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</w:t>
            </w:r>
            <w:proofErr w:type="gramEnd"/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 = 249)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135A53E9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0B51D6B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-2.333 vs. -3.598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5DA7898A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1.265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7F54698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0.834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460ECD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-0.378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756B69C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2.908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34C6819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0.131</w:t>
            </w:r>
          </w:p>
        </w:tc>
      </w:tr>
      <w:tr w:rsidR="00ED664E" w:rsidRPr="00ED664E" w14:paraId="21A17A5A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74AFB6D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Presence of night-time symptoms (N = 279)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1405829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326E93E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-4.431 vs. -2.362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572D94C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-2.069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0AB0B00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0.399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375D659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-2.855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51021E9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-1.284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26F1B45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&lt;0.001</w:t>
            </w:r>
          </w:p>
        </w:tc>
      </w:tr>
      <w:tr w:rsidR="00ED664E" w:rsidRPr="00ED664E" w14:paraId="40595F98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4ADFA05E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Severity of night-time symptoms (N = 279)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00180F8B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At least moderate symptoms vs. No/Mild symptoms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3618EF5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-4.949 vs. -3.140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75A3682C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-1.809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18E05FF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0.436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72CE437F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-2.668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6E0044E3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-0.951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1B5FAC1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&lt;0.001</w:t>
            </w:r>
          </w:p>
        </w:tc>
      </w:tr>
      <w:tr w:rsidR="00ED664E" w:rsidRPr="00ED664E" w14:paraId="467A5DD3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3FB52C60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Severity of early-morning symptoms </w:t>
            </w: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br/>
              <w:t>(N = 277)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247436C5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At least moderate symptoms vs. No/Mild symptoms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1965D984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-4.610 vs. -2.257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73566E66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-2.353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55D629E7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0.396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4125DA9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-3.134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F9FCE99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-1.573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50C591E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&lt;0.001</w:t>
            </w:r>
          </w:p>
        </w:tc>
      </w:tr>
      <w:tr w:rsidR="00ED664E" w:rsidRPr="00ED664E" w14:paraId="05E7A8F9" w14:textId="77777777" w:rsidTr="00ED664E">
        <w:trPr>
          <w:cantSplit/>
          <w:trHeight w:val="284"/>
          <w:jc w:val="center"/>
        </w:trPr>
        <w:tc>
          <w:tcPr>
            <w:tcW w:w="4455" w:type="dxa"/>
            <w:shd w:val="clear" w:color="auto" w:fill="FFFFFF"/>
            <w:tcMar>
              <w:left w:w="60" w:type="dxa"/>
              <w:right w:w="60" w:type="dxa"/>
            </w:tcMar>
          </w:tcPr>
          <w:p w14:paraId="5F6E2F82" w14:textId="77777777" w:rsidR="00ED664E" w:rsidRPr="00ED664E" w:rsidRDefault="00ED664E" w:rsidP="002038CC">
            <w:pPr>
              <w:adjustRightInd w:val="0"/>
              <w:spacing w:after="0" w:line="48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At least moderate early-morning and/or night-time symptoms (N = 276)</w:t>
            </w:r>
          </w:p>
        </w:tc>
        <w:tc>
          <w:tcPr>
            <w:tcW w:w="2409" w:type="dxa"/>
            <w:shd w:val="clear" w:color="auto" w:fill="FFFFFF"/>
            <w:tcMar>
              <w:left w:w="60" w:type="dxa"/>
              <w:right w:w="60" w:type="dxa"/>
            </w:tcMar>
          </w:tcPr>
          <w:p w14:paraId="21216F7C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Yes vs. No</w:t>
            </w:r>
          </w:p>
        </w:tc>
        <w:tc>
          <w:tcPr>
            <w:tcW w:w="1560" w:type="dxa"/>
            <w:shd w:val="clear" w:color="auto" w:fill="FFFFFF"/>
            <w:tcMar>
              <w:left w:w="60" w:type="dxa"/>
              <w:right w:w="60" w:type="dxa"/>
            </w:tcMar>
          </w:tcPr>
          <w:p w14:paraId="1ABEB90C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-4.570 vs. -2.021</w:t>
            </w:r>
          </w:p>
        </w:tc>
        <w:tc>
          <w:tcPr>
            <w:tcW w:w="1000" w:type="dxa"/>
            <w:shd w:val="clear" w:color="auto" w:fill="FFFFFF"/>
            <w:tcMar>
              <w:left w:w="60" w:type="dxa"/>
              <w:right w:w="60" w:type="dxa"/>
            </w:tcMar>
          </w:tcPr>
          <w:p w14:paraId="21CDC266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-2.549</w:t>
            </w:r>
          </w:p>
        </w:tc>
        <w:tc>
          <w:tcPr>
            <w:tcW w:w="1320" w:type="dxa"/>
            <w:shd w:val="clear" w:color="auto" w:fill="FFFFFF"/>
            <w:tcMar>
              <w:left w:w="60" w:type="dxa"/>
              <w:right w:w="60" w:type="dxa"/>
            </w:tcMar>
          </w:tcPr>
          <w:p w14:paraId="6DA79001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0.395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504C651B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-3.327</w:t>
            </w:r>
          </w:p>
        </w:tc>
        <w:tc>
          <w:tcPr>
            <w:tcW w:w="1064" w:type="dxa"/>
            <w:shd w:val="clear" w:color="auto" w:fill="FFFFFF"/>
            <w:tcMar>
              <w:left w:w="60" w:type="dxa"/>
              <w:right w:w="60" w:type="dxa"/>
            </w:tcMar>
          </w:tcPr>
          <w:p w14:paraId="1DCFA8A2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color w:val="000000"/>
                <w:sz w:val="18"/>
                <w:szCs w:val="20"/>
              </w:rPr>
              <w:t>-1.772</w:t>
            </w:r>
          </w:p>
        </w:tc>
        <w:tc>
          <w:tcPr>
            <w:tcW w:w="1206" w:type="dxa"/>
            <w:shd w:val="clear" w:color="auto" w:fill="FFFFFF"/>
            <w:tcMar>
              <w:left w:w="60" w:type="dxa"/>
              <w:right w:w="60" w:type="dxa"/>
            </w:tcMar>
          </w:tcPr>
          <w:p w14:paraId="428510F0" w14:textId="77777777" w:rsidR="00ED664E" w:rsidRPr="00ED664E" w:rsidRDefault="00ED664E" w:rsidP="002038CC">
            <w:pPr>
              <w:keepNext/>
              <w:adjustRightInd w:val="0"/>
              <w:spacing w:after="0" w:line="48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D664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&lt;0.001</w:t>
            </w:r>
          </w:p>
        </w:tc>
      </w:tr>
    </w:tbl>
    <w:p w14:paraId="234A0D82" w14:textId="77777777" w:rsidR="00ED664E" w:rsidRDefault="00ED664E" w:rsidP="00ED664E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14:paraId="6AF4FEC7" w14:textId="77777777" w:rsidR="00ED664E" w:rsidRPr="007E1C19" w:rsidRDefault="00ED664E" w:rsidP="00ED664E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7E1C19">
        <w:rPr>
          <w:rFonts w:ascii="Arial" w:hAnsi="Arial" w:cs="Arial"/>
          <w:sz w:val="20"/>
          <w:szCs w:val="20"/>
          <w:vertAlign w:val="superscript"/>
        </w:rPr>
        <w:t>a</w:t>
      </w:r>
      <w:r w:rsidRPr="007E1C19">
        <w:rPr>
          <w:rFonts w:ascii="Arial" w:hAnsi="Arial" w:cs="Arial"/>
          <w:sz w:val="20"/>
          <w:szCs w:val="20"/>
        </w:rPr>
        <w:t xml:space="preserve"> ‘OLS mean change’ refers to the model-estimated change in the total CAT score in the subgroup of interest, with negative values indicating a decrease from enrollment to the follow-up visit. </w:t>
      </w:r>
    </w:p>
    <w:p w14:paraId="53DF0E3B" w14:textId="77777777" w:rsidR="00ED664E" w:rsidRPr="006C1B16" w:rsidRDefault="00ED664E" w:rsidP="00ED664E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7E1C19">
        <w:rPr>
          <w:rFonts w:ascii="Arial" w:hAnsi="Arial" w:cs="Arial"/>
          <w:sz w:val="20"/>
          <w:szCs w:val="20"/>
          <w:vertAlign w:val="superscript"/>
        </w:rPr>
        <w:t>b</w:t>
      </w:r>
      <w:r w:rsidRPr="007E1C19">
        <w:rPr>
          <w:rFonts w:ascii="Arial" w:hAnsi="Arial" w:cs="Arial"/>
          <w:sz w:val="20"/>
          <w:szCs w:val="20"/>
        </w:rPr>
        <w:t xml:space="preserve"> ‘OLS estimate’ refers to the difference in the OLS mean change between the two examined subgroups.</w:t>
      </w:r>
    </w:p>
    <w:p w14:paraId="2F31C3AD" w14:textId="77777777" w:rsidR="007C3418" w:rsidRDefault="007C3418" w:rsidP="00C1643B">
      <w:pPr>
        <w:spacing w:line="48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A7A6E">
        <w:rPr>
          <w:rFonts w:ascii="Arial" w:hAnsi="Arial" w:cs="Arial"/>
          <w:b/>
          <w:bCs/>
          <w:sz w:val="20"/>
          <w:szCs w:val="20"/>
          <w:highlight w:val="yellow"/>
        </w:rPr>
        <w:t xml:space="preserve">Note: </w:t>
      </w:r>
      <w:r w:rsidRPr="000A7A6E">
        <w:rPr>
          <w:rFonts w:ascii="Arial" w:hAnsi="Arial" w:cs="Arial"/>
          <w:bCs/>
          <w:sz w:val="20"/>
          <w:szCs w:val="20"/>
          <w:highlight w:val="yellow"/>
        </w:rPr>
        <w:t>Values in bold indicate statistically significant associations</w:t>
      </w:r>
    </w:p>
    <w:p w14:paraId="232CA050" w14:textId="6B5ED489" w:rsidR="00333D4D" w:rsidRDefault="00ED664E" w:rsidP="00C1643B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1E5A22">
        <w:rPr>
          <w:rFonts w:ascii="Arial" w:hAnsi="Arial" w:cs="Arial"/>
          <w:b/>
          <w:bCs/>
          <w:sz w:val="20"/>
          <w:szCs w:val="20"/>
        </w:rPr>
        <w:lastRenderedPageBreak/>
        <w:t>Abbreviations: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1B16">
        <w:rPr>
          <w:rFonts w:ascii="Arial" w:hAnsi="Arial" w:cs="Arial"/>
          <w:sz w:val="20"/>
          <w:szCs w:val="20"/>
        </w:rPr>
        <w:t>BMI, body-mass index; CAT, COPD assessment test; CI, confidence interval; COPD, chronic obstructive pulmonary disease; ICS, inhaled corticosteroids; LABA, long-acting β agonists; LAMA, long-acting muscarinic antagonists; OLS, ordinary least squares</w:t>
      </w:r>
    </w:p>
    <w:p w14:paraId="300C7F29" w14:textId="77777777" w:rsidR="00333D4D" w:rsidRDefault="00333D4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0C1A6F" w14:textId="40837605" w:rsidR="008700E0" w:rsidRDefault="00333D4D" w:rsidP="00C1643B">
      <w:pPr>
        <w:spacing w:line="480" w:lineRule="auto"/>
        <w:contextualSpacing/>
      </w:pPr>
      <w:r>
        <w:rPr>
          <w:noProof/>
        </w:rPr>
        <w:lastRenderedPageBreak/>
        <w:drawing>
          <wp:inline distT="0" distB="0" distL="0" distR="0" wp14:anchorId="2BED8D45" wp14:editId="16A12E8C">
            <wp:extent cx="5943600" cy="50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0E0" w:rsidSect="00C1643B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2882C" w14:textId="77777777" w:rsidR="004E69C0" w:rsidRDefault="004E69C0" w:rsidP="008700E0">
      <w:pPr>
        <w:spacing w:after="0" w:line="240" w:lineRule="auto"/>
      </w:pPr>
      <w:r>
        <w:separator/>
      </w:r>
    </w:p>
  </w:endnote>
  <w:endnote w:type="continuationSeparator" w:id="0">
    <w:p w14:paraId="10118596" w14:textId="77777777" w:rsidR="004E69C0" w:rsidRDefault="004E69C0" w:rsidP="0087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36510"/>
      <w:docPartObj>
        <w:docPartGallery w:val="Page Numbers (Bottom of Page)"/>
        <w:docPartUnique/>
      </w:docPartObj>
    </w:sdtPr>
    <w:sdtEndPr/>
    <w:sdtContent>
      <w:p w14:paraId="1BDEC2A8" w14:textId="77777777" w:rsidR="008700E0" w:rsidRDefault="008700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A6E" w:rsidRPr="000A7A6E">
          <w:rPr>
            <w:noProof/>
            <w:lang w:val="el-GR"/>
          </w:rPr>
          <w:t>1</w:t>
        </w:r>
        <w:r>
          <w:fldChar w:fldCharType="end"/>
        </w:r>
      </w:p>
    </w:sdtContent>
  </w:sdt>
  <w:p w14:paraId="4BDE6D9D" w14:textId="77777777" w:rsidR="008700E0" w:rsidRDefault="00870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779A" w14:textId="77777777" w:rsidR="004E69C0" w:rsidRDefault="004E69C0" w:rsidP="008700E0">
      <w:pPr>
        <w:spacing w:after="0" w:line="240" w:lineRule="auto"/>
      </w:pPr>
      <w:r>
        <w:separator/>
      </w:r>
    </w:p>
  </w:footnote>
  <w:footnote w:type="continuationSeparator" w:id="0">
    <w:p w14:paraId="0106BC00" w14:textId="77777777" w:rsidR="004E69C0" w:rsidRDefault="004E69C0" w:rsidP="0087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6E6C" w14:textId="64338B2B" w:rsidR="008700E0" w:rsidRPr="001C4FED" w:rsidRDefault="008700E0" w:rsidP="008700E0">
    <w:pPr>
      <w:pStyle w:val="Header"/>
      <w:rPr>
        <w:b/>
        <w:sz w:val="18"/>
      </w:rPr>
    </w:pPr>
    <w:r w:rsidRPr="001C4FED">
      <w:rPr>
        <w:b/>
        <w:sz w:val="18"/>
      </w:rPr>
      <w:t>ON-AIR</w:t>
    </w:r>
    <w:r w:rsidR="007C3418">
      <w:rPr>
        <w:b/>
        <w:sz w:val="18"/>
      </w:rPr>
      <w:t xml:space="preserve"> (239044)</w:t>
    </w:r>
    <w:r w:rsidRPr="001C4FED">
      <w:rPr>
        <w:b/>
        <w:sz w:val="18"/>
      </w:rPr>
      <w:t xml:space="preserve"> </w:t>
    </w:r>
    <w:r w:rsidR="00C1643B">
      <w:rPr>
        <w:b/>
        <w:sz w:val="18"/>
      </w:rPr>
      <w:t xml:space="preserve">supplementary </w:t>
    </w:r>
    <w:r w:rsidR="007C3418">
      <w:rPr>
        <w:b/>
        <w:sz w:val="18"/>
      </w:rPr>
      <w:t>Table 1</w:t>
    </w:r>
    <w:r w:rsidR="00333D4D">
      <w:rPr>
        <w:b/>
        <w:sz w:val="18"/>
      </w:rPr>
      <w:t xml:space="preserve"> </w:t>
    </w:r>
    <w:proofErr w:type="spellStart"/>
    <w:r w:rsidR="00333D4D">
      <w:rPr>
        <w:b/>
        <w:sz w:val="18"/>
      </w:rPr>
      <w:t>anf</w:t>
    </w:r>
    <w:proofErr w:type="spellEnd"/>
    <w:r w:rsidR="00333D4D">
      <w:rPr>
        <w:b/>
        <w:sz w:val="18"/>
      </w:rPr>
      <w:t xml:space="preserve"> supplementary Figure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4E"/>
    <w:rsid w:val="000A7A6E"/>
    <w:rsid w:val="00333D4D"/>
    <w:rsid w:val="00460945"/>
    <w:rsid w:val="004E69C0"/>
    <w:rsid w:val="00557FBE"/>
    <w:rsid w:val="005616E3"/>
    <w:rsid w:val="007C3418"/>
    <w:rsid w:val="008700E0"/>
    <w:rsid w:val="009200E9"/>
    <w:rsid w:val="00C1643B"/>
    <w:rsid w:val="00CA6655"/>
    <w:rsid w:val="00D234A7"/>
    <w:rsid w:val="00E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D07FF"/>
  <w15:docId w15:val="{D8674915-F69F-4C10-BE1D-E5F3DE9E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E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0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0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Papaconstantinou</dc:creator>
  <cp:lastModifiedBy>Mel Phimester</cp:lastModifiedBy>
  <cp:revision>2</cp:revision>
  <dcterms:created xsi:type="dcterms:W3CDTF">2020-02-28T00:07:00Z</dcterms:created>
  <dcterms:modified xsi:type="dcterms:W3CDTF">2020-02-28T00:07:00Z</dcterms:modified>
</cp:coreProperties>
</file>