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BD7D" w14:textId="77777777" w:rsidR="00453A1A" w:rsidRPr="004F0B21" w:rsidRDefault="00453A1A" w:rsidP="00453A1A">
      <w:pPr>
        <w:spacing w:line="360" w:lineRule="auto"/>
        <w:jc w:val="both"/>
        <w:rPr>
          <w:b/>
          <w:bCs/>
          <w:iCs/>
          <w:color w:val="000000" w:themeColor="text1"/>
          <w:sz w:val="22"/>
          <w:szCs w:val="22"/>
        </w:rPr>
      </w:pPr>
      <w:r w:rsidRPr="004F0B21">
        <w:rPr>
          <w:b/>
          <w:bCs/>
          <w:iCs/>
          <w:color w:val="000000" w:themeColor="text1"/>
          <w:sz w:val="22"/>
          <w:szCs w:val="22"/>
        </w:rPr>
        <w:t>Supplementary file</w:t>
      </w:r>
    </w:p>
    <w:p w14:paraId="0C6287B4" w14:textId="77777777" w:rsidR="00453A1A" w:rsidRPr="004F0B21" w:rsidRDefault="00453A1A" w:rsidP="00453A1A">
      <w:pPr>
        <w:spacing w:line="480" w:lineRule="auto"/>
        <w:rPr>
          <w:sz w:val="20"/>
          <w:szCs w:val="20"/>
        </w:rPr>
      </w:pPr>
    </w:p>
    <w:bookmarkStart w:id="0" w:name="_GoBack"/>
    <w:bookmarkEnd w:id="0"/>
    <w:p w14:paraId="02697132" w14:textId="52867C7C" w:rsidR="00453A1A" w:rsidRPr="004F0B21" w:rsidRDefault="00453A1A" w:rsidP="00453A1A">
      <w:pPr>
        <w:spacing w:line="480" w:lineRule="auto"/>
        <w:jc w:val="center"/>
        <w:rPr>
          <w:iCs/>
          <w:color w:val="000000" w:themeColor="text1"/>
          <w:sz w:val="20"/>
          <w:szCs w:val="20"/>
        </w:rPr>
      </w:pPr>
      <w:r w:rsidRPr="004F0B21">
        <w:rPr>
          <w:sz w:val="20"/>
          <w:szCs w:val="20"/>
        </w:rPr>
        <w:object w:dxaOrig="5606" w:dyaOrig="4471" w14:anchorId="64112F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25pt;height:222pt" o:ole="">
            <v:imagedata r:id="rId4" o:title=""/>
          </v:shape>
          <o:OLEObject Type="Embed" ProgID="Prism6.Document" ShapeID="_x0000_i1025" DrawAspect="Content" ObjectID="_1640159161" r:id="rId5"/>
        </w:object>
      </w:r>
    </w:p>
    <w:p w14:paraId="22283E91" w14:textId="77777777" w:rsidR="00453A1A" w:rsidRPr="004F0B21" w:rsidRDefault="00453A1A" w:rsidP="00453A1A">
      <w:pPr>
        <w:spacing w:line="480" w:lineRule="auto"/>
        <w:jc w:val="both"/>
        <w:rPr>
          <w:sz w:val="20"/>
          <w:szCs w:val="20"/>
          <w:lang w:val="en-US"/>
        </w:rPr>
      </w:pPr>
      <w:r w:rsidRPr="004F0B21">
        <w:rPr>
          <w:rFonts w:eastAsia="Times New Roman"/>
          <w:b/>
          <w:color w:val="000000"/>
          <w:sz w:val="20"/>
          <w:szCs w:val="20"/>
          <w:shd w:val="clear" w:color="auto" w:fill="FFFFFF"/>
          <w:lang w:val="en-US" w:eastAsia="ar-SA"/>
        </w:rPr>
        <w:t>Fig. S1.</w:t>
      </w:r>
      <w:r w:rsidRPr="004F0B21">
        <w:rPr>
          <w:rFonts w:eastAsia="Times New Roman"/>
          <w:color w:val="000000"/>
          <w:sz w:val="20"/>
          <w:szCs w:val="20"/>
          <w:shd w:val="clear" w:color="auto" w:fill="FFFFFF"/>
          <w:lang w:val="en-US" w:eastAsia="ar-SA"/>
        </w:rPr>
        <w:t xml:space="preserve"> </w:t>
      </w:r>
      <w:r w:rsidRPr="004F0B21">
        <w:rPr>
          <w:sz w:val="20"/>
          <w:szCs w:val="20"/>
          <w:lang w:val="en-US"/>
        </w:rPr>
        <w:t xml:space="preserve">The chondrocytes phenotype (RNA analysis) were tested by quantitative real-time PCR for gene expression regarding collagen type 1 (Col1) and type 2 (Col2) and Sox9 genes relatively compared with internal control GAPDH. The high expression of Sox9 is a great indicative for chondrocyte activity, what corroborated with higher expression for collagen type II (Col2) than collagen type I.   </w:t>
      </w:r>
    </w:p>
    <w:p w14:paraId="404228DE" w14:textId="69CFD98A" w:rsidR="00D8136F" w:rsidRPr="004F0B21" w:rsidRDefault="00D8136F"/>
    <w:p w14:paraId="65D97C4A" w14:textId="63821812" w:rsidR="0017227F" w:rsidRPr="004F0B21" w:rsidRDefault="0017227F"/>
    <w:p w14:paraId="53E48938" w14:textId="77777777" w:rsidR="0017227F" w:rsidRPr="004F0B21" w:rsidRDefault="0017227F" w:rsidP="0017227F">
      <w:pPr>
        <w:pStyle w:val="MainText"/>
        <w:rPr>
          <w:b/>
          <w:sz w:val="22"/>
          <w:szCs w:val="22"/>
          <w:lang w:val="pt-BR"/>
        </w:rPr>
      </w:pPr>
      <w:r w:rsidRPr="004F0B21">
        <w:rPr>
          <w:b/>
          <w:sz w:val="22"/>
          <w:szCs w:val="22"/>
          <w:lang w:val="pt-BR"/>
        </w:rPr>
        <w:t>References</w:t>
      </w:r>
    </w:p>
    <w:p w14:paraId="01710D3A" w14:textId="77777777" w:rsidR="0017227F" w:rsidRPr="004F0B21" w:rsidRDefault="0017227F" w:rsidP="0017227F">
      <w:pPr>
        <w:pStyle w:val="EndNoteBibliography"/>
        <w:spacing w:after="0"/>
        <w:ind w:left="720" w:hanging="720"/>
        <w:rPr>
          <w:sz w:val="22"/>
          <w:szCs w:val="22"/>
          <w:lang w:val="pt-BR"/>
        </w:rPr>
      </w:pPr>
      <w:r w:rsidRPr="004F0B21">
        <w:rPr>
          <w:sz w:val="22"/>
          <w:szCs w:val="22"/>
          <w:lang w:val="pt-BR"/>
        </w:rPr>
        <w:t>1. Shi S, Wang C, Action AJ, Eckert GJ, Trippel SB. Role of Sox9 in Growth Factor Regulation</w:t>
      </w:r>
    </w:p>
    <w:p w14:paraId="6915226A" w14:textId="77777777" w:rsidR="0017227F" w:rsidRPr="004F0B21" w:rsidRDefault="0017227F" w:rsidP="0017227F">
      <w:pPr>
        <w:pStyle w:val="EndNoteBibliography"/>
        <w:spacing w:after="0"/>
        <w:ind w:left="720" w:hanging="720"/>
        <w:rPr>
          <w:sz w:val="22"/>
          <w:szCs w:val="22"/>
        </w:rPr>
      </w:pPr>
      <w:r w:rsidRPr="004F0B21">
        <w:rPr>
          <w:sz w:val="22"/>
          <w:szCs w:val="22"/>
          <w:lang w:val="pt-BR"/>
        </w:rPr>
        <w:t xml:space="preserve">    of Articular Chondrocytes</w:t>
      </w:r>
      <w:r w:rsidRPr="004F0B21">
        <w:rPr>
          <w:sz w:val="22"/>
          <w:szCs w:val="22"/>
        </w:rPr>
        <w:t xml:space="preserve">. </w:t>
      </w:r>
      <w:r w:rsidRPr="004F0B21">
        <w:rPr>
          <w:i/>
          <w:sz w:val="22"/>
          <w:szCs w:val="22"/>
        </w:rPr>
        <w:t xml:space="preserve">J. Cell. Biochem. </w:t>
      </w:r>
      <w:r w:rsidRPr="004F0B21">
        <w:rPr>
          <w:sz w:val="22"/>
          <w:szCs w:val="22"/>
        </w:rPr>
        <w:t>2015;116:1391-1400.</w:t>
      </w:r>
    </w:p>
    <w:p w14:paraId="6AD62D20" w14:textId="77777777" w:rsidR="0017227F" w:rsidRPr="004F0B21" w:rsidRDefault="0017227F" w:rsidP="0017227F">
      <w:pPr>
        <w:pStyle w:val="EndNoteBibliography"/>
        <w:spacing w:after="0"/>
        <w:ind w:left="720" w:hanging="720"/>
        <w:rPr>
          <w:sz w:val="22"/>
          <w:szCs w:val="22"/>
        </w:rPr>
      </w:pPr>
      <w:r w:rsidRPr="004F0B21">
        <w:rPr>
          <w:sz w:val="22"/>
          <w:szCs w:val="22"/>
        </w:rPr>
        <w:t xml:space="preserve">    </w:t>
      </w:r>
      <w:hyperlink r:id="rId6" w:history="1">
        <w:r w:rsidRPr="004F0B21">
          <w:rPr>
            <w:rStyle w:val="Hyperlink"/>
            <w:color w:val="4472C4" w:themeColor="accent1"/>
            <w:sz w:val="22"/>
            <w:szCs w:val="22"/>
            <w:shd w:val="clear" w:color="auto" w:fill="FFFFFF"/>
          </w:rPr>
          <w:t>https://doi.org/10.1002/jcb.25099</w:t>
        </w:r>
      </w:hyperlink>
      <w:r w:rsidRPr="004F0B21">
        <w:rPr>
          <w:sz w:val="22"/>
          <w:szCs w:val="22"/>
        </w:rPr>
        <w:t>.</w:t>
      </w:r>
    </w:p>
    <w:p w14:paraId="358E0A27" w14:textId="77777777" w:rsidR="0017227F" w:rsidRPr="004F0B21" w:rsidRDefault="0017227F" w:rsidP="0017227F">
      <w:pPr>
        <w:pStyle w:val="EndNoteBibliography"/>
        <w:spacing w:after="0"/>
        <w:ind w:left="720" w:hanging="720"/>
        <w:rPr>
          <w:sz w:val="22"/>
          <w:szCs w:val="22"/>
          <w:lang w:val="pt-BR"/>
        </w:rPr>
      </w:pPr>
      <w:r w:rsidRPr="004F0B21">
        <w:rPr>
          <w:sz w:val="22"/>
          <w:szCs w:val="22"/>
          <w:lang w:val="pt-BR"/>
        </w:rPr>
        <w:t>2. Costa E, González-García C, Gómez Ribelles JL, Salmerón-Sánchez M.  Maintenance of</w:t>
      </w:r>
    </w:p>
    <w:p w14:paraId="252858CE" w14:textId="77777777" w:rsidR="0017227F" w:rsidRPr="004F0B21" w:rsidRDefault="0017227F" w:rsidP="0017227F">
      <w:pPr>
        <w:pStyle w:val="EndNoteBibliography"/>
        <w:spacing w:after="0"/>
        <w:ind w:left="720" w:hanging="720"/>
        <w:rPr>
          <w:i/>
          <w:sz w:val="22"/>
          <w:szCs w:val="22"/>
        </w:rPr>
      </w:pPr>
      <w:r w:rsidRPr="004F0B21">
        <w:rPr>
          <w:sz w:val="22"/>
          <w:szCs w:val="22"/>
          <w:lang w:val="pt-BR"/>
        </w:rPr>
        <w:t xml:space="preserve">    chondrocyte phenotype during expansion on PLLA microtopographies</w:t>
      </w:r>
      <w:r w:rsidRPr="004F0B21">
        <w:rPr>
          <w:sz w:val="22"/>
          <w:szCs w:val="22"/>
        </w:rPr>
        <w:t xml:space="preserve">. </w:t>
      </w:r>
      <w:r w:rsidRPr="004F0B21">
        <w:rPr>
          <w:i/>
          <w:sz w:val="22"/>
          <w:szCs w:val="22"/>
        </w:rPr>
        <w:t>J. Tissue Eng.</w:t>
      </w:r>
    </w:p>
    <w:p w14:paraId="17E39A20" w14:textId="77777777" w:rsidR="0017227F" w:rsidRPr="00FD2A79" w:rsidRDefault="0017227F" w:rsidP="0017227F">
      <w:pPr>
        <w:pStyle w:val="EndNoteBibliography"/>
        <w:spacing w:after="0"/>
        <w:ind w:left="720" w:hanging="720"/>
        <w:rPr>
          <w:sz w:val="22"/>
          <w:szCs w:val="22"/>
        </w:rPr>
      </w:pPr>
      <w:r w:rsidRPr="004F0B21">
        <w:rPr>
          <w:i/>
          <w:sz w:val="22"/>
          <w:szCs w:val="22"/>
        </w:rPr>
        <w:t xml:space="preserve">    </w:t>
      </w:r>
      <w:r w:rsidRPr="004F0B21">
        <w:rPr>
          <w:sz w:val="22"/>
          <w:szCs w:val="22"/>
        </w:rPr>
        <w:t>2018;9:</w:t>
      </w:r>
      <w:r w:rsidRPr="004F0B21">
        <w:rPr>
          <w:color w:val="333333"/>
          <w:sz w:val="22"/>
          <w:szCs w:val="22"/>
          <w:shd w:val="clear" w:color="auto" w:fill="FFFFFF"/>
        </w:rPr>
        <w:t>2041731418789829</w:t>
      </w:r>
      <w:r w:rsidRPr="004F0B21">
        <w:rPr>
          <w:sz w:val="22"/>
          <w:szCs w:val="22"/>
        </w:rPr>
        <w:t xml:space="preserve">. </w:t>
      </w:r>
      <w:r w:rsidRPr="004F0B21">
        <w:rPr>
          <w:color w:val="4472C4" w:themeColor="accent1"/>
          <w:sz w:val="22"/>
          <w:szCs w:val="22"/>
          <w:u w:val="single"/>
          <w:shd w:val="clear" w:color="auto" w:fill="FFFFFF"/>
        </w:rPr>
        <w:t>https://doi.org/</w:t>
      </w:r>
      <w:hyperlink r:id="rId7" w:tgtFrame="pmc_ext" w:history="1">
        <w:r w:rsidRPr="004F0B21">
          <w:rPr>
            <w:rStyle w:val="Hyperlink"/>
            <w:color w:val="4472C4" w:themeColor="accent1"/>
            <w:sz w:val="22"/>
            <w:szCs w:val="22"/>
            <w:shd w:val="clear" w:color="auto" w:fill="FFFFFF"/>
          </w:rPr>
          <w:t>10.1177/2041731418789829</w:t>
        </w:r>
      </w:hyperlink>
      <w:r w:rsidRPr="004F0B21">
        <w:rPr>
          <w:sz w:val="22"/>
          <w:szCs w:val="22"/>
        </w:rPr>
        <w:t>.</w:t>
      </w:r>
    </w:p>
    <w:p w14:paraId="10E247AE" w14:textId="77777777" w:rsidR="0017227F" w:rsidRDefault="0017227F"/>
    <w:sectPr w:rsidR="0017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6F"/>
    <w:rsid w:val="0017227F"/>
    <w:rsid w:val="00453A1A"/>
    <w:rsid w:val="004F0B21"/>
    <w:rsid w:val="00CC6ACB"/>
    <w:rsid w:val="00D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0CECB9"/>
  <w15:chartTrackingRefBased/>
  <w15:docId w15:val="{2D9DDD4B-F370-4425-A99D-A1FC7A24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A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ext">
    <w:name w:val="Main Text"/>
    <w:basedOn w:val="Normal"/>
    <w:link w:val="MainTextChar"/>
    <w:rsid w:val="0017227F"/>
    <w:pPr>
      <w:spacing w:line="480" w:lineRule="auto"/>
    </w:pPr>
    <w:rPr>
      <w:lang w:val="en-US"/>
    </w:rPr>
  </w:style>
  <w:style w:type="character" w:customStyle="1" w:styleId="MainTextChar">
    <w:name w:val="Main Text Char"/>
    <w:link w:val="MainText"/>
    <w:rsid w:val="0017227F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Hyperlink">
    <w:name w:val="Hyperlink"/>
    <w:uiPriority w:val="99"/>
    <w:unhideWhenUsed/>
    <w:rsid w:val="0017227F"/>
    <w:rPr>
      <w:color w:val="0563C1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17227F"/>
    <w:pPr>
      <w:spacing w:after="200"/>
      <w:jc w:val="both"/>
    </w:pPr>
    <w:rPr>
      <w:rFonts w:eastAsiaTheme="minorEastAsia"/>
      <w:noProof/>
      <w:szCs w:val="21"/>
      <w:lang w:val="en-US" w:eastAsia="pt-BR"/>
    </w:rPr>
  </w:style>
  <w:style w:type="character" w:customStyle="1" w:styleId="EndNoteBibliographyChar">
    <w:name w:val="EndNote Bibliography Char"/>
    <w:basedOn w:val="DefaultParagraphFont"/>
    <w:link w:val="EndNoteBibliography"/>
    <w:rsid w:val="0017227F"/>
    <w:rPr>
      <w:rFonts w:ascii="Times New Roman" w:eastAsiaTheme="minorEastAsia" w:hAnsi="Times New Roman" w:cs="Times New Roman"/>
      <w:noProof/>
      <w:sz w:val="24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x.doi.org/10.1177%2F20417314187898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jcb.25099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Afewerki</dc:creator>
  <cp:keywords/>
  <dc:description/>
  <cp:lastModifiedBy>Patel, Sonam Kajal</cp:lastModifiedBy>
  <cp:revision>5</cp:revision>
  <dcterms:created xsi:type="dcterms:W3CDTF">2020-01-09T06:19:00Z</dcterms:created>
  <dcterms:modified xsi:type="dcterms:W3CDTF">2020-01-09T21:59:00Z</dcterms:modified>
</cp:coreProperties>
</file>