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F06F6" w14:textId="77777777" w:rsidR="008054BD" w:rsidRPr="002B5C7B" w:rsidRDefault="008054BD" w:rsidP="008054BD">
      <w:pPr>
        <w:pStyle w:val="Heading2"/>
        <w:rPr>
          <w:rFonts w:ascii="Arial" w:hAnsi="Arial" w:cs="Arial"/>
          <w:sz w:val="32"/>
          <w:szCs w:val="32"/>
        </w:rPr>
      </w:pPr>
      <w:r w:rsidRPr="002B5C7B">
        <w:rPr>
          <w:rFonts w:ascii="Arial" w:hAnsi="Arial" w:cs="Arial"/>
          <w:sz w:val="32"/>
          <w:szCs w:val="32"/>
        </w:rPr>
        <w:t>Supplementary information</w:t>
      </w:r>
      <w:bookmarkStart w:id="0" w:name="_GoBack"/>
      <w:bookmarkEnd w:id="0"/>
    </w:p>
    <w:p w14:paraId="1CFAF2EC" w14:textId="77777777" w:rsidR="008054BD" w:rsidRPr="002B5C7B" w:rsidRDefault="008054BD" w:rsidP="008054BD">
      <w:pPr>
        <w:rPr>
          <w:rFonts w:ascii="Arial" w:hAnsi="Arial" w:cs="Arial"/>
          <w:b/>
          <w:i/>
          <w:sz w:val="28"/>
          <w:szCs w:val="28"/>
        </w:rPr>
      </w:pPr>
      <w:r w:rsidRPr="002B5C7B">
        <w:rPr>
          <w:rFonts w:ascii="Arial" w:hAnsi="Arial" w:cs="Arial"/>
          <w:b/>
          <w:i/>
          <w:sz w:val="28"/>
          <w:szCs w:val="28"/>
        </w:rPr>
        <w:t>Asthma exacerbations and related costs 12 months before and 12 months after treatment initiation with mepolizumab</w:t>
      </w:r>
    </w:p>
    <w:p w14:paraId="6245FC42" w14:textId="77777777" w:rsidR="008054BD" w:rsidRPr="0062104F" w:rsidRDefault="008054BD" w:rsidP="008054BD">
      <w:pPr>
        <w:rPr>
          <w:rFonts w:ascii="Arial" w:hAnsi="Arial" w:cs="Arial"/>
          <w:sz w:val="24"/>
        </w:rPr>
      </w:pPr>
      <w:r w:rsidRPr="0062104F">
        <w:rPr>
          <w:rFonts w:ascii="Arial" w:hAnsi="Arial" w:cs="Arial"/>
          <w:sz w:val="24"/>
        </w:rPr>
        <w:t>Llanos</w:t>
      </w:r>
      <w:r w:rsidRPr="003E72D0">
        <w:rPr>
          <w:rFonts w:ascii="Arial" w:hAnsi="Arial" w:cs="Arial"/>
          <w:sz w:val="24"/>
        </w:rPr>
        <w:t xml:space="preserve"> </w:t>
      </w:r>
      <w:r w:rsidRPr="003E72D0">
        <w:rPr>
          <w:rFonts w:ascii="Arial" w:hAnsi="Arial" w:cs="Arial"/>
          <w:i/>
          <w:sz w:val="24"/>
        </w:rPr>
        <w:t>et al.</w:t>
      </w:r>
    </w:p>
    <w:p w14:paraId="31EB567B" w14:textId="77777777" w:rsidR="008054BD" w:rsidRPr="0062104F" w:rsidRDefault="008054BD" w:rsidP="008054BD">
      <w:pPr>
        <w:rPr>
          <w:rFonts w:ascii="Arial" w:hAnsi="Arial" w:cs="Arial"/>
          <w:sz w:val="24"/>
        </w:rPr>
      </w:pPr>
      <w:r w:rsidRPr="0062104F">
        <w:rPr>
          <w:rFonts w:ascii="Arial" w:hAnsi="Arial" w:cs="Arial"/>
          <w:b/>
          <w:sz w:val="24"/>
        </w:rPr>
        <w:t xml:space="preserve">Corresponding author: </w:t>
      </w:r>
      <w:r w:rsidRPr="0062104F">
        <w:rPr>
          <w:rFonts w:ascii="Arial" w:hAnsi="Arial" w:cs="Arial"/>
          <w:sz w:val="24"/>
        </w:rPr>
        <w:t xml:space="preserve">Beth Hahn, 5 Moore Drive, RTP, NC 27709-3398, USA. Tel: 1-919-274-0660. Email: </w:t>
      </w:r>
      <w:r w:rsidRPr="002A1F1B">
        <w:rPr>
          <w:rStyle w:val="Hyperlink"/>
          <w:rFonts w:ascii="Arial" w:hAnsi="Arial" w:cs="Arial"/>
          <w:sz w:val="24"/>
        </w:rPr>
        <w:t>Beth.A.Hahn@gsk.com</w:t>
      </w:r>
      <w:r w:rsidRPr="0062104F">
        <w:rPr>
          <w:rFonts w:ascii="Arial" w:hAnsi="Arial" w:cs="Arial"/>
          <w:sz w:val="24"/>
        </w:rPr>
        <w:t xml:space="preserve"> </w:t>
      </w:r>
    </w:p>
    <w:p w14:paraId="2C6172BE" w14:textId="77777777" w:rsidR="008054BD" w:rsidRPr="003E72D0" w:rsidRDefault="008054BD" w:rsidP="008054BD">
      <w:pPr>
        <w:rPr>
          <w:rFonts w:ascii="Arial" w:hAnsi="Arial" w:cs="Arial"/>
          <w:b/>
          <w:sz w:val="24"/>
        </w:rPr>
      </w:pPr>
      <w:r w:rsidRPr="003E72D0">
        <w:rPr>
          <w:rFonts w:ascii="Arial" w:hAnsi="Arial" w:cs="Arial"/>
          <w:b/>
          <w:sz w:val="24"/>
        </w:rPr>
        <w:t>Contents</w:t>
      </w:r>
    </w:p>
    <w:p w14:paraId="317BB67F" w14:textId="77777777" w:rsidR="008054BD" w:rsidRPr="0062104F" w:rsidRDefault="008054BD" w:rsidP="008054BD">
      <w:pPr>
        <w:ind w:left="720"/>
        <w:rPr>
          <w:rFonts w:ascii="Arial" w:hAnsi="Arial" w:cs="Arial"/>
          <w:sz w:val="24"/>
        </w:rPr>
      </w:pPr>
      <w:r w:rsidRPr="0062104F">
        <w:rPr>
          <w:rFonts w:ascii="Arial" w:hAnsi="Arial" w:cs="Arial"/>
          <w:sz w:val="24"/>
        </w:rPr>
        <w:t>Supplementary Section 1: Methods for the initial pilot study</w:t>
      </w:r>
    </w:p>
    <w:p w14:paraId="7214E6F2" w14:textId="77777777" w:rsidR="008054BD" w:rsidRPr="0062104F" w:rsidRDefault="008054BD" w:rsidP="008054BD">
      <w:pPr>
        <w:ind w:left="720"/>
        <w:rPr>
          <w:rFonts w:ascii="Arial" w:hAnsi="Arial" w:cs="Arial"/>
          <w:sz w:val="24"/>
        </w:rPr>
      </w:pPr>
      <w:r w:rsidRPr="0062104F">
        <w:rPr>
          <w:rFonts w:ascii="Arial" w:hAnsi="Arial" w:cs="Arial"/>
          <w:sz w:val="24"/>
        </w:rPr>
        <w:t>Supplementary Figure 1: Total number of asthma exacerbations by calendar month, during the baseline and follow-up periods.</w:t>
      </w:r>
    </w:p>
    <w:p w14:paraId="26ECD6B0" w14:textId="77777777" w:rsidR="008054BD" w:rsidRPr="0062104F" w:rsidRDefault="008054BD" w:rsidP="008054BD">
      <w:pPr>
        <w:ind w:left="720"/>
        <w:rPr>
          <w:rFonts w:ascii="Arial" w:hAnsi="Arial" w:cs="Arial"/>
          <w:sz w:val="24"/>
        </w:rPr>
      </w:pPr>
      <w:proofErr w:type="gramStart"/>
      <w:r w:rsidRPr="0062104F">
        <w:rPr>
          <w:rFonts w:ascii="Arial" w:hAnsi="Arial" w:cs="Arial"/>
          <w:sz w:val="24"/>
        </w:rPr>
        <w:t>Supplementary  Figure</w:t>
      </w:r>
      <w:proofErr w:type="gramEnd"/>
      <w:r w:rsidRPr="0062104F">
        <w:rPr>
          <w:rFonts w:ascii="Arial" w:hAnsi="Arial" w:cs="Arial"/>
          <w:sz w:val="24"/>
        </w:rPr>
        <w:t xml:space="preserve"> 2: Mean rate </w:t>
      </w:r>
      <w:r w:rsidRPr="0062104F">
        <w:rPr>
          <w:rFonts w:ascii="Arial" w:hAnsi="Arial" w:cs="Arial"/>
        </w:rPr>
        <w:t>± SD</w:t>
      </w:r>
      <w:r w:rsidRPr="0062104F">
        <w:rPr>
          <w:rFonts w:ascii="Arial" w:hAnsi="Arial" w:cs="Arial"/>
          <w:sz w:val="24"/>
        </w:rPr>
        <w:t xml:space="preserve"> of asthma exacerbations and exacerbations requiring hospitalization during the baseline and follow-up periods in the initial pilot study. </w:t>
      </w:r>
    </w:p>
    <w:p w14:paraId="66F4F2AE" w14:textId="77777777" w:rsidR="008054BD" w:rsidRPr="0062104F" w:rsidRDefault="008054BD" w:rsidP="008054BD">
      <w:pPr>
        <w:ind w:left="720"/>
        <w:rPr>
          <w:rFonts w:ascii="Arial" w:hAnsi="Arial" w:cs="Arial"/>
          <w:sz w:val="24"/>
        </w:rPr>
      </w:pPr>
      <w:r w:rsidRPr="0062104F">
        <w:rPr>
          <w:rFonts w:ascii="Arial" w:hAnsi="Arial" w:cs="Arial"/>
          <w:sz w:val="24"/>
        </w:rPr>
        <w:t>Supplementary Figure 3: Mean costs related to asthma exacerbations during the baseline and follow-up periods in the initial pilot study.</w:t>
      </w:r>
    </w:p>
    <w:p w14:paraId="5E0EE7C2" w14:textId="77777777" w:rsidR="008054BD" w:rsidRPr="0062104F" w:rsidRDefault="008054BD" w:rsidP="008054BD">
      <w:pPr>
        <w:spacing w:after="0"/>
        <w:rPr>
          <w:rFonts w:ascii="Arial" w:hAnsi="Arial" w:cs="Arial"/>
          <w:b/>
          <w:bCs/>
        </w:rPr>
      </w:pPr>
      <w:r w:rsidRPr="0062104F">
        <w:rPr>
          <w:rFonts w:ascii="Arial" w:hAnsi="Arial" w:cs="Arial"/>
          <w:b/>
        </w:rPr>
        <w:br w:type="page"/>
      </w:r>
    </w:p>
    <w:p w14:paraId="7CDDE28D" w14:textId="77777777" w:rsidR="008054BD" w:rsidRPr="0062104F" w:rsidRDefault="008054BD" w:rsidP="008054BD">
      <w:pPr>
        <w:pStyle w:val="Heading3"/>
        <w:rPr>
          <w:rFonts w:ascii="Arial" w:hAnsi="Arial" w:cs="Arial"/>
        </w:rPr>
      </w:pPr>
      <w:r w:rsidRPr="0062104F">
        <w:rPr>
          <w:rFonts w:ascii="Arial" w:hAnsi="Arial" w:cs="Arial"/>
          <w:b/>
        </w:rPr>
        <w:lastRenderedPageBreak/>
        <w:t>Supplementary Section 1</w:t>
      </w:r>
      <w:r w:rsidRPr="0062104F">
        <w:rPr>
          <w:rFonts w:ascii="Arial" w:hAnsi="Arial" w:cs="Arial"/>
        </w:rPr>
        <w:t>. Methods for the initial pilot study.</w:t>
      </w:r>
    </w:p>
    <w:p w14:paraId="67493CB2" w14:textId="77777777" w:rsidR="008054BD" w:rsidRPr="0062104F" w:rsidRDefault="008054BD" w:rsidP="008054BD">
      <w:pPr>
        <w:pStyle w:val="BodyText"/>
        <w:rPr>
          <w:rFonts w:ascii="Arial" w:hAnsi="Arial" w:cs="Arial"/>
        </w:rPr>
      </w:pPr>
      <w:r w:rsidRPr="0062104F">
        <w:rPr>
          <w:rFonts w:ascii="Arial" w:hAnsi="Arial" w:cs="Arial"/>
        </w:rPr>
        <w:t xml:space="preserve">The initial pilot study (209019; HO-18-19168) retrospectively assessed asthma exacerbations and associated costs in patient data extracted from the IBM Watson Health </w:t>
      </w:r>
      <w:proofErr w:type="spellStart"/>
      <w:r w:rsidRPr="0062104F">
        <w:rPr>
          <w:rFonts w:ascii="Arial" w:hAnsi="Arial" w:cs="Arial"/>
        </w:rPr>
        <w:t>MarketScan</w:t>
      </w:r>
      <w:proofErr w:type="spellEnd"/>
      <w:r w:rsidRPr="0062104F">
        <w:rPr>
          <w:rFonts w:ascii="Arial" w:hAnsi="Arial" w:cs="Arial"/>
        </w:rPr>
        <w:t>® Commercial Claims Database. The patient identification period was November 1, 2015 to September 30, 2016. Data from 138 patients were analyzed; the rate of asthma exacerbations (events/patient/year) and the mean asthma exacerbation-related costs were measured during the 12</w:t>
      </w:r>
      <w:r w:rsidRPr="0062104F">
        <w:rPr>
          <w:rFonts w:ascii="Arial" w:hAnsi="Arial" w:cs="Arial"/>
        </w:rPr>
        <w:noBreakHyphen/>
        <w:t xml:space="preserve">month baseline and follow-up periods. Exacerbations and exacerbation-related costs were defined and assessed as per the main study (209017; HO-18-19166), except </w:t>
      </w:r>
      <w:r w:rsidRPr="0062104F">
        <w:rPr>
          <w:rFonts w:ascii="Arial" w:hAnsi="Arial" w:cs="Arial"/>
          <w:szCs w:val="22"/>
        </w:rPr>
        <w:t>that all costs were adjusted for inflation using the Consumer Price Index (CPI) and standardized to 2016 US dollars.</w:t>
      </w:r>
      <w:r w:rsidRPr="0062104F">
        <w:rPr>
          <w:rFonts w:ascii="Arial" w:hAnsi="Arial" w:cs="Arial"/>
          <w:b/>
        </w:rPr>
        <w:br w:type="page"/>
      </w:r>
    </w:p>
    <w:p w14:paraId="7FAA7411" w14:textId="77777777" w:rsidR="008054BD" w:rsidRPr="0062104F" w:rsidRDefault="008054BD" w:rsidP="008054BD">
      <w:pPr>
        <w:pStyle w:val="Heading3"/>
        <w:rPr>
          <w:rFonts w:ascii="Arial" w:hAnsi="Arial" w:cs="Arial"/>
          <w:vertAlign w:val="superscript"/>
        </w:rPr>
      </w:pPr>
      <w:r w:rsidRPr="0062104F">
        <w:rPr>
          <w:rFonts w:ascii="Arial" w:hAnsi="Arial" w:cs="Arial"/>
          <w:b/>
        </w:rPr>
        <w:lastRenderedPageBreak/>
        <w:t>Supplementary Figure 1</w:t>
      </w:r>
      <w:r w:rsidRPr="0062104F">
        <w:rPr>
          <w:rFonts w:ascii="Arial" w:hAnsi="Arial" w:cs="Arial"/>
        </w:rPr>
        <w:t xml:space="preserve">. Total number of asthma exacerbations by calendar month, during the baseline and follow-up </w:t>
      </w:r>
      <w:proofErr w:type="spellStart"/>
      <w:r w:rsidRPr="0062104F">
        <w:rPr>
          <w:rFonts w:ascii="Arial" w:hAnsi="Arial" w:cs="Arial"/>
        </w:rPr>
        <w:t>periods</w:t>
      </w:r>
      <w:r w:rsidRPr="0062104F">
        <w:rPr>
          <w:rFonts w:ascii="Arial" w:hAnsi="Arial" w:cs="Arial"/>
          <w:vertAlign w:val="superscript"/>
        </w:rPr>
        <w:t>a</w:t>
      </w:r>
      <w:proofErr w:type="spellEnd"/>
    </w:p>
    <w:p w14:paraId="4933B699" w14:textId="77777777" w:rsidR="008054BD" w:rsidRPr="0062104F" w:rsidRDefault="008054BD" w:rsidP="008054BD">
      <w:pPr>
        <w:pStyle w:val="BodyText"/>
        <w:rPr>
          <w:rFonts w:ascii="Arial" w:hAnsi="Arial" w:cs="Arial"/>
        </w:rPr>
      </w:pPr>
      <w:r w:rsidRPr="0062104F">
        <w:rPr>
          <w:rFonts w:ascii="Arial" w:hAnsi="Arial" w:cs="Arial"/>
          <w:noProof/>
        </w:rPr>
        <w:drawing>
          <wp:inline distT="0" distB="0" distL="0" distR="0" wp14:anchorId="7B9F6C19" wp14:editId="2E02F238">
            <wp:extent cx="5278755" cy="3095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278755" cy="3095625"/>
                    </a:xfrm>
                    <a:prstGeom prst="rect">
                      <a:avLst/>
                    </a:prstGeom>
                  </pic:spPr>
                </pic:pic>
              </a:graphicData>
            </a:graphic>
          </wp:inline>
        </w:drawing>
      </w:r>
    </w:p>
    <w:p w14:paraId="5FF0E053" w14:textId="77777777" w:rsidR="008054BD" w:rsidRPr="0062104F" w:rsidRDefault="008054BD" w:rsidP="008054BD">
      <w:pPr>
        <w:pStyle w:val="BodyText"/>
        <w:rPr>
          <w:rFonts w:ascii="Arial" w:hAnsi="Arial" w:cs="Arial"/>
        </w:rPr>
      </w:pPr>
      <w:proofErr w:type="spellStart"/>
      <w:r w:rsidRPr="003E72D0">
        <w:rPr>
          <w:rFonts w:ascii="Arial" w:hAnsi="Arial" w:cs="Arial"/>
          <w:szCs w:val="22"/>
          <w:vertAlign w:val="superscript"/>
        </w:rPr>
        <w:t>a</w:t>
      </w:r>
      <w:r w:rsidRPr="003E72D0">
        <w:rPr>
          <w:rFonts w:ascii="Arial" w:hAnsi="Arial" w:cs="Arial"/>
          <w:szCs w:val="22"/>
        </w:rPr>
        <w:t>Baseline</w:t>
      </w:r>
      <w:proofErr w:type="spellEnd"/>
      <w:r w:rsidRPr="003E72D0">
        <w:rPr>
          <w:rFonts w:ascii="Arial" w:hAnsi="Arial" w:cs="Arial"/>
          <w:szCs w:val="22"/>
        </w:rPr>
        <w:t xml:space="preserve"> period defined as the 12 months before first me</w:t>
      </w:r>
      <w:r w:rsidRPr="0062104F">
        <w:rPr>
          <w:rFonts w:ascii="Arial" w:hAnsi="Arial" w:cs="Arial"/>
          <w:szCs w:val="22"/>
        </w:rPr>
        <w:t>polizumab treatment; follow-up period defined as the 12 months following first mepolizumab treatment.</w:t>
      </w:r>
    </w:p>
    <w:p w14:paraId="36DABAB4" w14:textId="77777777" w:rsidR="008054BD" w:rsidRPr="0062104F" w:rsidRDefault="008054BD" w:rsidP="008054BD">
      <w:pPr>
        <w:rPr>
          <w:rFonts w:ascii="Arial" w:hAnsi="Arial" w:cs="Arial"/>
        </w:rPr>
      </w:pPr>
    </w:p>
    <w:p w14:paraId="00394A1C" w14:textId="77777777" w:rsidR="008054BD" w:rsidRPr="0062104F" w:rsidRDefault="008054BD" w:rsidP="008054BD">
      <w:pPr>
        <w:spacing w:after="0"/>
        <w:rPr>
          <w:rFonts w:ascii="Arial" w:hAnsi="Arial" w:cs="Arial"/>
          <w:b/>
          <w:bCs/>
        </w:rPr>
      </w:pPr>
      <w:r w:rsidRPr="0062104F">
        <w:rPr>
          <w:rFonts w:ascii="Arial" w:hAnsi="Arial" w:cs="Arial"/>
          <w:b/>
        </w:rPr>
        <w:br w:type="page"/>
      </w:r>
    </w:p>
    <w:p w14:paraId="30DCC8EC" w14:textId="77777777" w:rsidR="008054BD" w:rsidRPr="0062104F" w:rsidRDefault="008054BD" w:rsidP="008054BD">
      <w:pPr>
        <w:pStyle w:val="Heading3"/>
        <w:rPr>
          <w:rFonts w:ascii="Arial" w:hAnsi="Arial" w:cs="Arial"/>
          <w:vertAlign w:val="superscript"/>
        </w:rPr>
      </w:pPr>
      <w:r w:rsidRPr="0062104F">
        <w:rPr>
          <w:rFonts w:ascii="Arial" w:hAnsi="Arial" w:cs="Arial"/>
          <w:b/>
        </w:rPr>
        <w:lastRenderedPageBreak/>
        <w:t>Supplementary Figure 2</w:t>
      </w:r>
      <w:r w:rsidRPr="0062104F">
        <w:rPr>
          <w:rFonts w:ascii="Arial" w:hAnsi="Arial" w:cs="Arial"/>
        </w:rPr>
        <w:t xml:space="preserve">. Mean rate ± SD of asthma exacerbations and exacerbations requiring hospitalization during the baseline and follow-up periods in the pilot </w:t>
      </w:r>
      <w:proofErr w:type="spellStart"/>
      <w:r w:rsidRPr="0062104F">
        <w:rPr>
          <w:rFonts w:ascii="Arial" w:hAnsi="Arial" w:cs="Arial"/>
        </w:rPr>
        <w:t>study</w:t>
      </w:r>
      <w:r w:rsidRPr="0062104F">
        <w:rPr>
          <w:rFonts w:ascii="Arial" w:hAnsi="Arial" w:cs="Arial"/>
          <w:vertAlign w:val="superscript"/>
        </w:rPr>
        <w:t>a</w:t>
      </w:r>
      <w:proofErr w:type="spellEnd"/>
    </w:p>
    <w:p w14:paraId="2114DAC8" w14:textId="77777777" w:rsidR="008054BD" w:rsidRPr="0062104F" w:rsidRDefault="008054BD" w:rsidP="008054BD">
      <w:pPr>
        <w:pStyle w:val="BodyText"/>
        <w:rPr>
          <w:rFonts w:ascii="Arial" w:hAnsi="Arial" w:cs="Arial"/>
        </w:rPr>
      </w:pPr>
      <w:r w:rsidRPr="0062104F">
        <w:rPr>
          <w:rFonts w:ascii="Arial" w:hAnsi="Arial" w:cs="Arial"/>
          <w:noProof/>
        </w:rPr>
        <w:drawing>
          <wp:inline distT="0" distB="0" distL="0" distR="0" wp14:anchorId="421320FD" wp14:editId="72E57129">
            <wp:extent cx="2059388" cy="286575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67407" cy="2876911"/>
                    </a:xfrm>
                    <a:prstGeom prst="rect">
                      <a:avLst/>
                    </a:prstGeom>
                  </pic:spPr>
                </pic:pic>
              </a:graphicData>
            </a:graphic>
          </wp:inline>
        </w:drawing>
      </w:r>
    </w:p>
    <w:p w14:paraId="3819F2BD" w14:textId="77777777" w:rsidR="008054BD" w:rsidRPr="003E72D0" w:rsidRDefault="008054BD" w:rsidP="008054BD">
      <w:pPr>
        <w:pStyle w:val="BodyText"/>
        <w:rPr>
          <w:rFonts w:ascii="Arial" w:hAnsi="Arial" w:cs="Arial"/>
          <w:szCs w:val="22"/>
        </w:rPr>
      </w:pPr>
      <w:proofErr w:type="spellStart"/>
      <w:r w:rsidRPr="003E72D0">
        <w:rPr>
          <w:rFonts w:ascii="Arial" w:hAnsi="Arial" w:cs="Arial"/>
          <w:szCs w:val="22"/>
          <w:vertAlign w:val="superscript"/>
        </w:rPr>
        <w:t>a</w:t>
      </w:r>
      <w:r w:rsidRPr="003E72D0">
        <w:rPr>
          <w:rFonts w:ascii="Arial" w:hAnsi="Arial" w:cs="Arial"/>
          <w:szCs w:val="22"/>
        </w:rPr>
        <w:t>Baseline</w:t>
      </w:r>
      <w:proofErr w:type="spellEnd"/>
      <w:r w:rsidRPr="003E72D0">
        <w:rPr>
          <w:rFonts w:ascii="Arial" w:hAnsi="Arial" w:cs="Arial"/>
          <w:szCs w:val="22"/>
        </w:rPr>
        <w:t xml:space="preserve"> period defined as the 12 months before first mepolizumab treatment; follow-up period defined as the 12 months following first mepolizumab treatment. </w:t>
      </w:r>
    </w:p>
    <w:p w14:paraId="56820C75" w14:textId="77777777" w:rsidR="008054BD" w:rsidRPr="0062104F" w:rsidRDefault="008054BD" w:rsidP="008054BD">
      <w:pPr>
        <w:spacing w:after="0"/>
        <w:rPr>
          <w:rFonts w:ascii="Arial" w:hAnsi="Arial" w:cs="Arial"/>
        </w:rPr>
      </w:pPr>
      <w:r w:rsidRPr="0062104F">
        <w:rPr>
          <w:rFonts w:ascii="Arial" w:hAnsi="Arial" w:cs="Arial"/>
        </w:rPr>
        <w:t>Outpatient visits with a HCPCS code indicating mepolizumab administration were excluded from the exacerbation definition, to prevent the inclusion of planned provider visits for mepolizumab administration. Additionally, the first outpatient visit with a Current Procedural Terminology code indicating subcutaneous/intramuscular drug administration (96372, 96401) either in the 28 days following an outpatient prescription (NDC) claim for mepolizumab or prior to the next outpatient prescription claim (the earlier of the two) was excluded from the exacerbation definition.</w:t>
      </w:r>
    </w:p>
    <w:p w14:paraId="5624CF80" w14:textId="77777777" w:rsidR="008054BD" w:rsidRPr="0062104F" w:rsidRDefault="008054BD" w:rsidP="008054BD">
      <w:pPr>
        <w:spacing w:after="0"/>
        <w:rPr>
          <w:rFonts w:ascii="Arial" w:hAnsi="Arial" w:cs="Arial"/>
        </w:rPr>
      </w:pPr>
      <w:r w:rsidRPr="0062104F">
        <w:rPr>
          <w:rFonts w:ascii="Arial" w:hAnsi="Arial" w:cs="Arial"/>
        </w:rPr>
        <w:t>N numbers are the numbers of patients with data available.</w:t>
      </w:r>
    </w:p>
    <w:p w14:paraId="5D394A06" w14:textId="77777777" w:rsidR="008054BD" w:rsidRPr="0062104F" w:rsidRDefault="008054BD" w:rsidP="008054BD">
      <w:pPr>
        <w:pStyle w:val="BodyText"/>
        <w:rPr>
          <w:rFonts w:ascii="Arial" w:hAnsi="Arial" w:cs="Arial"/>
          <w:bCs/>
        </w:rPr>
      </w:pPr>
      <w:r w:rsidRPr="0062104F">
        <w:rPr>
          <w:rFonts w:ascii="Arial" w:hAnsi="Arial" w:cs="Arial"/>
        </w:rPr>
        <w:t>HCPCS, healthcare common procedure coding system; NDC, national drug code; SD, standard deviation.</w:t>
      </w:r>
      <w:r w:rsidRPr="0062104F">
        <w:rPr>
          <w:rFonts w:ascii="Arial" w:hAnsi="Arial" w:cs="Arial"/>
        </w:rPr>
        <w:br w:type="page"/>
      </w:r>
    </w:p>
    <w:p w14:paraId="79D9B0ED" w14:textId="77777777" w:rsidR="008054BD" w:rsidRPr="0062104F" w:rsidRDefault="008054BD" w:rsidP="008054BD">
      <w:pPr>
        <w:pStyle w:val="Heading3"/>
        <w:rPr>
          <w:rFonts w:ascii="Arial" w:hAnsi="Arial" w:cs="Arial"/>
          <w:vertAlign w:val="superscript"/>
        </w:rPr>
      </w:pPr>
      <w:r w:rsidRPr="0062104F">
        <w:rPr>
          <w:rFonts w:ascii="Arial" w:hAnsi="Arial" w:cs="Arial"/>
          <w:b/>
        </w:rPr>
        <w:lastRenderedPageBreak/>
        <w:t>Supplementary Figure 3</w:t>
      </w:r>
      <w:r w:rsidRPr="0062104F">
        <w:rPr>
          <w:rFonts w:ascii="Arial" w:hAnsi="Arial" w:cs="Arial"/>
        </w:rPr>
        <w:t xml:space="preserve">. Mean costs related to asthma exacerbations during the baseline and follow-up periods in the pilot </w:t>
      </w:r>
      <w:proofErr w:type="spellStart"/>
      <w:r w:rsidRPr="0062104F">
        <w:rPr>
          <w:rFonts w:ascii="Arial" w:hAnsi="Arial" w:cs="Arial"/>
        </w:rPr>
        <w:t>study</w:t>
      </w:r>
      <w:r w:rsidRPr="0062104F">
        <w:rPr>
          <w:rFonts w:ascii="Arial" w:hAnsi="Arial" w:cs="Arial"/>
          <w:vertAlign w:val="superscript"/>
        </w:rPr>
        <w:t>a</w:t>
      </w:r>
      <w:proofErr w:type="spellEnd"/>
    </w:p>
    <w:p w14:paraId="2F6571C1" w14:textId="77777777" w:rsidR="008054BD" w:rsidRPr="0062104F" w:rsidRDefault="008054BD" w:rsidP="008054BD">
      <w:pPr>
        <w:pStyle w:val="BodyText"/>
        <w:rPr>
          <w:rFonts w:ascii="Arial" w:hAnsi="Arial" w:cs="Arial"/>
        </w:rPr>
      </w:pPr>
      <w:r w:rsidRPr="0062104F">
        <w:rPr>
          <w:rFonts w:ascii="Arial" w:hAnsi="Arial" w:cs="Arial"/>
          <w:noProof/>
        </w:rPr>
        <w:drawing>
          <wp:inline distT="0" distB="0" distL="0" distR="0" wp14:anchorId="67331745" wp14:editId="2E10A921">
            <wp:extent cx="5240335" cy="29387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728"/>
                    <a:stretch/>
                  </pic:blipFill>
                  <pic:spPr bwMode="auto">
                    <a:xfrm>
                      <a:off x="0" y="0"/>
                      <a:ext cx="5240335" cy="2938780"/>
                    </a:xfrm>
                    <a:prstGeom prst="rect">
                      <a:avLst/>
                    </a:prstGeom>
                    <a:ln>
                      <a:noFill/>
                    </a:ln>
                    <a:extLst>
                      <a:ext uri="{53640926-AAD7-44D8-BBD7-CCE9431645EC}">
                        <a14:shadowObscured xmlns:a14="http://schemas.microsoft.com/office/drawing/2010/main"/>
                      </a:ext>
                    </a:extLst>
                  </pic:spPr>
                </pic:pic>
              </a:graphicData>
            </a:graphic>
          </wp:inline>
        </w:drawing>
      </w:r>
      <w:proofErr w:type="spellStart"/>
      <w:r w:rsidRPr="0062104F">
        <w:rPr>
          <w:rFonts w:ascii="Arial" w:hAnsi="Arial" w:cs="Arial"/>
          <w:szCs w:val="22"/>
          <w:vertAlign w:val="superscript"/>
        </w:rPr>
        <w:t>a</w:t>
      </w:r>
      <w:r w:rsidRPr="003E72D0">
        <w:rPr>
          <w:rFonts w:ascii="Arial" w:hAnsi="Arial" w:cs="Arial"/>
          <w:szCs w:val="22"/>
        </w:rPr>
        <w:t>Baseline</w:t>
      </w:r>
      <w:proofErr w:type="spellEnd"/>
      <w:r w:rsidRPr="003E72D0">
        <w:rPr>
          <w:rFonts w:ascii="Arial" w:hAnsi="Arial" w:cs="Arial"/>
          <w:szCs w:val="22"/>
        </w:rPr>
        <w:t xml:space="preserve"> period defined as the 12 months before first </w:t>
      </w:r>
      <w:r w:rsidRPr="0062104F">
        <w:rPr>
          <w:rFonts w:ascii="Arial" w:hAnsi="Arial" w:cs="Arial"/>
          <w:szCs w:val="22"/>
        </w:rPr>
        <w:t>mepolizumab treatment; follow-up period defined as the 12 months following first mepolizumab treatment.</w:t>
      </w:r>
      <w:r w:rsidRPr="0062104F">
        <w:rPr>
          <w:rFonts w:ascii="Arial" w:hAnsi="Arial" w:cs="Arial"/>
          <w:szCs w:val="22"/>
        </w:rPr>
        <w:br/>
      </w:r>
      <w:proofErr w:type="spellStart"/>
      <w:r w:rsidRPr="0062104F">
        <w:rPr>
          <w:rFonts w:ascii="Arial" w:hAnsi="Arial" w:cs="Arial"/>
          <w:vertAlign w:val="superscript"/>
        </w:rPr>
        <w:t>b</w:t>
      </w:r>
      <w:r w:rsidRPr="0062104F">
        <w:rPr>
          <w:rFonts w:ascii="Arial" w:hAnsi="Arial" w:cs="Arial"/>
          <w:i/>
        </w:rPr>
        <w:t>P</w:t>
      </w:r>
      <w:proofErr w:type="spellEnd"/>
      <w:r w:rsidRPr="0062104F">
        <w:rPr>
          <w:rFonts w:ascii="Arial" w:hAnsi="Arial" w:cs="Arial"/>
        </w:rPr>
        <w:t xml:space="preserve">&lt;0.05. </w:t>
      </w:r>
    </w:p>
    <w:p w14:paraId="61C9C41D" w14:textId="77777777" w:rsidR="008054BD" w:rsidRPr="0062104F" w:rsidRDefault="008054BD" w:rsidP="008054BD">
      <w:pPr>
        <w:pStyle w:val="BodyText"/>
        <w:spacing w:after="0"/>
        <w:rPr>
          <w:rFonts w:ascii="Arial" w:hAnsi="Arial" w:cs="Arial"/>
        </w:rPr>
      </w:pPr>
      <w:r w:rsidRPr="0062104F">
        <w:rPr>
          <w:rFonts w:ascii="Arial" w:hAnsi="Arial" w:cs="Arial"/>
        </w:rPr>
        <w:t>Costs exclude mepolizumab acquisition and administration costs.</w:t>
      </w:r>
    </w:p>
    <w:p w14:paraId="147585EC" w14:textId="77777777" w:rsidR="008054BD" w:rsidRPr="0062104F" w:rsidRDefault="008054BD" w:rsidP="008054BD">
      <w:pPr>
        <w:pStyle w:val="BodyText"/>
        <w:rPr>
          <w:rFonts w:ascii="Arial" w:hAnsi="Arial" w:cs="Arial"/>
        </w:rPr>
      </w:pPr>
      <w:r w:rsidRPr="0062104F">
        <w:rPr>
          <w:rFonts w:ascii="Arial" w:hAnsi="Arial" w:cs="Arial"/>
        </w:rPr>
        <w:t>OP, outpatient; ED, emergency department; USD, US dollars.</w:t>
      </w:r>
    </w:p>
    <w:p w14:paraId="3B37B479" w14:textId="77777777" w:rsidR="00A97A99" w:rsidRDefault="00A97A99"/>
    <w:sectPr w:rsidR="00A97A99" w:rsidSect="00FF38AA">
      <w:pgSz w:w="11907" w:h="16840" w:code="9"/>
      <w:pgMar w:top="1440" w:right="1797" w:bottom="1440" w:left="179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5BB"/>
    <w:rsid w:val="001275BB"/>
    <w:rsid w:val="008054BD"/>
    <w:rsid w:val="00A97A9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DC6040-C9A0-466D-B85D-16007F9D2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4BD"/>
    <w:pPr>
      <w:spacing w:after="220" w:line="480" w:lineRule="auto"/>
    </w:pPr>
    <w:rPr>
      <w:rFonts w:ascii="Calibri" w:eastAsia="Times New Roman" w:hAnsi="Calibri" w:cs="Calibri"/>
      <w:szCs w:val="24"/>
      <w:lang w:val="en-US" w:eastAsia="en-GB"/>
    </w:rPr>
  </w:style>
  <w:style w:type="paragraph" w:styleId="Heading2">
    <w:name w:val="heading 2"/>
    <w:basedOn w:val="Normal"/>
    <w:next w:val="BodyText"/>
    <w:link w:val="Heading2Char"/>
    <w:qFormat/>
    <w:rsid w:val="008054BD"/>
    <w:pPr>
      <w:keepNext/>
      <w:spacing w:after="120"/>
      <w:outlineLvl w:val="1"/>
    </w:pPr>
    <w:rPr>
      <w:b/>
      <w:bCs/>
      <w:sz w:val="28"/>
    </w:rPr>
  </w:style>
  <w:style w:type="paragraph" w:styleId="Heading3">
    <w:name w:val="heading 3"/>
    <w:basedOn w:val="Normal"/>
    <w:next w:val="BodyText"/>
    <w:link w:val="Heading3Char"/>
    <w:qFormat/>
    <w:rsid w:val="008054BD"/>
    <w:pPr>
      <w:keepNext/>
      <w:spacing w:after="120"/>
      <w:outlineLvl w:val="2"/>
    </w:pPr>
    <w:rPr>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054BD"/>
    <w:rPr>
      <w:rFonts w:ascii="Calibri" w:eastAsia="Times New Roman" w:hAnsi="Calibri" w:cs="Calibri"/>
      <w:b/>
      <w:bCs/>
      <w:sz w:val="28"/>
      <w:szCs w:val="24"/>
      <w:lang w:val="en-US" w:eastAsia="en-GB"/>
    </w:rPr>
  </w:style>
  <w:style w:type="character" w:customStyle="1" w:styleId="Heading3Char">
    <w:name w:val="Heading 3 Char"/>
    <w:basedOn w:val="DefaultParagraphFont"/>
    <w:link w:val="Heading3"/>
    <w:rsid w:val="008054BD"/>
    <w:rPr>
      <w:rFonts w:ascii="Calibri" w:eastAsia="Times New Roman" w:hAnsi="Calibri" w:cs="Calibri"/>
      <w:bCs/>
      <w:szCs w:val="24"/>
      <w:lang w:val="en-US" w:eastAsia="en-GB"/>
    </w:rPr>
  </w:style>
  <w:style w:type="character" w:styleId="Hyperlink">
    <w:name w:val="Hyperlink"/>
    <w:rsid w:val="008054BD"/>
    <w:rPr>
      <w:rFonts w:ascii="Calibri" w:hAnsi="Calibri"/>
      <w:color w:val="0000FF"/>
      <w:u w:val="single"/>
    </w:rPr>
  </w:style>
  <w:style w:type="paragraph" w:styleId="BodyText">
    <w:name w:val="Body Text"/>
    <w:basedOn w:val="Normal"/>
    <w:link w:val="BodyTextChar"/>
    <w:rsid w:val="008054BD"/>
  </w:style>
  <w:style w:type="character" w:customStyle="1" w:styleId="BodyTextChar">
    <w:name w:val="Body Text Char"/>
    <w:basedOn w:val="DefaultParagraphFont"/>
    <w:link w:val="BodyText"/>
    <w:rsid w:val="008054BD"/>
    <w:rPr>
      <w:rFonts w:ascii="Calibri" w:eastAsia="Times New Roman" w:hAnsi="Calibri" w:cs="Calibri"/>
      <w:szCs w:val="24"/>
      <w:lang w:val="en-US" w:eastAsia="en-GB"/>
    </w:rPr>
  </w:style>
  <w:style w:type="paragraph" w:styleId="BalloonText">
    <w:name w:val="Balloon Text"/>
    <w:basedOn w:val="Normal"/>
    <w:link w:val="BalloonTextChar"/>
    <w:uiPriority w:val="99"/>
    <w:semiHidden/>
    <w:unhideWhenUsed/>
    <w:rsid w:val="008054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54BD"/>
    <w:rPr>
      <w:rFonts w:ascii="Segoe UI" w:eastAsia="Times New Roman" w:hAnsi="Segoe UI" w:cs="Segoe UI"/>
      <w:sz w:val="18"/>
      <w:szCs w:val="18"/>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500</Words>
  <Characters>2853</Characters>
  <Application>Microsoft Office Word</Application>
  <DocSecurity>0</DocSecurity>
  <Lines>23</Lines>
  <Paragraphs>6</Paragraphs>
  <ScaleCrop>false</ScaleCrop>
  <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Faamoana, Richard</dc:creator>
  <cp:keywords/>
  <dc:description/>
  <cp:lastModifiedBy>Faamoana, Richard</cp:lastModifiedBy>
  <cp:revision>2</cp:revision>
  <dcterms:created xsi:type="dcterms:W3CDTF">2019-12-30T01:59:00Z</dcterms:created>
  <dcterms:modified xsi:type="dcterms:W3CDTF">2019-12-30T01:59:00Z</dcterms:modified>
</cp:coreProperties>
</file>